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AF" w:rsidRPr="003E1BAF" w:rsidRDefault="003E1BAF" w:rsidP="003E1BAF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3E1BAF">
        <w:rPr>
          <w:rFonts w:cs="Arial"/>
          <w:b/>
          <w:sz w:val="28"/>
          <w:szCs w:val="28"/>
          <w:lang w:val="es-ES_tradnl"/>
        </w:rPr>
        <w:t xml:space="preserve">RES.  </w:t>
      </w:r>
      <w:r>
        <w:rPr>
          <w:rFonts w:cs="Arial"/>
          <w:b/>
          <w:sz w:val="28"/>
          <w:szCs w:val="28"/>
          <w:lang w:val="es-ES_tradnl"/>
        </w:rPr>
        <w:t>1203</w:t>
      </w:r>
      <w:r w:rsidRPr="003E1BAF">
        <w:rPr>
          <w:rFonts w:cs="Arial"/>
          <w:b/>
          <w:sz w:val="28"/>
          <w:szCs w:val="28"/>
          <w:lang w:val="es-ES_tradnl"/>
        </w:rPr>
        <w:t>/19</w:t>
      </w:r>
    </w:p>
    <w:p w:rsidR="003E1BAF" w:rsidRPr="003E1BAF" w:rsidRDefault="003E1BAF" w:rsidP="003E1BAF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3E1BAF" w:rsidRPr="003E1BAF" w:rsidRDefault="003E1BAF" w:rsidP="003E1BA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3E1BAF">
        <w:rPr>
          <w:rFonts w:cs="Arial"/>
          <w:b/>
          <w:lang w:val="es-ES_tradnl"/>
        </w:rPr>
        <w:t>RESOLUCION ADOPTADA POR EL</w:t>
      </w:r>
    </w:p>
    <w:p w:rsidR="003E1BAF" w:rsidRPr="003E1BAF" w:rsidRDefault="003E1BAF" w:rsidP="003E1BA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E1BAF" w:rsidRPr="003E1BAF" w:rsidRDefault="003E1BAF" w:rsidP="003E1BA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3E1BAF">
        <w:rPr>
          <w:rFonts w:cs="Arial"/>
          <w:b/>
          <w:lang w:val="es-ES_tradnl"/>
        </w:rPr>
        <w:t>TRIBUNAL DE CUENTAS</w:t>
      </w:r>
    </w:p>
    <w:p w:rsidR="003E1BAF" w:rsidRPr="003E1BAF" w:rsidRDefault="003E1BAF" w:rsidP="003E1BA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E1BAF" w:rsidRPr="003E1BAF" w:rsidRDefault="003E1BAF" w:rsidP="003E1BA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3E1BAF">
        <w:rPr>
          <w:rFonts w:cs="Arial"/>
          <w:b/>
          <w:lang w:val="es-ES_tradnl"/>
        </w:rPr>
        <w:t xml:space="preserve">EN SESION DE FECHA 15 DE MAYO  </w:t>
      </w:r>
      <w:r w:rsidRPr="003E1BAF">
        <w:rPr>
          <w:rFonts w:ascii="Helvetica" w:hAnsi="Helvetica"/>
          <w:b/>
          <w:lang w:val="es-ES_tradnl"/>
        </w:rPr>
        <w:t>DE 2019</w:t>
      </w:r>
    </w:p>
    <w:p w:rsidR="003E1BAF" w:rsidRPr="003E1BAF" w:rsidRDefault="003E1BAF" w:rsidP="003E1BA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3E1BAF" w:rsidRPr="003E1BAF" w:rsidRDefault="003E1BAF" w:rsidP="003E1BAF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3E1BAF">
        <w:rPr>
          <w:rFonts w:cs="Arial"/>
          <w:b/>
          <w:lang w:val="es-UY"/>
        </w:rPr>
        <w:t>(E. E. Nº 201</w:t>
      </w:r>
      <w:r>
        <w:rPr>
          <w:rFonts w:cs="Arial"/>
          <w:b/>
          <w:lang w:val="es-UY"/>
        </w:rPr>
        <w:t>5</w:t>
      </w:r>
      <w:r w:rsidRPr="003E1BAF">
        <w:rPr>
          <w:rFonts w:cs="Arial"/>
          <w:b/>
          <w:lang w:val="es-UY"/>
        </w:rPr>
        <w:t>-17-1-000</w:t>
      </w:r>
      <w:r>
        <w:rPr>
          <w:rFonts w:cs="Arial"/>
          <w:b/>
          <w:lang w:val="es-UY"/>
        </w:rPr>
        <w:t>1443</w:t>
      </w:r>
      <w:r w:rsidRPr="003E1BAF">
        <w:rPr>
          <w:rFonts w:cs="Arial"/>
          <w:b/>
          <w:lang w:val="es-UY"/>
        </w:rPr>
        <w:t xml:space="preserve">, Ent. N° </w:t>
      </w:r>
      <w:r>
        <w:rPr>
          <w:rFonts w:cs="Arial"/>
          <w:b/>
          <w:lang w:val="es-UY"/>
        </w:rPr>
        <w:t>1572</w:t>
      </w:r>
      <w:r w:rsidRPr="003E1BAF">
        <w:rPr>
          <w:rFonts w:cs="Arial"/>
          <w:b/>
          <w:lang w:val="es-UY"/>
        </w:rPr>
        <w:t>/</w:t>
      </w:r>
      <w:r>
        <w:rPr>
          <w:rFonts w:cs="Arial"/>
          <w:b/>
          <w:lang w:val="es-UY"/>
        </w:rPr>
        <w:t>19)</w:t>
      </w:r>
    </w:p>
    <w:p w:rsidR="003E1BAF" w:rsidRDefault="003E1BAF" w:rsidP="0015458E">
      <w:pPr>
        <w:spacing w:line="360" w:lineRule="auto"/>
        <w:jc w:val="both"/>
        <w:rPr>
          <w:rFonts w:cs="Arial"/>
          <w:b/>
          <w:bCs/>
        </w:rPr>
      </w:pPr>
    </w:p>
    <w:p w:rsidR="0015458E" w:rsidRDefault="0015458E" w:rsidP="003E1BAF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  <w:bCs/>
        </w:rPr>
        <w:t>VISTO:</w:t>
      </w:r>
      <w:r>
        <w:rPr>
          <w:rFonts w:cs="Arial"/>
        </w:rPr>
        <w:t xml:space="preserve"> los antecedentes remitidos por el Ministerio de Educación y Cultura</w:t>
      </w:r>
      <w:r w:rsidR="00273589">
        <w:rPr>
          <w:rFonts w:cs="Arial"/>
        </w:rPr>
        <w:t xml:space="preserve"> (MEC)</w:t>
      </w:r>
      <w:r>
        <w:rPr>
          <w:rFonts w:cs="Arial"/>
        </w:rPr>
        <w:t>, relacionados con la transferencia dispuesta por el Servicio Oficial de Difusión Radiotelevisión y Espectáculos (SODRE) con destino al “Fondo de Desarrollo Artístico y Cultural del SODRE”;</w:t>
      </w:r>
    </w:p>
    <w:p w:rsidR="000D6D51" w:rsidRPr="006C365F" w:rsidRDefault="0015458E" w:rsidP="003E1BAF">
      <w:pPr>
        <w:spacing w:line="360" w:lineRule="auto"/>
        <w:ind w:firstLine="708"/>
        <w:jc w:val="both"/>
        <w:rPr>
          <w:rFonts w:cs="Arial"/>
          <w:lang w:val="es-MX"/>
        </w:rPr>
      </w:pPr>
      <w:r>
        <w:rPr>
          <w:rFonts w:cs="Arial"/>
          <w:b/>
          <w:bCs/>
        </w:rPr>
        <w:t>RESULTANDO: 1)</w:t>
      </w:r>
      <w:r>
        <w:rPr>
          <w:rFonts w:cs="Arial"/>
        </w:rPr>
        <w:t xml:space="preserve"> que </w:t>
      </w:r>
      <w:r w:rsidR="000D6D51">
        <w:rPr>
          <w:rFonts w:cs="Arial"/>
        </w:rPr>
        <w:t>este Tribunal</w:t>
      </w:r>
      <w:r w:rsidR="00273589">
        <w:rPr>
          <w:rFonts w:cs="Arial"/>
        </w:rPr>
        <w:t>,</w:t>
      </w:r>
      <w:r w:rsidR="000D6D51">
        <w:rPr>
          <w:rFonts w:cs="Arial"/>
        </w:rPr>
        <w:t xml:space="preserve"> por Resolución N° 750/19 de fecha 20 de marzo de 2019, acordó </w:t>
      </w:r>
      <w:r w:rsidR="00273589">
        <w:rPr>
          <w:rFonts w:cs="Arial"/>
        </w:rPr>
        <w:t>-</w:t>
      </w:r>
      <w:r w:rsidR="000D6D51">
        <w:rPr>
          <w:rFonts w:cs="Arial"/>
        </w:rPr>
        <w:t>u</w:t>
      </w:r>
      <w:r w:rsidR="000D6D51" w:rsidRPr="006C365F">
        <w:rPr>
          <w:rFonts w:cs="Arial"/>
          <w:lang w:val="es-MX"/>
        </w:rPr>
        <w:t>na vez dictada Resolución por el Poder Ejecutivo</w:t>
      </w:r>
      <w:r w:rsidR="00273589">
        <w:rPr>
          <w:rFonts w:cs="Arial"/>
          <w:lang w:val="es-MX"/>
        </w:rPr>
        <w:t>-</w:t>
      </w:r>
      <w:r w:rsidR="000D6D51" w:rsidRPr="006C365F">
        <w:rPr>
          <w:rFonts w:cs="Arial"/>
          <w:lang w:val="es-MX"/>
        </w:rPr>
        <w:t xml:space="preserve"> </w:t>
      </w:r>
      <w:r w:rsidR="00273589">
        <w:rPr>
          <w:rFonts w:cs="Arial"/>
          <w:lang w:val="es-MX"/>
        </w:rPr>
        <w:t xml:space="preserve"> </w:t>
      </w:r>
      <w:r w:rsidR="000D6D51" w:rsidRPr="006C365F">
        <w:rPr>
          <w:rFonts w:cs="Arial"/>
          <w:lang w:val="es-MX"/>
        </w:rPr>
        <w:t>comete</w:t>
      </w:r>
      <w:r w:rsidR="00273589">
        <w:rPr>
          <w:rFonts w:cs="Arial"/>
          <w:lang w:val="es-MX"/>
        </w:rPr>
        <w:t>r</w:t>
      </w:r>
      <w:r w:rsidR="00F6775D">
        <w:rPr>
          <w:rFonts w:cs="Arial"/>
          <w:lang w:val="es-MX"/>
        </w:rPr>
        <w:t xml:space="preserve"> al Contador delegado</w:t>
      </w:r>
      <w:r w:rsidR="000D6D51" w:rsidRPr="006C365F">
        <w:rPr>
          <w:rFonts w:cs="Arial"/>
          <w:lang w:val="es-MX"/>
        </w:rPr>
        <w:t xml:space="preserve"> </w:t>
      </w:r>
      <w:r w:rsidR="00273589">
        <w:rPr>
          <w:rFonts w:cs="Arial"/>
          <w:lang w:val="es-MX"/>
        </w:rPr>
        <w:t>ante el MEC</w:t>
      </w:r>
      <w:r w:rsidR="000D6D51">
        <w:rPr>
          <w:rFonts w:cs="Arial"/>
          <w:lang w:val="es-MX"/>
        </w:rPr>
        <w:t xml:space="preserve">, la intervención del gasto de </w:t>
      </w:r>
      <w:r w:rsidR="000D6D51">
        <w:rPr>
          <w:rFonts w:cs="Arial"/>
        </w:rPr>
        <w:t>$ 27.671.402</w:t>
      </w:r>
      <w:r w:rsidR="00273589">
        <w:rPr>
          <w:rFonts w:cs="Arial"/>
        </w:rPr>
        <w:t xml:space="preserve"> así como el control de la rendición de cuentas de la última partida transferida. </w:t>
      </w:r>
      <w:r w:rsidR="002A0CB5">
        <w:rPr>
          <w:rFonts w:cs="Arial"/>
          <w:lang w:val="es-MX"/>
        </w:rPr>
        <w:t>Asimismo</w:t>
      </w:r>
      <w:r w:rsidR="00273589">
        <w:rPr>
          <w:rFonts w:cs="Arial"/>
          <w:lang w:val="es-MX"/>
        </w:rPr>
        <w:t xml:space="preserve">, </w:t>
      </w:r>
      <w:r w:rsidR="00F95174">
        <w:rPr>
          <w:rFonts w:cs="Arial"/>
          <w:lang w:val="es-MX"/>
        </w:rPr>
        <w:t>el</w:t>
      </w:r>
      <w:r w:rsidR="002A0CB5">
        <w:rPr>
          <w:rFonts w:cs="Arial"/>
          <w:lang w:val="es-MX"/>
        </w:rPr>
        <w:t xml:space="preserve"> Considerando 2)</w:t>
      </w:r>
      <w:r w:rsidR="00F95174">
        <w:rPr>
          <w:rFonts w:cs="Arial"/>
          <w:lang w:val="es-MX"/>
        </w:rPr>
        <w:t xml:space="preserve"> de</w:t>
      </w:r>
      <w:r w:rsidR="00273589">
        <w:rPr>
          <w:rFonts w:cs="Arial"/>
          <w:lang w:val="es-MX"/>
        </w:rPr>
        <w:t xml:space="preserve"> dicha resolución</w:t>
      </w:r>
      <w:r w:rsidR="002A0CB5">
        <w:rPr>
          <w:rFonts w:cs="Arial"/>
          <w:lang w:val="es-MX"/>
        </w:rPr>
        <w:t xml:space="preserve"> establece que corresponde que la transferencia </w:t>
      </w:r>
      <w:r w:rsidR="00F95174">
        <w:rPr>
          <w:rFonts w:cs="Arial"/>
          <w:lang w:val="es-MX"/>
        </w:rPr>
        <w:t>de fondos sea dispuesta por</w:t>
      </w:r>
      <w:r w:rsidR="002A0CB5">
        <w:rPr>
          <w:rFonts w:cs="Arial"/>
          <w:lang w:val="es-MX"/>
        </w:rPr>
        <w:t xml:space="preserve"> Resolución del Poder Ejecutivo</w:t>
      </w:r>
      <w:r w:rsidR="000D6D51" w:rsidRPr="006C365F">
        <w:rPr>
          <w:rFonts w:cs="Arial"/>
          <w:lang w:val="es-MX"/>
        </w:rPr>
        <w:t>;</w:t>
      </w:r>
    </w:p>
    <w:p w:rsidR="00A01D91" w:rsidRDefault="000D6D51" w:rsidP="0015458E">
      <w:pPr>
        <w:pStyle w:val="Sangradetextonormal"/>
        <w:widowControl w:val="0"/>
        <w:ind w:firstLine="0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                            </w:t>
      </w:r>
      <w:r w:rsidR="008F16E1">
        <w:rPr>
          <w:rFonts w:cs="Arial"/>
          <w:lang w:val="es-MX"/>
        </w:rPr>
        <w:t xml:space="preserve">  </w:t>
      </w:r>
      <w:r w:rsidR="003E1BAF">
        <w:rPr>
          <w:rFonts w:cs="Arial"/>
          <w:lang w:val="es-MX"/>
        </w:rPr>
        <w:t xml:space="preserve">       </w:t>
      </w:r>
      <w:r>
        <w:rPr>
          <w:rFonts w:cs="Arial"/>
          <w:b/>
          <w:lang w:val="es-MX"/>
        </w:rPr>
        <w:t xml:space="preserve">2) </w:t>
      </w:r>
      <w:r>
        <w:rPr>
          <w:rFonts w:cs="Arial"/>
          <w:lang w:val="es-MX"/>
        </w:rPr>
        <w:t xml:space="preserve">que </w:t>
      </w:r>
      <w:r w:rsidR="00F95174">
        <w:rPr>
          <w:rFonts w:cs="Arial"/>
          <w:lang w:val="es-MX"/>
        </w:rPr>
        <w:t xml:space="preserve">el </w:t>
      </w:r>
      <w:r w:rsidR="003E1BAF">
        <w:rPr>
          <w:rFonts w:cs="Arial"/>
          <w:lang w:val="es-MX"/>
        </w:rPr>
        <w:t>C</w:t>
      </w:r>
      <w:r w:rsidR="00F95174">
        <w:rPr>
          <w:rFonts w:cs="Arial"/>
          <w:lang w:val="es-MX"/>
        </w:rPr>
        <w:t>onta</w:t>
      </w:r>
      <w:r w:rsidR="003E1BAF">
        <w:rPr>
          <w:rFonts w:cs="Arial"/>
          <w:lang w:val="es-MX"/>
        </w:rPr>
        <w:t>dor D</w:t>
      </w:r>
      <w:r w:rsidR="00F6775D">
        <w:rPr>
          <w:rFonts w:cs="Arial"/>
          <w:lang w:val="es-MX"/>
        </w:rPr>
        <w:t xml:space="preserve">elegado </w:t>
      </w:r>
      <w:r w:rsidR="009A4B3D">
        <w:rPr>
          <w:rFonts w:cs="Arial"/>
          <w:lang w:val="es-MX"/>
        </w:rPr>
        <w:t xml:space="preserve">de </w:t>
      </w:r>
      <w:r w:rsidR="00F95174">
        <w:rPr>
          <w:rFonts w:cs="Arial"/>
          <w:lang w:val="es-MX"/>
        </w:rPr>
        <w:t xml:space="preserve">este Tribunal ante el </w:t>
      </w:r>
      <w:r w:rsidR="00F6775D">
        <w:rPr>
          <w:rFonts w:cs="Arial"/>
          <w:lang w:val="es-MX"/>
        </w:rPr>
        <w:t>MEC</w:t>
      </w:r>
      <w:r w:rsidR="00F95174">
        <w:rPr>
          <w:rFonts w:cs="Arial"/>
          <w:lang w:val="es-MX"/>
        </w:rPr>
        <w:t xml:space="preserve">, </w:t>
      </w:r>
      <w:r w:rsidR="00A01D91">
        <w:rPr>
          <w:rFonts w:cs="Arial"/>
          <w:lang w:val="es-MX"/>
        </w:rPr>
        <w:t xml:space="preserve"> con fecha 1</w:t>
      </w:r>
      <w:r w:rsidR="008F16E1">
        <w:rPr>
          <w:rFonts w:cs="Arial"/>
          <w:lang w:val="es-MX"/>
        </w:rPr>
        <w:t>°</w:t>
      </w:r>
      <w:r w:rsidR="00A01D91">
        <w:rPr>
          <w:rFonts w:cs="Arial"/>
          <w:lang w:val="es-MX"/>
        </w:rPr>
        <w:t xml:space="preserve"> de abril de 2019, devolvió las actuaciones sin intervenir, en mérito a que </w:t>
      </w:r>
      <w:r w:rsidR="00F95174">
        <w:rPr>
          <w:rFonts w:cs="Arial"/>
          <w:lang w:val="es-MX"/>
        </w:rPr>
        <w:t xml:space="preserve">de acuerdo con lo establecido en la referida </w:t>
      </w:r>
      <w:r w:rsidR="00A01D91">
        <w:rPr>
          <w:rFonts w:cs="Arial"/>
          <w:lang w:val="es-MX"/>
        </w:rPr>
        <w:t>la Resolución de este T</w:t>
      </w:r>
      <w:r w:rsidR="00F95174">
        <w:rPr>
          <w:rFonts w:cs="Arial"/>
          <w:lang w:val="es-MX"/>
        </w:rPr>
        <w:t xml:space="preserve">ribunal la transferencia debía ser </w:t>
      </w:r>
      <w:r w:rsidR="008F16E1">
        <w:rPr>
          <w:rFonts w:cs="Arial"/>
          <w:lang w:val="es-MX"/>
        </w:rPr>
        <w:t>dispuesta por</w:t>
      </w:r>
      <w:r w:rsidR="00A01D91">
        <w:rPr>
          <w:rFonts w:cs="Arial"/>
          <w:lang w:val="es-MX"/>
        </w:rPr>
        <w:t xml:space="preserve"> resolución </w:t>
      </w:r>
      <w:r w:rsidR="00F0689B">
        <w:rPr>
          <w:rFonts w:cs="Arial"/>
          <w:lang w:val="es-MX"/>
        </w:rPr>
        <w:t>d</w:t>
      </w:r>
      <w:r w:rsidR="00A01D91">
        <w:rPr>
          <w:rFonts w:cs="Arial"/>
          <w:lang w:val="es-MX"/>
        </w:rPr>
        <w:t xml:space="preserve">el Poder </w:t>
      </w:r>
      <w:r w:rsidR="008F16E1">
        <w:rPr>
          <w:rFonts w:cs="Arial"/>
          <w:lang w:val="es-MX"/>
        </w:rPr>
        <w:t>E</w:t>
      </w:r>
      <w:r w:rsidR="00A01D91">
        <w:rPr>
          <w:rFonts w:cs="Arial"/>
          <w:lang w:val="es-MX"/>
        </w:rPr>
        <w:t>jecutivo;</w:t>
      </w:r>
    </w:p>
    <w:p w:rsidR="00AB70FF" w:rsidRDefault="00A01D91" w:rsidP="0015458E">
      <w:pPr>
        <w:pStyle w:val="Sangradetextonormal"/>
        <w:widowControl w:val="0"/>
        <w:ind w:firstLine="0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                         </w:t>
      </w:r>
      <w:r w:rsidR="008F16E1">
        <w:rPr>
          <w:rFonts w:cs="Arial"/>
          <w:lang w:val="es-MX"/>
        </w:rPr>
        <w:t xml:space="preserve">     </w:t>
      </w:r>
      <w:r w:rsidR="003E1BAF">
        <w:rPr>
          <w:rFonts w:cs="Arial"/>
          <w:lang w:val="es-MX"/>
        </w:rPr>
        <w:t xml:space="preserve">       </w:t>
      </w:r>
      <w:r w:rsidRPr="00DF4B28">
        <w:rPr>
          <w:rFonts w:cs="Arial"/>
          <w:b/>
          <w:lang w:val="es-MX"/>
        </w:rPr>
        <w:t>3)</w:t>
      </w:r>
      <w:r>
        <w:rPr>
          <w:rFonts w:cs="Arial"/>
          <w:lang w:val="es-MX"/>
        </w:rPr>
        <w:t xml:space="preserve"> que en esta oportunidad</w:t>
      </w:r>
      <w:r w:rsidR="00DF4B28">
        <w:rPr>
          <w:rFonts w:cs="Arial"/>
          <w:lang w:val="es-MX"/>
        </w:rPr>
        <w:t>, se adjunta nota de la Presidencia del SODRE</w:t>
      </w:r>
      <w:r w:rsidR="000D6D51">
        <w:rPr>
          <w:rFonts w:cs="Arial"/>
          <w:lang w:val="es-MX"/>
        </w:rPr>
        <w:t xml:space="preserve"> </w:t>
      </w:r>
      <w:r w:rsidR="00DF4B28">
        <w:rPr>
          <w:rFonts w:cs="Arial"/>
          <w:lang w:val="es-MX"/>
        </w:rPr>
        <w:t xml:space="preserve">de fecha 8 de abril </w:t>
      </w:r>
      <w:r w:rsidR="00F6775D">
        <w:rPr>
          <w:rFonts w:cs="Arial"/>
          <w:lang w:val="es-MX"/>
        </w:rPr>
        <w:t xml:space="preserve">de 2019, por la que expresa que los fondos de la transferencia por el  monto de $ 27:671.402  ya </w:t>
      </w:r>
      <w:r w:rsidR="00E1637B">
        <w:rPr>
          <w:rFonts w:cs="Arial"/>
          <w:lang w:val="es-MX"/>
        </w:rPr>
        <w:t>perte</w:t>
      </w:r>
      <w:r w:rsidR="00F95174">
        <w:rPr>
          <w:rFonts w:cs="Arial"/>
          <w:lang w:val="es-MX"/>
        </w:rPr>
        <w:t>nece</w:t>
      </w:r>
      <w:r w:rsidR="00F6775D">
        <w:rPr>
          <w:rFonts w:cs="Arial"/>
          <w:lang w:val="es-MX"/>
        </w:rPr>
        <w:t>n</w:t>
      </w:r>
      <w:r w:rsidR="00F95174">
        <w:rPr>
          <w:rFonts w:cs="Arial"/>
          <w:lang w:val="es-MX"/>
        </w:rPr>
        <w:t xml:space="preserve"> al SODRE,</w:t>
      </w:r>
      <w:r w:rsidR="00F6775D">
        <w:rPr>
          <w:rFonts w:cs="Arial"/>
          <w:lang w:val="es-MX"/>
        </w:rPr>
        <w:t xml:space="preserve"> ya que</w:t>
      </w:r>
      <w:r w:rsidR="00E1637B">
        <w:rPr>
          <w:rFonts w:cs="Arial"/>
          <w:lang w:val="es-MX"/>
        </w:rPr>
        <w:t xml:space="preserve"> fuero</w:t>
      </w:r>
      <w:r w:rsidR="00F95174">
        <w:rPr>
          <w:rFonts w:cs="Arial"/>
          <w:lang w:val="es-MX"/>
        </w:rPr>
        <w:t xml:space="preserve">n reasignados </w:t>
      </w:r>
      <w:r w:rsidR="00E1637B">
        <w:rPr>
          <w:rFonts w:cs="Arial"/>
          <w:lang w:val="es-MX"/>
        </w:rPr>
        <w:t>el Poder Ejecutivo</w:t>
      </w:r>
      <w:r w:rsidR="00F95174">
        <w:rPr>
          <w:rFonts w:cs="Arial"/>
          <w:lang w:val="es-MX"/>
        </w:rPr>
        <w:t xml:space="preserve"> </w:t>
      </w:r>
      <w:r w:rsidR="00E1637B">
        <w:rPr>
          <w:rFonts w:cs="Arial"/>
          <w:lang w:val="es-MX"/>
        </w:rPr>
        <w:t xml:space="preserve"> para su transferencia al Fideicomiso </w:t>
      </w:r>
      <w:r w:rsidR="00AB70FF">
        <w:rPr>
          <w:rFonts w:cs="Arial"/>
          <w:lang w:val="es-MX"/>
        </w:rPr>
        <w:t xml:space="preserve">  </w:t>
      </w:r>
      <w:r w:rsidR="00273589">
        <w:rPr>
          <w:rFonts w:cs="Arial"/>
          <w:lang w:val="es-MX"/>
        </w:rPr>
        <w:t>referido</w:t>
      </w:r>
      <w:r w:rsidR="00E1637B">
        <w:rPr>
          <w:rFonts w:cs="Arial"/>
          <w:lang w:val="es-MX"/>
        </w:rPr>
        <w:t>,</w:t>
      </w:r>
      <w:r w:rsidR="00AB70FF">
        <w:rPr>
          <w:rFonts w:cs="Arial"/>
          <w:lang w:val="es-MX"/>
        </w:rPr>
        <w:t xml:space="preserve">  </w:t>
      </w:r>
      <w:r w:rsidR="00E1637B">
        <w:rPr>
          <w:rFonts w:cs="Arial"/>
          <w:lang w:val="es-MX"/>
        </w:rPr>
        <w:t xml:space="preserve"> </w:t>
      </w:r>
      <w:r w:rsidR="00F6775D">
        <w:rPr>
          <w:rFonts w:cs="Arial"/>
          <w:lang w:val="es-MX"/>
        </w:rPr>
        <w:t>por</w:t>
      </w:r>
      <w:r w:rsidR="00AB70FF">
        <w:rPr>
          <w:rFonts w:cs="Arial"/>
          <w:lang w:val="es-MX"/>
        </w:rPr>
        <w:t xml:space="preserve">  </w:t>
      </w:r>
      <w:r w:rsidR="00F6775D">
        <w:rPr>
          <w:rFonts w:cs="Arial"/>
          <w:lang w:val="es-MX"/>
        </w:rPr>
        <w:t xml:space="preserve"> lo </w:t>
      </w:r>
      <w:r w:rsidR="00AB70FF">
        <w:rPr>
          <w:rFonts w:cs="Arial"/>
          <w:lang w:val="es-MX"/>
        </w:rPr>
        <w:t xml:space="preserve">  </w:t>
      </w:r>
      <w:r w:rsidR="00F6775D">
        <w:rPr>
          <w:rFonts w:cs="Arial"/>
          <w:lang w:val="es-MX"/>
        </w:rPr>
        <w:t xml:space="preserve">que solicita que se  habilite </w:t>
      </w:r>
      <w:r w:rsidR="00E1637B">
        <w:rPr>
          <w:rFonts w:cs="Arial"/>
          <w:lang w:val="es-MX"/>
        </w:rPr>
        <w:t xml:space="preserve"> la realización de</w:t>
      </w:r>
      <w:r w:rsidR="008F16E1">
        <w:rPr>
          <w:rFonts w:cs="Arial"/>
          <w:lang w:val="es-MX"/>
        </w:rPr>
        <w:t xml:space="preserve"> </w:t>
      </w:r>
      <w:r w:rsidR="00E1637B">
        <w:rPr>
          <w:rFonts w:cs="Arial"/>
          <w:lang w:val="es-MX"/>
        </w:rPr>
        <w:t xml:space="preserve">la </w:t>
      </w:r>
    </w:p>
    <w:p w:rsidR="00AB70FF" w:rsidRDefault="00AB70FF" w:rsidP="0015458E">
      <w:pPr>
        <w:pStyle w:val="Sangradetextonormal"/>
        <w:widowControl w:val="0"/>
        <w:ind w:firstLine="0"/>
        <w:jc w:val="both"/>
        <w:rPr>
          <w:rFonts w:cs="Arial"/>
          <w:lang w:val="es-MX"/>
        </w:rPr>
      </w:pPr>
    </w:p>
    <w:p w:rsidR="00E1637B" w:rsidRDefault="00E1637B" w:rsidP="0015458E">
      <w:pPr>
        <w:pStyle w:val="Sangradetextonormal"/>
        <w:widowControl w:val="0"/>
        <w:ind w:firstLine="0"/>
        <w:jc w:val="both"/>
        <w:rPr>
          <w:rFonts w:cs="Arial"/>
          <w:lang w:val="es-MX"/>
        </w:rPr>
      </w:pPr>
      <w:r>
        <w:rPr>
          <w:rFonts w:cs="Arial"/>
          <w:lang w:val="es-MX"/>
        </w:rPr>
        <w:lastRenderedPageBreak/>
        <w:t xml:space="preserve">transferencia dispuesta por el Consejo </w:t>
      </w:r>
      <w:r w:rsidR="008F16E1">
        <w:rPr>
          <w:rFonts w:cs="Arial"/>
          <w:lang w:val="es-MX"/>
        </w:rPr>
        <w:t>D</w:t>
      </w:r>
      <w:r w:rsidR="008D6418">
        <w:rPr>
          <w:rFonts w:cs="Arial"/>
          <w:lang w:val="es-MX"/>
        </w:rPr>
        <w:t>irectiv</w:t>
      </w:r>
      <w:r w:rsidR="00F6775D">
        <w:rPr>
          <w:rFonts w:cs="Arial"/>
          <w:lang w:val="es-MX"/>
        </w:rPr>
        <w:t>o del SODRE, modificando a esos efectos la Resolución de este Tribunal Nº 750/19</w:t>
      </w:r>
      <w:r w:rsidR="008D6418">
        <w:rPr>
          <w:rFonts w:cs="Arial"/>
          <w:lang w:val="es-MX"/>
        </w:rPr>
        <w:t>;</w:t>
      </w:r>
    </w:p>
    <w:p w:rsidR="003E1BAF" w:rsidRDefault="00E1637B" w:rsidP="00AB70FF">
      <w:pPr>
        <w:pStyle w:val="Sangradetextonormal"/>
        <w:widowControl w:val="0"/>
        <w:ind w:firstLine="0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                       </w:t>
      </w:r>
      <w:r w:rsidR="002A0CB5">
        <w:rPr>
          <w:rFonts w:cs="Arial"/>
          <w:lang w:val="es-MX"/>
        </w:rPr>
        <w:t xml:space="preserve">  </w:t>
      </w:r>
      <w:r>
        <w:rPr>
          <w:rFonts w:cs="Arial"/>
          <w:lang w:val="es-MX"/>
        </w:rPr>
        <w:t xml:space="preserve"> </w:t>
      </w:r>
      <w:r w:rsidR="003E1BAF">
        <w:rPr>
          <w:rFonts w:cs="Arial"/>
          <w:lang w:val="es-MX"/>
        </w:rPr>
        <w:t xml:space="preserve">            </w:t>
      </w:r>
      <w:r w:rsidR="00A43779">
        <w:rPr>
          <w:rFonts w:cs="Arial"/>
          <w:lang w:val="es-MX"/>
        </w:rPr>
        <w:t xml:space="preserve"> </w:t>
      </w:r>
      <w:r>
        <w:rPr>
          <w:rFonts w:cs="Arial"/>
          <w:b/>
          <w:lang w:val="es-MX"/>
        </w:rPr>
        <w:t xml:space="preserve">4) </w:t>
      </w:r>
      <w:r>
        <w:rPr>
          <w:rFonts w:cs="Arial"/>
          <w:lang w:val="es-MX"/>
        </w:rPr>
        <w:t xml:space="preserve">que </w:t>
      </w:r>
      <w:r w:rsidR="00A43779">
        <w:rPr>
          <w:rFonts w:cs="Arial"/>
          <w:lang w:val="es-MX"/>
        </w:rPr>
        <w:t>se adjuntan a las actuaciones remitidas</w:t>
      </w:r>
      <w:r w:rsidR="006A1423">
        <w:rPr>
          <w:rFonts w:cs="Arial"/>
          <w:lang w:val="es-MX"/>
        </w:rPr>
        <w:t xml:space="preserve"> a)</w:t>
      </w:r>
      <w:r w:rsidR="008D6418">
        <w:rPr>
          <w:rFonts w:cs="Arial"/>
          <w:lang w:val="es-MX"/>
        </w:rPr>
        <w:t xml:space="preserve"> </w:t>
      </w:r>
      <w:r w:rsidR="006A1423">
        <w:rPr>
          <w:rFonts w:cs="Arial"/>
          <w:lang w:val="es-MX"/>
        </w:rPr>
        <w:t>copia de la Resoluciones del Poder Ejecutivo reasignando créditos presupuestales de la Unidad Ejecutora 016 SODRE</w:t>
      </w:r>
      <w:r w:rsidR="00FD183C">
        <w:rPr>
          <w:rFonts w:cs="Arial"/>
          <w:lang w:val="es-MX"/>
        </w:rPr>
        <w:t xml:space="preserve">, cuyo destino es financiar pagos de contrataciones realizadas por el Fondo de Desarrollo Artístico y Cultural, cuyo </w:t>
      </w:r>
      <w:r w:rsidR="00165C50">
        <w:rPr>
          <w:rFonts w:cs="Arial"/>
          <w:lang w:val="es-MX"/>
        </w:rPr>
        <w:t xml:space="preserve">titular es CONAFINA AFISA SA, a saber: Nº 1359/17 de 14/12/2014 </w:t>
      </w:r>
      <w:r w:rsidR="003E1BAF">
        <w:rPr>
          <w:rFonts w:cs="Arial"/>
          <w:lang w:val="es-MX"/>
        </w:rPr>
        <w:t xml:space="preserve"> </w:t>
      </w:r>
      <w:r w:rsidR="00165C50">
        <w:rPr>
          <w:rFonts w:cs="Arial"/>
          <w:lang w:val="es-MX"/>
        </w:rPr>
        <w:t>por</w:t>
      </w:r>
      <w:r w:rsidR="003E1BAF">
        <w:rPr>
          <w:rFonts w:cs="Arial"/>
          <w:lang w:val="es-MX"/>
        </w:rPr>
        <w:t xml:space="preserve"> </w:t>
      </w:r>
      <w:r w:rsidR="00165C50">
        <w:rPr>
          <w:rFonts w:cs="Arial"/>
          <w:lang w:val="es-MX"/>
        </w:rPr>
        <w:t xml:space="preserve"> la</w:t>
      </w:r>
      <w:r w:rsidR="003E1BAF">
        <w:rPr>
          <w:rFonts w:cs="Arial"/>
          <w:lang w:val="es-MX"/>
        </w:rPr>
        <w:t xml:space="preserve"> </w:t>
      </w:r>
      <w:r w:rsidR="00165C50">
        <w:rPr>
          <w:rFonts w:cs="Arial"/>
          <w:lang w:val="es-MX"/>
        </w:rPr>
        <w:t xml:space="preserve"> suma de $ 17:668.831, Nº 6/18 de 5/2/2018 por la suma de </w:t>
      </w:r>
    </w:p>
    <w:p w:rsidR="000D6D51" w:rsidRPr="000D6D51" w:rsidRDefault="00165C50" w:rsidP="003E1BAF">
      <w:pPr>
        <w:pStyle w:val="Sangradetextonormal"/>
        <w:widowControl w:val="0"/>
        <w:ind w:firstLine="0"/>
        <w:jc w:val="both"/>
        <w:rPr>
          <w:rFonts w:cs="Arial"/>
          <w:lang w:val="es-MX"/>
        </w:rPr>
      </w:pPr>
      <w:r>
        <w:rPr>
          <w:rFonts w:cs="Arial"/>
          <w:lang w:val="es-MX"/>
        </w:rPr>
        <w:t>$ 7:775.371; y Nº 121/18 de 5/11/2018 por la suma de $ 1:459.732 y  767.468; b</w:t>
      </w:r>
      <w:r w:rsidR="00FD183C">
        <w:rPr>
          <w:rFonts w:cs="Arial"/>
          <w:lang w:val="es-MX"/>
        </w:rPr>
        <w:t>) contrato de Fideicomiso de Admini</w:t>
      </w:r>
      <w:r w:rsidR="005648B7">
        <w:rPr>
          <w:rFonts w:cs="Arial"/>
          <w:lang w:val="es-MX"/>
        </w:rPr>
        <w:t>s</w:t>
      </w:r>
      <w:r w:rsidR="00FD183C">
        <w:rPr>
          <w:rFonts w:cs="Arial"/>
          <w:lang w:val="es-MX"/>
        </w:rPr>
        <w:t>tración “Fondo de Desarrollo Artístico y Cultural del SODRE”</w:t>
      </w:r>
      <w:r w:rsidR="00273589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c</w:t>
      </w:r>
      <w:r w:rsidR="00FD183C">
        <w:rPr>
          <w:rFonts w:cs="Arial"/>
          <w:lang w:val="es-MX"/>
        </w:rPr>
        <w:t xml:space="preserve">) </w:t>
      </w:r>
      <w:r w:rsidR="00273589">
        <w:rPr>
          <w:rFonts w:cs="Arial"/>
          <w:lang w:val="es-MX"/>
        </w:rPr>
        <w:t>c</w:t>
      </w:r>
      <w:r w:rsidR="00FD183C">
        <w:rPr>
          <w:rFonts w:cs="Arial"/>
          <w:lang w:val="es-MX"/>
        </w:rPr>
        <w:t>opias de resoluciones de este Tribunal de fechas 24.10.12 y 05.12.12, no formulando o</w:t>
      </w:r>
      <w:r>
        <w:rPr>
          <w:rFonts w:cs="Arial"/>
          <w:lang w:val="es-MX"/>
        </w:rPr>
        <w:t>bservacion</w:t>
      </w:r>
      <w:r w:rsidR="00D71A19">
        <w:rPr>
          <w:rFonts w:cs="Arial"/>
          <w:lang w:val="es-MX"/>
        </w:rPr>
        <w:t xml:space="preserve">es al fideicomiso </w:t>
      </w:r>
      <w:r w:rsidR="00A43779">
        <w:rPr>
          <w:rFonts w:cs="Arial"/>
          <w:lang w:val="es-MX"/>
        </w:rPr>
        <w:t xml:space="preserve">y d) Resolución de este Tribunal Nº 320/19 de 30 de enero de 2019, en la que no se exige el dictado de la Resolución del Poder Ejecutivo;           </w:t>
      </w:r>
      <w:r>
        <w:rPr>
          <w:rFonts w:cs="Arial"/>
          <w:lang w:val="es-MX"/>
        </w:rPr>
        <w:t xml:space="preserve"> </w:t>
      </w:r>
      <w:r w:rsidR="00FD183C">
        <w:rPr>
          <w:rFonts w:cs="Arial"/>
          <w:lang w:val="es-MX"/>
        </w:rPr>
        <w:t xml:space="preserve"> </w:t>
      </w:r>
      <w:r w:rsidR="006A1423">
        <w:rPr>
          <w:rFonts w:cs="Arial"/>
          <w:lang w:val="es-MX"/>
        </w:rPr>
        <w:t xml:space="preserve">  </w:t>
      </w:r>
      <w:r w:rsidR="000D6D51">
        <w:rPr>
          <w:rFonts w:cs="Arial"/>
          <w:lang w:val="es-MX"/>
        </w:rPr>
        <w:t xml:space="preserve">  </w:t>
      </w:r>
    </w:p>
    <w:p w:rsidR="00D15A7E" w:rsidRPr="006C365F" w:rsidRDefault="00D15A7E" w:rsidP="003E1BAF">
      <w:pPr>
        <w:pStyle w:val="Ttulo3"/>
        <w:ind w:firstLine="709"/>
        <w:jc w:val="both"/>
        <w:rPr>
          <w:b w:val="0"/>
          <w:bCs w:val="0"/>
          <w:i w:val="0"/>
          <w:iCs w:val="0"/>
          <w:sz w:val="24"/>
        </w:rPr>
      </w:pPr>
      <w:r w:rsidRPr="006C365F">
        <w:rPr>
          <w:i w:val="0"/>
          <w:iCs w:val="0"/>
          <w:sz w:val="24"/>
        </w:rPr>
        <w:t>CONSIDERANDO:</w:t>
      </w:r>
      <w:r w:rsidRPr="006C365F">
        <w:rPr>
          <w:b w:val="0"/>
          <w:bCs w:val="0"/>
          <w:i w:val="0"/>
          <w:iCs w:val="0"/>
          <w:sz w:val="24"/>
        </w:rPr>
        <w:t xml:space="preserve"> </w:t>
      </w:r>
      <w:r w:rsidRPr="006C365F">
        <w:rPr>
          <w:bCs w:val="0"/>
          <w:i w:val="0"/>
          <w:iCs w:val="0"/>
          <w:sz w:val="24"/>
        </w:rPr>
        <w:t>1)</w:t>
      </w:r>
      <w:r w:rsidRPr="006C365F">
        <w:rPr>
          <w:b w:val="0"/>
          <w:bCs w:val="0"/>
          <w:i w:val="0"/>
          <w:iCs w:val="0"/>
          <w:sz w:val="24"/>
        </w:rPr>
        <w:t xml:space="preserve"> que la transferencia </w:t>
      </w:r>
      <w:r w:rsidR="00733C77">
        <w:rPr>
          <w:b w:val="0"/>
          <w:bCs w:val="0"/>
          <w:i w:val="0"/>
          <w:iCs w:val="0"/>
          <w:sz w:val="24"/>
        </w:rPr>
        <w:t>de fondos remitida</w:t>
      </w:r>
      <w:r w:rsidRPr="006C365F">
        <w:rPr>
          <w:b w:val="0"/>
          <w:bCs w:val="0"/>
          <w:i w:val="0"/>
          <w:iCs w:val="0"/>
          <w:sz w:val="24"/>
        </w:rPr>
        <w:t xml:space="preserve"> </w:t>
      </w:r>
      <w:r>
        <w:rPr>
          <w:b w:val="0"/>
          <w:bCs w:val="0"/>
          <w:i w:val="0"/>
          <w:iCs w:val="0"/>
          <w:sz w:val="24"/>
        </w:rPr>
        <w:t xml:space="preserve">en </w:t>
      </w:r>
      <w:r w:rsidR="00600912">
        <w:rPr>
          <w:b w:val="0"/>
          <w:bCs w:val="0"/>
          <w:i w:val="0"/>
          <w:iCs w:val="0"/>
          <w:sz w:val="24"/>
        </w:rPr>
        <w:t>su</w:t>
      </w:r>
      <w:r>
        <w:rPr>
          <w:b w:val="0"/>
          <w:bCs w:val="0"/>
          <w:i w:val="0"/>
          <w:iCs w:val="0"/>
          <w:sz w:val="24"/>
        </w:rPr>
        <w:t xml:space="preserve"> oportunidad </w:t>
      </w:r>
      <w:r w:rsidRPr="006C365F">
        <w:rPr>
          <w:b w:val="0"/>
          <w:bCs w:val="0"/>
          <w:i w:val="0"/>
          <w:iCs w:val="0"/>
          <w:sz w:val="24"/>
        </w:rPr>
        <w:t>por el Consejo Directivo del SODRE, se disp</w:t>
      </w:r>
      <w:r w:rsidR="002A0CB5">
        <w:rPr>
          <w:b w:val="0"/>
          <w:bCs w:val="0"/>
          <w:i w:val="0"/>
          <w:iCs w:val="0"/>
          <w:sz w:val="24"/>
        </w:rPr>
        <w:t>uso</w:t>
      </w:r>
      <w:r w:rsidRPr="006C365F">
        <w:rPr>
          <w:b w:val="0"/>
          <w:bCs w:val="0"/>
          <w:i w:val="0"/>
          <w:iCs w:val="0"/>
          <w:sz w:val="24"/>
        </w:rPr>
        <w:t xml:space="preserve"> en el marco </w:t>
      </w:r>
      <w:r>
        <w:rPr>
          <w:b w:val="0"/>
          <w:bCs w:val="0"/>
          <w:i w:val="0"/>
          <w:iCs w:val="0"/>
          <w:sz w:val="24"/>
        </w:rPr>
        <w:t xml:space="preserve">del </w:t>
      </w:r>
      <w:r w:rsidRPr="006C365F">
        <w:rPr>
          <w:b w:val="0"/>
          <w:bCs w:val="0"/>
          <w:i w:val="0"/>
          <w:iCs w:val="0"/>
          <w:sz w:val="24"/>
        </w:rPr>
        <w:t xml:space="preserve">contrato de fideicomiso celebrado con fecha 3 de setiembre de 2012, al amparo del artículo 203 de la Ley 18.834 de 4 de noviembre de 2011, </w:t>
      </w:r>
      <w:r w:rsidR="00A43779">
        <w:rPr>
          <w:b w:val="0"/>
          <w:bCs w:val="0"/>
          <w:i w:val="0"/>
          <w:iCs w:val="0"/>
          <w:sz w:val="24"/>
        </w:rPr>
        <w:t>que</w:t>
      </w:r>
      <w:r w:rsidR="00733C77">
        <w:rPr>
          <w:b w:val="0"/>
          <w:bCs w:val="0"/>
          <w:i w:val="0"/>
          <w:iCs w:val="0"/>
          <w:sz w:val="24"/>
        </w:rPr>
        <w:t xml:space="preserve"> </w:t>
      </w:r>
      <w:r w:rsidRPr="006C365F">
        <w:rPr>
          <w:b w:val="0"/>
          <w:bCs w:val="0"/>
          <w:i w:val="0"/>
          <w:iCs w:val="0"/>
          <w:sz w:val="24"/>
        </w:rPr>
        <w:t>fue intervenido oportunamente por este Tribunal;</w:t>
      </w:r>
    </w:p>
    <w:p w:rsidR="00B303F7" w:rsidRDefault="00D15A7E" w:rsidP="00D15A7E">
      <w:pPr>
        <w:spacing w:line="360" w:lineRule="auto"/>
        <w:jc w:val="both"/>
      </w:pPr>
      <w:r>
        <w:rPr>
          <w:b/>
        </w:rPr>
        <w:t xml:space="preserve">                                </w:t>
      </w:r>
      <w:r w:rsidR="00600912">
        <w:rPr>
          <w:b/>
        </w:rPr>
        <w:t xml:space="preserve">      </w:t>
      </w:r>
      <w:r w:rsidR="003E1BAF">
        <w:rPr>
          <w:b/>
        </w:rPr>
        <w:t xml:space="preserve">    </w:t>
      </w:r>
      <w:r w:rsidRPr="006C365F">
        <w:rPr>
          <w:b/>
        </w:rPr>
        <w:t>2)</w:t>
      </w:r>
      <w:r>
        <w:rPr>
          <w:b/>
        </w:rPr>
        <w:t xml:space="preserve"> </w:t>
      </w:r>
      <w:r>
        <w:t>q</w:t>
      </w:r>
      <w:r w:rsidRPr="006C365F">
        <w:t xml:space="preserve">ue </w:t>
      </w:r>
      <w:r w:rsidR="00600912">
        <w:t>el SODRE</w:t>
      </w:r>
      <w:r w:rsidR="003949BE">
        <w:t>, actuando en ejercicio de atribuciones delegadas por el Poder Ejecutivo, suscribió con</w:t>
      </w:r>
      <w:r w:rsidR="00AC1DB2">
        <w:t xml:space="preserve"> fecha 3 de setiembre de 2012 el referido</w:t>
      </w:r>
      <w:r w:rsidR="003949BE">
        <w:t xml:space="preserve"> contrato de Fideicomiso con CONAFIN AFISA, y de acuerdo con lo previsto en las Cláusulas Tercera y Décimo Séptimo </w:t>
      </w:r>
      <w:r w:rsidR="00D71A19">
        <w:t>del</w:t>
      </w:r>
      <w:r w:rsidR="00AC1DB2">
        <w:t xml:space="preserve"> mismo</w:t>
      </w:r>
      <w:r w:rsidR="003949BE">
        <w:t>, se obligó a  transferir</w:t>
      </w:r>
      <w:r w:rsidR="00600912">
        <w:t xml:space="preserve"> al Fon</w:t>
      </w:r>
      <w:r w:rsidR="003949BE">
        <w:t>do las partidas previstas</w:t>
      </w:r>
      <w:r w:rsidR="00B303F7">
        <w:t>;</w:t>
      </w:r>
    </w:p>
    <w:p w:rsidR="003E1BAF" w:rsidRDefault="00B303F7" w:rsidP="00D15A7E">
      <w:pPr>
        <w:spacing w:line="360" w:lineRule="auto"/>
        <w:jc w:val="both"/>
      </w:pPr>
      <w:r>
        <w:t xml:space="preserve">                              </w:t>
      </w:r>
      <w:r w:rsidR="0029470F">
        <w:t xml:space="preserve">  </w:t>
      </w:r>
      <w:r>
        <w:t xml:space="preserve">     </w:t>
      </w:r>
      <w:r w:rsidR="003E1BAF">
        <w:t xml:space="preserve">     </w:t>
      </w:r>
      <w:r w:rsidRPr="00B303F7">
        <w:rPr>
          <w:b/>
        </w:rPr>
        <w:t xml:space="preserve">3) </w:t>
      </w:r>
      <w:r>
        <w:t>que</w:t>
      </w:r>
      <w:r w:rsidR="003949BE">
        <w:t xml:space="preserve"> </w:t>
      </w:r>
      <w:r w:rsidR="003E1BAF">
        <w:t xml:space="preserve">   </w:t>
      </w:r>
      <w:r w:rsidR="003949BE">
        <w:t xml:space="preserve">el </w:t>
      </w:r>
      <w:r w:rsidR="003E1BAF">
        <w:t xml:space="preserve">   </w:t>
      </w:r>
      <w:r w:rsidR="000E61CB">
        <w:t xml:space="preserve">literal A) </w:t>
      </w:r>
      <w:r w:rsidR="003E1BAF">
        <w:t xml:space="preserve">   </w:t>
      </w:r>
      <w:r w:rsidR="000E61CB">
        <w:t xml:space="preserve">del </w:t>
      </w:r>
      <w:r w:rsidR="003E1BAF">
        <w:t xml:space="preserve">   </w:t>
      </w:r>
      <w:r w:rsidR="003949BE">
        <w:t>artículo</w:t>
      </w:r>
      <w:r w:rsidR="003E1BAF">
        <w:t xml:space="preserve">  </w:t>
      </w:r>
      <w:r w:rsidR="003949BE">
        <w:t xml:space="preserve"> </w:t>
      </w:r>
      <w:r w:rsidR="000E61CB">
        <w:t xml:space="preserve">203 de la Ley </w:t>
      </w:r>
    </w:p>
    <w:p w:rsidR="003949BE" w:rsidRPr="003E1BAF" w:rsidRDefault="000E61CB" w:rsidP="00D15A7E">
      <w:pPr>
        <w:spacing w:line="360" w:lineRule="auto"/>
        <w:jc w:val="both"/>
      </w:pPr>
      <w:r>
        <w:t xml:space="preserve">Nº 18.834 de fecha 4/11/2011, prevé que el Fondo se integrará  </w:t>
      </w:r>
      <w:r w:rsidRPr="003E1BAF">
        <w:t xml:space="preserve">con “los aportes que determine el Poder Ejecutivo, provenientes de la disminución permanente de los créditos presupuestales de gastos de funcionamiento –incluidos los correspondientes a supresiones de vacantes – e inversiones, de la </w:t>
      </w:r>
      <w:r w:rsidRPr="003E1BAF">
        <w:lastRenderedPageBreak/>
        <w:t>unidad ejecutora 016 “Servicio Oficial de Difusión, Radiotelevisión y Espectáculos”, del Inciso 11 “Ministerio de Cultura”. La Contaduría General de la Nación habiitará en un objeto específico del Inciso 24 “Diversos Créditos” el</w:t>
      </w:r>
      <w:r w:rsidRPr="000E61CB">
        <w:rPr>
          <w:i/>
        </w:rPr>
        <w:t xml:space="preserve"> </w:t>
      </w:r>
      <w:r w:rsidRPr="003E1BAF">
        <w:t>resultante de los abatimientos que se disponga al amparo de la presente norma, a efecto de su transferencia al fideicomiso autorizado”</w:t>
      </w:r>
      <w:r w:rsidR="003E1BAF">
        <w:t>;</w:t>
      </w:r>
    </w:p>
    <w:p w:rsidR="000E61CB" w:rsidRDefault="000E61CB" w:rsidP="00D15A7E">
      <w:pPr>
        <w:spacing w:line="360" w:lineRule="auto"/>
        <w:jc w:val="both"/>
      </w:pPr>
      <w:r w:rsidRPr="000E61CB">
        <w:rPr>
          <w:b/>
        </w:rPr>
        <w:t xml:space="preserve">                                      </w:t>
      </w:r>
      <w:r w:rsidR="003E1BAF">
        <w:rPr>
          <w:b/>
        </w:rPr>
        <w:t xml:space="preserve">         </w:t>
      </w:r>
      <w:r w:rsidRPr="000E61CB">
        <w:rPr>
          <w:b/>
        </w:rPr>
        <w:t>4)</w:t>
      </w:r>
      <w:r>
        <w:t xml:space="preserve"> que en la oportunidad</w:t>
      </w:r>
      <w:r w:rsidR="003F6468">
        <w:t>,</w:t>
      </w:r>
      <w:r>
        <w:t xml:space="preserve"> el organismo da cuenta que la transferencia dispuesta se hace con cargo a fondos que fueron reasignados por las Resoluciones </w:t>
      </w:r>
      <w:r w:rsidR="00CD153C">
        <w:t xml:space="preserve">del Poder Ejecutivo que se adjuntan, (dictadas por el Presidente en acuerdo con los Ministros de Educación y Cultura y de Economía y Finanzas) al Inciso 24 “Diversos créditos” para su transferencia al Fideicomiso SODRE; </w:t>
      </w:r>
    </w:p>
    <w:p w:rsidR="00B303F7" w:rsidRDefault="00CD153C" w:rsidP="00D15A7E">
      <w:pPr>
        <w:spacing w:line="360" w:lineRule="auto"/>
        <w:jc w:val="both"/>
      </w:pPr>
      <w:r w:rsidRPr="000007BE">
        <w:rPr>
          <w:b/>
        </w:rPr>
        <w:t xml:space="preserve">                                     </w:t>
      </w:r>
      <w:r w:rsidR="003E1BAF">
        <w:rPr>
          <w:b/>
        </w:rPr>
        <w:t xml:space="preserve">          </w:t>
      </w:r>
      <w:r w:rsidRPr="000007BE">
        <w:rPr>
          <w:b/>
        </w:rPr>
        <w:t>5)</w:t>
      </w:r>
      <w:r>
        <w:t xml:space="preserve"> que, en consecuencia, </w:t>
      </w:r>
      <w:r w:rsidR="00446119">
        <w:t>corresponde modificar la Resolución</w:t>
      </w:r>
      <w:r w:rsidR="00446119" w:rsidRPr="00446119">
        <w:t xml:space="preserve"> </w:t>
      </w:r>
      <w:r w:rsidR="00446119">
        <w:t>N°</w:t>
      </w:r>
      <w:r w:rsidR="00273589">
        <w:t xml:space="preserve"> </w:t>
      </w:r>
      <w:r w:rsidR="00446119">
        <w:t>750/19 de 20/03/19</w:t>
      </w:r>
      <w:r>
        <w:t xml:space="preserve"> de este Tribunal</w:t>
      </w:r>
      <w:r w:rsidR="00446119">
        <w:t>,</w:t>
      </w:r>
      <w:r w:rsidR="005919C5">
        <w:t xml:space="preserve"> cometiendo al contador </w:t>
      </w:r>
      <w:r w:rsidR="00AC1DB2">
        <w:t xml:space="preserve">delegado </w:t>
      </w:r>
      <w:r>
        <w:t xml:space="preserve">ante el Ministerio de Educación </w:t>
      </w:r>
      <w:r w:rsidR="000007BE">
        <w:t>y Cultura la intervención del gasto dispuesto po</w:t>
      </w:r>
      <w:r w:rsidR="003F6468">
        <w:t>r el Consejo Directivo del SODRE</w:t>
      </w:r>
      <w:r w:rsidR="000007BE">
        <w:t>;</w:t>
      </w:r>
      <w:r w:rsidR="00446119">
        <w:t xml:space="preserve"> </w:t>
      </w:r>
    </w:p>
    <w:p w:rsidR="00A43779" w:rsidRPr="00A43779" w:rsidRDefault="00A43779" w:rsidP="00D15A7E">
      <w:pPr>
        <w:spacing w:line="360" w:lineRule="auto"/>
        <w:jc w:val="both"/>
      </w:pPr>
      <w:r>
        <w:t xml:space="preserve">                                 </w:t>
      </w:r>
      <w:r w:rsidRPr="00A43779">
        <w:rPr>
          <w:b/>
        </w:rPr>
        <w:t xml:space="preserve"> </w:t>
      </w:r>
      <w:r w:rsidR="00AC1DB2">
        <w:rPr>
          <w:b/>
        </w:rPr>
        <w:t xml:space="preserve">  </w:t>
      </w:r>
      <w:r w:rsidR="003E1BAF">
        <w:rPr>
          <w:b/>
        </w:rPr>
        <w:t xml:space="preserve">           </w:t>
      </w:r>
      <w:r w:rsidRPr="00A43779">
        <w:rPr>
          <w:b/>
        </w:rPr>
        <w:t xml:space="preserve">6) </w:t>
      </w:r>
      <w:r w:rsidR="00AC1DB2">
        <w:t>que la</w:t>
      </w:r>
      <w:r>
        <w:t xml:space="preserve"> disparidad de criterios sustentados por este Tribunal en las Resoluciones remitidas será tenida en cuenta y analizada en próximas instancias, en atenci</w:t>
      </w:r>
      <w:r w:rsidR="00AC1DB2">
        <w:t>ón a</w:t>
      </w:r>
      <w:r w:rsidR="00D71A19">
        <w:t xml:space="preserve"> los antecedentes que se adjunten</w:t>
      </w:r>
      <w:r>
        <w:t xml:space="preserve"> en cada caso;</w:t>
      </w:r>
    </w:p>
    <w:p w:rsidR="00D15A7E" w:rsidRPr="006C365F" w:rsidRDefault="00D15A7E" w:rsidP="003E1BAF">
      <w:pPr>
        <w:pStyle w:val="Textoindependiente"/>
        <w:ind w:firstLine="709"/>
        <w:rPr>
          <w:rFonts w:ascii="Arial" w:hAnsi="Arial" w:cs="Arial"/>
        </w:rPr>
      </w:pPr>
      <w:r w:rsidRPr="006C365F">
        <w:rPr>
          <w:rFonts w:ascii="Arial" w:hAnsi="Arial" w:cs="Arial"/>
          <w:b/>
          <w:bCs/>
        </w:rPr>
        <w:t xml:space="preserve">ATENTO: </w:t>
      </w:r>
      <w:r w:rsidRPr="006C365F">
        <w:rPr>
          <w:rFonts w:ascii="Arial" w:hAnsi="Arial" w:cs="Arial"/>
        </w:rPr>
        <w:t>a lo precedentemente expuest</w:t>
      </w:r>
      <w:r w:rsidR="00F82794">
        <w:rPr>
          <w:rFonts w:ascii="Arial" w:hAnsi="Arial" w:cs="Arial"/>
        </w:rPr>
        <w:t>o y a lo establecido</w:t>
      </w:r>
      <w:r w:rsidR="003F6468">
        <w:rPr>
          <w:rFonts w:ascii="Arial" w:hAnsi="Arial" w:cs="Arial"/>
        </w:rPr>
        <w:t xml:space="preserve"> por el artículo</w:t>
      </w:r>
      <w:r w:rsidRPr="006C365F">
        <w:rPr>
          <w:rFonts w:ascii="Arial" w:hAnsi="Arial" w:cs="Arial"/>
        </w:rPr>
        <w:t xml:space="preserve"> 211 literal B) de la Constitución de la República;</w:t>
      </w:r>
    </w:p>
    <w:p w:rsidR="00D15A7E" w:rsidRPr="00660E8E" w:rsidRDefault="00D15A7E" w:rsidP="00D15A7E">
      <w:pPr>
        <w:pStyle w:val="Textoindependiente"/>
        <w:jc w:val="center"/>
        <w:rPr>
          <w:rFonts w:ascii="Arial" w:hAnsi="Arial" w:cs="Arial"/>
          <w:b/>
        </w:rPr>
      </w:pPr>
      <w:r w:rsidRPr="00660E8E">
        <w:rPr>
          <w:rFonts w:ascii="Arial" w:hAnsi="Arial" w:cs="Arial"/>
          <w:b/>
        </w:rPr>
        <w:t>EL TRIBUNAL ACUERDA</w:t>
      </w:r>
    </w:p>
    <w:p w:rsidR="00D15A7E" w:rsidRPr="000E6628" w:rsidRDefault="000E6628" w:rsidP="003E1BAF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jc w:val="both"/>
        <w:rPr>
          <w:rFonts w:cs="Arial"/>
          <w:szCs w:val="20"/>
          <w:lang w:val="es-MX"/>
        </w:rPr>
      </w:pPr>
      <w:r w:rsidRPr="000E6628">
        <w:rPr>
          <w:rFonts w:cs="Arial"/>
          <w:lang w:val="es-MX"/>
        </w:rPr>
        <w:t xml:space="preserve">Sustituir </w:t>
      </w:r>
      <w:r w:rsidR="00273589">
        <w:rPr>
          <w:rFonts w:cs="Arial"/>
          <w:lang w:val="es-MX"/>
        </w:rPr>
        <w:t xml:space="preserve">lo dispuesto en </w:t>
      </w:r>
      <w:r w:rsidRPr="000E6628">
        <w:rPr>
          <w:rFonts w:cs="Arial"/>
          <w:lang w:val="es-MX"/>
        </w:rPr>
        <w:t xml:space="preserve">el </w:t>
      </w:r>
      <w:r w:rsidR="00273589">
        <w:rPr>
          <w:rFonts w:cs="Arial"/>
          <w:lang w:val="es-MX"/>
        </w:rPr>
        <w:t xml:space="preserve">numeral </w:t>
      </w:r>
      <w:r w:rsidRPr="000E6628">
        <w:rPr>
          <w:rFonts w:cs="Arial"/>
          <w:lang w:val="es-MX"/>
        </w:rPr>
        <w:t xml:space="preserve">1) de la </w:t>
      </w:r>
      <w:r>
        <w:t>Resolución</w:t>
      </w:r>
      <w:r w:rsidRPr="00446119">
        <w:t xml:space="preserve"> </w:t>
      </w:r>
      <w:r>
        <w:t>N°</w:t>
      </w:r>
      <w:r w:rsidR="00273589">
        <w:t xml:space="preserve"> </w:t>
      </w:r>
      <w:r>
        <w:t xml:space="preserve">750/19 de fecha 20 de marzo de 2019, el </w:t>
      </w:r>
      <w:r w:rsidR="00273589">
        <w:t>que quedará redactado de la siguiente forma</w:t>
      </w:r>
      <w:r>
        <w:t>: “</w:t>
      </w:r>
      <w:r w:rsidRPr="00273589">
        <w:t>1)</w:t>
      </w:r>
      <w:r w:rsidRPr="000E6628">
        <w:rPr>
          <w:b/>
        </w:rPr>
        <w:t xml:space="preserve"> </w:t>
      </w:r>
      <w:r>
        <w:t>C</w:t>
      </w:r>
      <w:r w:rsidR="00D15A7E" w:rsidRPr="000E6628">
        <w:rPr>
          <w:rFonts w:cs="Arial"/>
          <w:lang w:val="es-MX"/>
        </w:rPr>
        <w:t>omete</w:t>
      </w:r>
      <w:r>
        <w:rPr>
          <w:rFonts w:cs="Arial"/>
          <w:lang w:val="es-MX"/>
        </w:rPr>
        <w:t>r</w:t>
      </w:r>
      <w:r w:rsidR="005919C5">
        <w:rPr>
          <w:rFonts w:cs="Arial"/>
          <w:lang w:val="es-MX"/>
        </w:rPr>
        <w:t xml:space="preserve"> al Contador </w:t>
      </w:r>
      <w:r w:rsidR="009A4B3D">
        <w:rPr>
          <w:rFonts w:cs="Arial"/>
          <w:lang w:val="es-MX"/>
        </w:rPr>
        <w:t>D</w:t>
      </w:r>
      <w:r w:rsidR="005919C5">
        <w:rPr>
          <w:rFonts w:cs="Arial"/>
          <w:lang w:val="es-MX"/>
        </w:rPr>
        <w:t>elegado de este Tribunal ante</w:t>
      </w:r>
      <w:r w:rsidR="00D15A7E" w:rsidRPr="000E6628">
        <w:rPr>
          <w:rFonts w:cs="Arial"/>
          <w:lang w:val="es-MX"/>
        </w:rPr>
        <w:t xml:space="preserve"> el Ministerio de Educación y Cultura, la intervención del gasto </w:t>
      </w:r>
      <w:r w:rsidR="00733C77" w:rsidRPr="000E6628">
        <w:rPr>
          <w:rFonts w:cs="Arial"/>
          <w:lang w:val="es-MX"/>
        </w:rPr>
        <w:t xml:space="preserve">de </w:t>
      </w:r>
      <w:r w:rsidR="00733C77" w:rsidRPr="000E6628">
        <w:rPr>
          <w:rFonts w:cs="Arial"/>
        </w:rPr>
        <w:t>$ 27.671.402</w:t>
      </w:r>
      <w:r w:rsidR="00E26230">
        <w:rPr>
          <w:rFonts w:cs="Arial"/>
        </w:rPr>
        <w:t>,</w:t>
      </w:r>
      <w:r w:rsidR="00733C77" w:rsidRPr="000E6628">
        <w:rPr>
          <w:rFonts w:cs="Arial"/>
          <w:lang w:val="es-MX"/>
        </w:rPr>
        <w:t xml:space="preserve"> </w:t>
      </w:r>
      <w:r w:rsidR="00D15A7E" w:rsidRPr="000E6628">
        <w:rPr>
          <w:rFonts w:cs="Arial"/>
          <w:spacing w:val="-3"/>
          <w:szCs w:val="20"/>
          <w:lang w:val="es-ES_tradnl"/>
        </w:rPr>
        <w:t xml:space="preserve">previo control de </w:t>
      </w:r>
      <w:r w:rsidR="00AC1DB2">
        <w:rPr>
          <w:rFonts w:cs="Arial"/>
          <w:spacing w:val="-3"/>
          <w:szCs w:val="20"/>
          <w:lang w:val="es-ES_tradnl"/>
        </w:rPr>
        <w:t>su imputación al grupo adecuado</w:t>
      </w:r>
      <w:r w:rsidR="00D15A7E" w:rsidRPr="000E6628">
        <w:rPr>
          <w:rFonts w:cs="Arial"/>
          <w:spacing w:val="-3"/>
          <w:szCs w:val="20"/>
          <w:lang w:val="es-ES_tradnl"/>
        </w:rPr>
        <w:t xml:space="preserve"> con disponibilidad suficiente y de que dicha Resolución concuerde con las actuaciones sometidas a</w:t>
      </w:r>
      <w:r w:rsidR="003F6468">
        <w:rPr>
          <w:rFonts w:cs="Arial"/>
          <w:spacing w:val="-3"/>
          <w:szCs w:val="20"/>
          <w:lang w:val="es-ES_tradnl"/>
        </w:rPr>
        <w:t>l control de este Tribunal (artículo</w:t>
      </w:r>
      <w:r w:rsidR="00D15A7E" w:rsidRPr="000E6628">
        <w:rPr>
          <w:rFonts w:cs="Arial"/>
          <w:spacing w:val="-3"/>
          <w:szCs w:val="20"/>
          <w:lang w:val="es-ES_tradnl"/>
        </w:rPr>
        <w:t xml:space="preserve"> 8 de la Ordenanza Nº 27, de 22 de mayo de 1958, en la </w:t>
      </w:r>
      <w:r w:rsidR="00D15A7E" w:rsidRPr="000E6628">
        <w:rPr>
          <w:rFonts w:cs="Arial"/>
          <w:spacing w:val="-3"/>
          <w:szCs w:val="20"/>
          <w:lang w:val="es-ES_tradnl"/>
        </w:rPr>
        <w:lastRenderedPageBreak/>
        <w:t>redacción dada por la Resolución de este Tribunal, de fecha 16 de junio de 2010)</w:t>
      </w:r>
      <w:r>
        <w:rPr>
          <w:rFonts w:cs="Arial"/>
          <w:spacing w:val="-3"/>
          <w:szCs w:val="20"/>
          <w:lang w:val="es-ES_tradnl"/>
        </w:rPr>
        <w:t>”</w:t>
      </w:r>
      <w:r w:rsidR="00D15A7E" w:rsidRPr="000E6628">
        <w:rPr>
          <w:rFonts w:cs="Arial"/>
          <w:spacing w:val="-3"/>
          <w:szCs w:val="20"/>
          <w:lang w:val="es-ES_tradnl"/>
        </w:rPr>
        <w:t>;</w:t>
      </w:r>
    </w:p>
    <w:p w:rsidR="000E6628" w:rsidRDefault="000E6628" w:rsidP="003E1BAF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jc w:val="both"/>
        <w:rPr>
          <w:rFonts w:cs="Arial"/>
          <w:lang w:val="es-MX"/>
        </w:rPr>
      </w:pPr>
      <w:r>
        <w:rPr>
          <w:rFonts w:cs="Arial"/>
          <w:lang w:val="es-MX"/>
        </w:rPr>
        <w:t>Eliminar el Considerando 2) de la referida Resolución;</w:t>
      </w:r>
    </w:p>
    <w:p w:rsidR="00D15A7E" w:rsidRPr="006C365F" w:rsidRDefault="00D15A7E" w:rsidP="003E1BAF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jc w:val="both"/>
        <w:rPr>
          <w:rFonts w:cs="Arial"/>
          <w:lang w:val="es-MX"/>
        </w:rPr>
      </w:pPr>
      <w:r w:rsidRPr="006C365F">
        <w:rPr>
          <w:rFonts w:cs="Arial"/>
          <w:lang w:val="es-MX"/>
        </w:rPr>
        <w:t xml:space="preserve">Comunicar al Contador </w:t>
      </w:r>
      <w:r w:rsidR="009A4B3D">
        <w:rPr>
          <w:rFonts w:cs="Arial"/>
          <w:lang w:val="es-MX"/>
        </w:rPr>
        <w:t>D</w:t>
      </w:r>
      <w:bookmarkStart w:id="0" w:name="_GoBack"/>
      <w:bookmarkEnd w:id="0"/>
      <w:r w:rsidR="00A43779">
        <w:rPr>
          <w:rFonts w:cs="Arial"/>
          <w:lang w:val="es-MX"/>
        </w:rPr>
        <w:t xml:space="preserve">elegado </w:t>
      </w:r>
      <w:r w:rsidR="003F6468">
        <w:rPr>
          <w:rFonts w:cs="Arial"/>
          <w:lang w:val="es-MX"/>
        </w:rPr>
        <w:t xml:space="preserve"> ante</w:t>
      </w:r>
      <w:r w:rsidRPr="006C365F">
        <w:rPr>
          <w:rFonts w:cs="Arial"/>
          <w:lang w:val="es-MX"/>
        </w:rPr>
        <w:t xml:space="preserve"> el M.E.C.</w:t>
      </w:r>
      <w:r w:rsidR="008720D9">
        <w:rPr>
          <w:rFonts w:cs="Arial"/>
          <w:lang w:val="es-MX"/>
        </w:rPr>
        <w:t>; y</w:t>
      </w:r>
      <w:r w:rsidR="00A43779">
        <w:rPr>
          <w:rFonts w:cs="Arial"/>
          <w:lang w:val="es-MX"/>
        </w:rPr>
        <w:t xml:space="preserve"> </w:t>
      </w:r>
    </w:p>
    <w:p w:rsidR="00D15A7E" w:rsidRPr="006C365F" w:rsidRDefault="00D15A7E" w:rsidP="003E1BAF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jc w:val="both"/>
        <w:rPr>
          <w:rFonts w:cs="Arial"/>
          <w:lang w:val="es-MX"/>
        </w:rPr>
      </w:pPr>
      <w:r w:rsidRPr="006C365F">
        <w:rPr>
          <w:rFonts w:cs="Arial"/>
          <w:lang w:val="es-MX"/>
        </w:rPr>
        <w:t>Devolver las actuaciones.</w:t>
      </w:r>
    </w:p>
    <w:p w:rsidR="00D15A7E" w:rsidRPr="006C365F" w:rsidRDefault="00D15A7E" w:rsidP="00D15A7E">
      <w:pPr>
        <w:pStyle w:val="Textoindependiente"/>
        <w:rPr>
          <w:rFonts w:ascii="Arial" w:hAnsi="Arial" w:cs="Arial"/>
        </w:rPr>
      </w:pPr>
    </w:p>
    <w:p w:rsidR="00D15A7E" w:rsidRPr="006C365F" w:rsidRDefault="00D15A7E" w:rsidP="00D15A7E">
      <w:pPr>
        <w:pStyle w:val="Textoindependiente"/>
        <w:jc w:val="right"/>
        <w:rPr>
          <w:rFonts w:ascii="Arial" w:hAnsi="Arial" w:cs="Arial"/>
          <w:b/>
          <w:i/>
        </w:rPr>
      </w:pPr>
    </w:p>
    <w:p w:rsidR="00D15A7E" w:rsidRDefault="00D15A7E" w:rsidP="00D15A7E">
      <w:pPr>
        <w:jc w:val="both"/>
      </w:pPr>
    </w:p>
    <w:p w:rsidR="008720D9" w:rsidRDefault="008720D9" w:rsidP="00D15A7E">
      <w:pPr>
        <w:jc w:val="both"/>
      </w:pPr>
    </w:p>
    <w:p w:rsidR="008720D9" w:rsidRDefault="008720D9" w:rsidP="00D15A7E">
      <w:pPr>
        <w:jc w:val="both"/>
      </w:pPr>
      <w:r>
        <w:t>cr</w:t>
      </w:r>
    </w:p>
    <w:p w:rsidR="00D15A7E" w:rsidRDefault="00D15A7E" w:rsidP="0015458E">
      <w:pPr>
        <w:pStyle w:val="Sangradetextonormal"/>
        <w:widowControl w:val="0"/>
        <w:ind w:firstLine="708"/>
        <w:jc w:val="both"/>
        <w:rPr>
          <w:rFonts w:cs="Arial"/>
          <w:b/>
        </w:rPr>
      </w:pPr>
    </w:p>
    <w:p w:rsidR="00DD3BA1" w:rsidRDefault="00DD3BA1"/>
    <w:p w:rsidR="00D15A7E" w:rsidRDefault="00D15A7E"/>
    <w:sectPr w:rsidR="00D15A7E" w:rsidSect="002666E1">
      <w:footerReference w:type="even" r:id="rId8"/>
      <w:foot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E7" w:rsidRDefault="008947E7">
      <w:r>
        <w:separator/>
      </w:r>
    </w:p>
  </w:endnote>
  <w:endnote w:type="continuationSeparator" w:id="0">
    <w:p w:rsidR="008947E7" w:rsidRDefault="0089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27" w:rsidRDefault="0086202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2DF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62027" w:rsidRDefault="0086202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27" w:rsidRDefault="0086202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4B3D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862027" w:rsidRDefault="008620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E7" w:rsidRDefault="008947E7">
      <w:r>
        <w:separator/>
      </w:r>
    </w:p>
  </w:footnote>
  <w:footnote w:type="continuationSeparator" w:id="0">
    <w:p w:rsidR="008947E7" w:rsidRDefault="00894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C77"/>
    <w:multiLevelType w:val="hybridMultilevel"/>
    <w:tmpl w:val="555879E6"/>
    <w:lvl w:ilvl="0" w:tplc="CDC2304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8E"/>
    <w:rsid w:val="000007BE"/>
    <w:rsid w:val="000D0662"/>
    <w:rsid w:val="000D6D51"/>
    <w:rsid w:val="000E61CB"/>
    <w:rsid w:val="000E6628"/>
    <w:rsid w:val="0015458E"/>
    <w:rsid w:val="00165C50"/>
    <w:rsid w:val="00180B09"/>
    <w:rsid w:val="002447EE"/>
    <w:rsid w:val="002666E1"/>
    <w:rsid w:val="00273589"/>
    <w:rsid w:val="0029470F"/>
    <w:rsid w:val="002A0CB5"/>
    <w:rsid w:val="002B6A13"/>
    <w:rsid w:val="003949BE"/>
    <w:rsid w:val="003D22B3"/>
    <w:rsid w:val="003E1BAF"/>
    <w:rsid w:val="003F6468"/>
    <w:rsid w:val="00446119"/>
    <w:rsid w:val="005648B7"/>
    <w:rsid w:val="00573C1E"/>
    <w:rsid w:val="005919C5"/>
    <w:rsid w:val="00600912"/>
    <w:rsid w:val="00665FC4"/>
    <w:rsid w:val="006A1423"/>
    <w:rsid w:val="00733C77"/>
    <w:rsid w:val="00862027"/>
    <w:rsid w:val="008720D9"/>
    <w:rsid w:val="008947E7"/>
    <w:rsid w:val="008D6418"/>
    <w:rsid w:val="008F16E1"/>
    <w:rsid w:val="009A4B3D"/>
    <w:rsid w:val="00A01D91"/>
    <w:rsid w:val="00A16102"/>
    <w:rsid w:val="00A43779"/>
    <w:rsid w:val="00AB70FF"/>
    <w:rsid w:val="00AC1DB2"/>
    <w:rsid w:val="00B303F7"/>
    <w:rsid w:val="00BB2DF0"/>
    <w:rsid w:val="00C165B5"/>
    <w:rsid w:val="00CD153C"/>
    <w:rsid w:val="00D15A7E"/>
    <w:rsid w:val="00D7172E"/>
    <w:rsid w:val="00D71A19"/>
    <w:rsid w:val="00DD3BA1"/>
    <w:rsid w:val="00DF4B28"/>
    <w:rsid w:val="00E1637B"/>
    <w:rsid w:val="00E26230"/>
    <w:rsid w:val="00E27B38"/>
    <w:rsid w:val="00F0689B"/>
    <w:rsid w:val="00F6775D"/>
    <w:rsid w:val="00F82794"/>
    <w:rsid w:val="00F95174"/>
    <w:rsid w:val="00F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58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5458E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15458E"/>
    <w:pPr>
      <w:keepNext/>
      <w:spacing w:line="360" w:lineRule="auto"/>
      <w:jc w:val="center"/>
      <w:outlineLvl w:val="2"/>
    </w:pPr>
    <w:rPr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5458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5458E"/>
    <w:rPr>
      <w:rFonts w:ascii="Arial" w:eastAsia="Times New Roman" w:hAnsi="Arial" w:cs="Times New Roman"/>
      <w:b/>
      <w:bCs/>
      <w:i/>
      <w:iCs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15458E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5458E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15458E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5458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1545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15458E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15458E"/>
  </w:style>
  <w:style w:type="paragraph" w:styleId="Textodeglobo">
    <w:name w:val="Balloon Text"/>
    <w:basedOn w:val="Normal"/>
    <w:link w:val="TextodegloboCar"/>
    <w:uiPriority w:val="99"/>
    <w:semiHidden/>
    <w:unhideWhenUsed/>
    <w:rsid w:val="008720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0D9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58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5458E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15458E"/>
    <w:pPr>
      <w:keepNext/>
      <w:spacing w:line="360" w:lineRule="auto"/>
      <w:jc w:val="center"/>
      <w:outlineLvl w:val="2"/>
    </w:pPr>
    <w:rPr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5458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5458E"/>
    <w:rPr>
      <w:rFonts w:ascii="Arial" w:eastAsia="Times New Roman" w:hAnsi="Arial" w:cs="Times New Roman"/>
      <w:b/>
      <w:bCs/>
      <w:i/>
      <w:iCs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15458E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5458E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15458E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5458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1545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15458E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15458E"/>
  </w:style>
  <w:style w:type="paragraph" w:styleId="Textodeglobo">
    <w:name w:val="Balloon Text"/>
    <w:basedOn w:val="Normal"/>
    <w:link w:val="TextodegloboCar"/>
    <w:uiPriority w:val="99"/>
    <w:semiHidden/>
    <w:unhideWhenUsed/>
    <w:rsid w:val="008720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0D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2019-05-20T17:50:00Z</cp:lastPrinted>
  <dcterms:created xsi:type="dcterms:W3CDTF">2019-05-20T17:50:00Z</dcterms:created>
  <dcterms:modified xsi:type="dcterms:W3CDTF">2019-05-20T17:50:00Z</dcterms:modified>
</cp:coreProperties>
</file>