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4A" w:rsidRPr="00CA414A" w:rsidRDefault="00CA414A" w:rsidP="00CA414A">
      <w:pPr>
        <w:tabs>
          <w:tab w:val="center" w:pos="4253"/>
        </w:tabs>
        <w:suppressAutoHyphens/>
        <w:spacing w:after="0" w:line="240" w:lineRule="auto"/>
        <w:jc w:val="right"/>
        <w:rPr>
          <w:rFonts w:ascii="Arial" w:eastAsia="Times New Roman" w:hAnsi="Arial" w:cs="Arial"/>
          <w:b/>
          <w:sz w:val="28"/>
          <w:szCs w:val="28"/>
          <w:lang w:val="es-ES_tradnl" w:eastAsia="es-ES"/>
        </w:rPr>
      </w:pPr>
      <w:r w:rsidRPr="00CA414A">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1212</w:t>
      </w:r>
      <w:r w:rsidRPr="00CA414A">
        <w:rPr>
          <w:rFonts w:ascii="Arial" w:eastAsia="Times New Roman" w:hAnsi="Arial" w:cs="Arial"/>
          <w:b/>
          <w:sz w:val="28"/>
          <w:szCs w:val="28"/>
          <w:lang w:val="es-ES_tradnl" w:eastAsia="es-ES"/>
        </w:rPr>
        <w:t>/19</w:t>
      </w:r>
    </w:p>
    <w:p w:rsidR="00CA414A" w:rsidRPr="00CA414A" w:rsidRDefault="00CA414A" w:rsidP="00CA414A">
      <w:pPr>
        <w:tabs>
          <w:tab w:val="center" w:pos="4253"/>
        </w:tabs>
        <w:suppressAutoHyphens/>
        <w:spacing w:after="0" w:line="240" w:lineRule="auto"/>
        <w:jc w:val="right"/>
        <w:rPr>
          <w:rFonts w:ascii="Arial" w:eastAsia="Times New Roman" w:hAnsi="Arial" w:cs="Arial"/>
          <w:b/>
          <w:sz w:val="24"/>
          <w:szCs w:val="24"/>
          <w:lang w:val="es-ES_tradnl" w:eastAsia="es-ES"/>
        </w:rPr>
      </w:pPr>
    </w:p>
    <w:p w:rsidR="00CA414A" w:rsidRPr="00CA414A" w:rsidRDefault="00CA414A" w:rsidP="00CA414A">
      <w:pPr>
        <w:tabs>
          <w:tab w:val="center" w:pos="4253"/>
        </w:tabs>
        <w:suppressAutoHyphens/>
        <w:spacing w:after="0" w:line="240" w:lineRule="auto"/>
        <w:jc w:val="center"/>
        <w:rPr>
          <w:rFonts w:ascii="Arial" w:eastAsia="Times New Roman" w:hAnsi="Arial" w:cs="Arial"/>
          <w:b/>
          <w:sz w:val="24"/>
          <w:szCs w:val="24"/>
          <w:lang w:val="es-ES_tradnl" w:eastAsia="es-ES"/>
        </w:rPr>
      </w:pPr>
      <w:r w:rsidRPr="00CA414A">
        <w:rPr>
          <w:rFonts w:ascii="Arial" w:eastAsia="Times New Roman" w:hAnsi="Arial" w:cs="Arial"/>
          <w:b/>
          <w:sz w:val="24"/>
          <w:szCs w:val="24"/>
          <w:lang w:val="es-ES_tradnl" w:eastAsia="es-ES"/>
        </w:rPr>
        <w:t>RESOLUCION ADOPTADA POR EL</w:t>
      </w:r>
    </w:p>
    <w:p w:rsidR="00CA414A" w:rsidRPr="00CA414A" w:rsidRDefault="00CA414A" w:rsidP="00CA414A">
      <w:pPr>
        <w:tabs>
          <w:tab w:val="left" w:pos="-720"/>
        </w:tabs>
        <w:suppressAutoHyphens/>
        <w:spacing w:after="0" w:line="240" w:lineRule="auto"/>
        <w:jc w:val="center"/>
        <w:rPr>
          <w:rFonts w:ascii="Arial" w:eastAsia="Times New Roman" w:hAnsi="Arial" w:cs="Arial"/>
          <w:b/>
          <w:sz w:val="24"/>
          <w:szCs w:val="24"/>
          <w:lang w:val="es-ES_tradnl" w:eastAsia="es-ES"/>
        </w:rPr>
      </w:pPr>
    </w:p>
    <w:p w:rsidR="00CA414A" w:rsidRPr="00CA414A" w:rsidRDefault="00CA414A" w:rsidP="00CA414A">
      <w:pPr>
        <w:tabs>
          <w:tab w:val="center" w:pos="4253"/>
        </w:tabs>
        <w:suppressAutoHyphens/>
        <w:spacing w:after="0" w:line="240" w:lineRule="auto"/>
        <w:jc w:val="center"/>
        <w:rPr>
          <w:rFonts w:ascii="Arial" w:eastAsia="Times New Roman" w:hAnsi="Arial" w:cs="Arial"/>
          <w:b/>
          <w:sz w:val="24"/>
          <w:szCs w:val="24"/>
          <w:lang w:val="es-ES_tradnl" w:eastAsia="es-ES"/>
        </w:rPr>
      </w:pPr>
      <w:r w:rsidRPr="00CA414A">
        <w:rPr>
          <w:rFonts w:ascii="Arial" w:eastAsia="Times New Roman" w:hAnsi="Arial" w:cs="Arial"/>
          <w:b/>
          <w:sz w:val="24"/>
          <w:szCs w:val="24"/>
          <w:lang w:val="es-ES_tradnl" w:eastAsia="es-ES"/>
        </w:rPr>
        <w:t>TRIBUNAL DE CUENTAS</w:t>
      </w:r>
    </w:p>
    <w:p w:rsidR="00CA414A" w:rsidRPr="00CA414A" w:rsidRDefault="00CA414A" w:rsidP="00CA414A">
      <w:pPr>
        <w:tabs>
          <w:tab w:val="left" w:pos="-720"/>
        </w:tabs>
        <w:suppressAutoHyphens/>
        <w:spacing w:after="0" w:line="240" w:lineRule="auto"/>
        <w:jc w:val="center"/>
        <w:rPr>
          <w:rFonts w:ascii="Arial" w:eastAsia="Times New Roman" w:hAnsi="Arial" w:cs="Arial"/>
          <w:b/>
          <w:sz w:val="24"/>
          <w:szCs w:val="24"/>
          <w:lang w:val="es-ES_tradnl" w:eastAsia="es-ES"/>
        </w:rPr>
      </w:pPr>
    </w:p>
    <w:p w:rsidR="00CA414A" w:rsidRPr="00CA414A" w:rsidRDefault="00CA414A" w:rsidP="00CA414A">
      <w:pPr>
        <w:tabs>
          <w:tab w:val="center" w:pos="4253"/>
        </w:tabs>
        <w:suppressAutoHyphens/>
        <w:spacing w:after="0" w:line="240" w:lineRule="auto"/>
        <w:jc w:val="center"/>
        <w:rPr>
          <w:rFonts w:ascii="Arial" w:eastAsia="Times New Roman" w:hAnsi="Arial" w:cs="Arial"/>
          <w:b/>
          <w:sz w:val="24"/>
          <w:szCs w:val="24"/>
          <w:lang w:val="es-ES_tradnl" w:eastAsia="es-ES"/>
        </w:rPr>
      </w:pPr>
      <w:r w:rsidRPr="00CA414A">
        <w:rPr>
          <w:rFonts w:ascii="Arial" w:eastAsia="Times New Roman" w:hAnsi="Arial" w:cs="Arial"/>
          <w:b/>
          <w:sz w:val="24"/>
          <w:szCs w:val="24"/>
          <w:lang w:val="es-ES_tradnl" w:eastAsia="es-ES"/>
        </w:rPr>
        <w:t xml:space="preserve">EN SESION DE FECHA 15 DE MAYO  </w:t>
      </w:r>
      <w:r w:rsidRPr="00CA414A">
        <w:rPr>
          <w:rFonts w:ascii="Helvetica" w:eastAsia="Times New Roman" w:hAnsi="Helvetica" w:cs="Times New Roman"/>
          <w:b/>
          <w:sz w:val="24"/>
          <w:szCs w:val="24"/>
          <w:lang w:val="es-ES_tradnl" w:eastAsia="es-ES"/>
        </w:rPr>
        <w:t>DE 2019</w:t>
      </w:r>
    </w:p>
    <w:p w:rsidR="00CA414A" w:rsidRPr="00CA414A" w:rsidRDefault="00CA414A" w:rsidP="00CA414A">
      <w:pPr>
        <w:tabs>
          <w:tab w:val="center" w:pos="4253"/>
        </w:tabs>
        <w:suppressAutoHyphens/>
        <w:spacing w:after="0" w:line="240" w:lineRule="auto"/>
        <w:jc w:val="center"/>
        <w:rPr>
          <w:rFonts w:ascii="Arial" w:eastAsia="Times New Roman" w:hAnsi="Arial" w:cs="Arial"/>
          <w:b/>
          <w:sz w:val="24"/>
          <w:szCs w:val="24"/>
          <w:lang w:val="es-ES_tradnl" w:eastAsia="es-ES"/>
        </w:rPr>
      </w:pPr>
    </w:p>
    <w:p w:rsidR="00CA414A" w:rsidRPr="00CA414A" w:rsidRDefault="00CA414A" w:rsidP="00CA414A">
      <w:pPr>
        <w:tabs>
          <w:tab w:val="center" w:pos="4253"/>
        </w:tabs>
        <w:suppressAutoHyphens/>
        <w:spacing w:after="0" w:line="240" w:lineRule="auto"/>
        <w:jc w:val="center"/>
        <w:rPr>
          <w:rFonts w:ascii="Arial" w:eastAsia="Times New Roman" w:hAnsi="Arial" w:cs="Arial"/>
          <w:b/>
          <w:sz w:val="24"/>
          <w:szCs w:val="24"/>
          <w:lang w:eastAsia="es-ES"/>
        </w:rPr>
      </w:pPr>
      <w:r w:rsidRPr="00CA414A">
        <w:rPr>
          <w:rFonts w:ascii="Arial" w:eastAsia="Times New Roman" w:hAnsi="Arial" w:cs="Arial"/>
          <w:b/>
          <w:sz w:val="24"/>
          <w:szCs w:val="24"/>
          <w:lang w:eastAsia="es-ES"/>
        </w:rPr>
        <w:t>(E. E. Nº 201</w:t>
      </w:r>
      <w:r>
        <w:rPr>
          <w:rFonts w:ascii="Arial" w:eastAsia="Times New Roman" w:hAnsi="Arial" w:cs="Arial"/>
          <w:b/>
          <w:sz w:val="24"/>
          <w:szCs w:val="24"/>
          <w:lang w:eastAsia="es-ES"/>
        </w:rPr>
        <w:t>9</w:t>
      </w:r>
      <w:r w:rsidRPr="00CA414A">
        <w:rPr>
          <w:rFonts w:ascii="Arial" w:eastAsia="Times New Roman" w:hAnsi="Arial" w:cs="Arial"/>
          <w:b/>
          <w:sz w:val="24"/>
          <w:szCs w:val="24"/>
          <w:lang w:eastAsia="es-ES"/>
        </w:rPr>
        <w:t>-17-1-000</w:t>
      </w:r>
      <w:r>
        <w:rPr>
          <w:rFonts w:ascii="Arial" w:eastAsia="Times New Roman" w:hAnsi="Arial" w:cs="Arial"/>
          <w:b/>
          <w:sz w:val="24"/>
          <w:szCs w:val="24"/>
          <w:lang w:eastAsia="es-ES"/>
        </w:rPr>
        <w:t>0240</w:t>
      </w:r>
      <w:r w:rsidRPr="00CA414A">
        <w:rPr>
          <w:rFonts w:ascii="Arial" w:eastAsia="Times New Roman" w:hAnsi="Arial" w:cs="Arial"/>
          <w:b/>
          <w:sz w:val="24"/>
          <w:szCs w:val="24"/>
          <w:lang w:eastAsia="es-ES"/>
        </w:rPr>
        <w:t xml:space="preserve">, </w:t>
      </w:r>
      <w:proofErr w:type="spellStart"/>
      <w:r w:rsidRPr="00CA414A">
        <w:rPr>
          <w:rFonts w:ascii="Arial" w:eastAsia="Times New Roman" w:hAnsi="Arial" w:cs="Arial"/>
          <w:b/>
          <w:sz w:val="24"/>
          <w:szCs w:val="24"/>
          <w:lang w:eastAsia="es-ES"/>
        </w:rPr>
        <w:t>Ent</w:t>
      </w:r>
      <w:proofErr w:type="spellEnd"/>
      <w:r w:rsidRPr="00CA414A">
        <w:rPr>
          <w:rFonts w:ascii="Arial" w:eastAsia="Times New Roman" w:hAnsi="Arial" w:cs="Arial"/>
          <w:b/>
          <w:sz w:val="24"/>
          <w:szCs w:val="24"/>
          <w:lang w:eastAsia="es-ES"/>
        </w:rPr>
        <w:t xml:space="preserve">. N° </w:t>
      </w:r>
      <w:r>
        <w:rPr>
          <w:rFonts w:ascii="Arial" w:eastAsia="Times New Roman" w:hAnsi="Arial" w:cs="Arial"/>
          <w:b/>
          <w:sz w:val="24"/>
          <w:szCs w:val="24"/>
          <w:lang w:eastAsia="es-ES"/>
        </w:rPr>
        <w:t>1654</w:t>
      </w:r>
      <w:r w:rsidRPr="00CA414A">
        <w:rPr>
          <w:rFonts w:ascii="Arial" w:eastAsia="Times New Roman" w:hAnsi="Arial" w:cs="Arial"/>
          <w:b/>
          <w:sz w:val="24"/>
          <w:szCs w:val="24"/>
          <w:lang w:eastAsia="es-ES"/>
        </w:rPr>
        <w:t>/</w:t>
      </w:r>
      <w:r>
        <w:rPr>
          <w:rFonts w:ascii="Arial" w:eastAsia="Times New Roman" w:hAnsi="Arial" w:cs="Arial"/>
          <w:b/>
          <w:sz w:val="24"/>
          <w:szCs w:val="24"/>
          <w:lang w:eastAsia="es-ES"/>
        </w:rPr>
        <w:t>19)</w:t>
      </w:r>
    </w:p>
    <w:p w:rsidR="00CA414A" w:rsidRDefault="00CA414A" w:rsidP="000C2791">
      <w:pPr>
        <w:spacing w:after="0" w:line="360" w:lineRule="auto"/>
        <w:jc w:val="both"/>
        <w:rPr>
          <w:rFonts w:ascii="Arial" w:hAnsi="Arial" w:cs="Arial"/>
          <w:b/>
          <w:sz w:val="24"/>
          <w:szCs w:val="24"/>
        </w:rPr>
      </w:pPr>
    </w:p>
    <w:p w:rsidR="00C44F1B" w:rsidRDefault="00592BA2" w:rsidP="00CA414A">
      <w:pPr>
        <w:spacing w:after="0" w:line="360" w:lineRule="auto"/>
        <w:ind w:firstLine="708"/>
        <w:jc w:val="both"/>
        <w:rPr>
          <w:rFonts w:ascii="Arial" w:hAnsi="Arial" w:cs="Arial"/>
          <w:sz w:val="24"/>
          <w:szCs w:val="24"/>
        </w:rPr>
      </w:pPr>
      <w:r w:rsidRPr="00572609">
        <w:rPr>
          <w:rFonts w:ascii="Arial" w:hAnsi="Arial" w:cs="Arial"/>
          <w:b/>
          <w:sz w:val="24"/>
          <w:szCs w:val="24"/>
        </w:rPr>
        <w:t>VISTO:</w:t>
      </w:r>
      <w:r>
        <w:rPr>
          <w:rFonts w:ascii="Arial" w:hAnsi="Arial" w:cs="Arial"/>
          <w:sz w:val="24"/>
          <w:szCs w:val="24"/>
        </w:rPr>
        <w:t xml:space="preserve"> las </w:t>
      </w:r>
      <w:r w:rsidR="007F5931">
        <w:rPr>
          <w:rFonts w:ascii="Arial" w:hAnsi="Arial" w:cs="Arial"/>
          <w:sz w:val="24"/>
          <w:szCs w:val="24"/>
        </w:rPr>
        <w:t xml:space="preserve">nuevas </w:t>
      </w:r>
      <w:r>
        <w:rPr>
          <w:rFonts w:ascii="Arial" w:hAnsi="Arial" w:cs="Arial"/>
          <w:sz w:val="24"/>
          <w:szCs w:val="24"/>
        </w:rPr>
        <w:t>actuaciones remitidas por la Administración de Ferrocarriles del Estado, relacionados con la Licitación Publica N° 21/17 para Rehabilitación del tramo de vía principal línea Mi</w:t>
      </w:r>
      <w:r w:rsidR="000717CA">
        <w:rPr>
          <w:rFonts w:ascii="Arial" w:hAnsi="Arial" w:cs="Arial"/>
          <w:sz w:val="24"/>
          <w:szCs w:val="24"/>
        </w:rPr>
        <w:t xml:space="preserve">nas- desde Km 8.000 a Km 125 </w:t>
      </w:r>
      <w:r>
        <w:rPr>
          <w:rFonts w:ascii="Arial" w:hAnsi="Arial" w:cs="Arial"/>
          <w:sz w:val="24"/>
          <w:szCs w:val="24"/>
        </w:rPr>
        <w:t xml:space="preserve"> y Renovación del automatismo ferroviario y señalización.</w:t>
      </w:r>
    </w:p>
    <w:p w:rsidR="00592BA2" w:rsidRDefault="000C2791" w:rsidP="00CA414A">
      <w:pPr>
        <w:spacing w:after="0" w:line="360" w:lineRule="auto"/>
        <w:ind w:firstLine="708"/>
        <w:jc w:val="both"/>
        <w:rPr>
          <w:rFonts w:ascii="Arial" w:hAnsi="Arial" w:cs="Arial"/>
          <w:sz w:val="24"/>
          <w:szCs w:val="24"/>
        </w:rPr>
      </w:pPr>
      <w:r>
        <w:rPr>
          <w:rFonts w:ascii="Arial" w:hAnsi="Arial" w:cs="Arial"/>
          <w:b/>
          <w:sz w:val="24"/>
          <w:szCs w:val="24"/>
        </w:rPr>
        <w:t>RESULTANDO</w:t>
      </w:r>
      <w:r w:rsidR="00592BA2" w:rsidRPr="00592BA2">
        <w:rPr>
          <w:rFonts w:ascii="Arial" w:hAnsi="Arial" w:cs="Arial"/>
          <w:b/>
          <w:sz w:val="24"/>
          <w:szCs w:val="24"/>
        </w:rPr>
        <w:t>: 1)</w:t>
      </w:r>
      <w:r w:rsidR="00592BA2">
        <w:t xml:space="preserve"> </w:t>
      </w:r>
      <w:r w:rsidR="000717CA">
        <w:rPr>
          <w:rFonts w:ascii="Arial" w:hAnsi="Arial" w:cs="Arial"/>
          <w:sz w:val="24"/>
          <w:szCs w:val="24"/>
        </w:rPr>
        <w:t>que por R</w:t>
      </w:r>
      <w:r w:rsidR="00592BA2">
        <w:rPr>
          <w:rFonts w:ascii="Arial" w:hAnsi="Arial" w:cs="Arial"/>
          <w:sz w:val="24"/>
          <w:szCs w:val="24"/>
        </w:rPr>
        <w:t>esolución N° 666/18 de 28.12.18, el Directorio, rechaza las ofertas de LEMIRO PABLO PIETROBONI SA</w:t>
      </w:r>
      <w:r w:rsidR="00592BA2" w:rsidRPr="00033D5B">
        <w:rPr>
          <w:rFonts w:ascii="Arial" w:hAnsi="Arial" w:cs="Arial"/>
          <w:sz w:val="24"/>
          <w:szCs w:val="24"/>
        </w:rPr>
        <w:t xml:space="preserve"> </w:t>
      </w:r>
      <w:r w:rsidR="00592BA2">
        <w:rPr>
          <w:rFonts w:ascii="Arial" w:hAnsi="Arial" w:cs="Arial"/>
          <w:sz w:val="24"/>
          <w:szCs w:val="24"/>
        </w:rPr>
        <w:t>y CONSORCIO STILER-CONSTRUCTORA DEL LITORAL y</w:t>
      </w:r>
      <w:r w:rsidR="000717CA">
        <w:rPr>
          <w:rFonts w:ascii="Arial" w:hAnsi="Arial" w:cs="Arial"/>
          <w:sz w:val="24"/>
          <w:szCs w:val="24"/>
        </w:rPr>
        <w:t xml:space="preserve"> dispone </w:t>
      </w:r>
      <w:r w:rsidR="00592BA2">
        <w:rPr>
          <w:rFonts w:ascii="Arial" w:hAnsi="Arial" w:cs="Arial"/>
          <w:sz w:val="24"/>
          <w:szCs w:val="24"/>
        </w:rPr>
        <w:t xml:space="preserve"> adjudicar el llamado a la </w:t>
      </w:r>
      <w:r w:rsidR="00592BA2" w:rsidRPr="00A46F9D">
        <w:rPr>
          <w:rFonts w:ascii="Arial" w:hAnsi="Arial" w:cs="Arial"/>
          <w:sz w:val="24"/>
          <w:szCs w:val="24"/>
        </w:rPr>
        <w:t>C</w:t>
      </w:r>
      <w:r w:rsidR="007F5931" w:rsidRPr="00A46F9D">
        <w:rPr>
          <w:rFonts w:ascii="Arial" w:hAnsi="Arial" w:cs="Arial"/>
          <w:sz w:val="24"/>
          <w:szCs w:val="24"/>
        </w:rPr>
        <w:t xml:space="preserve">orporación </w:t>
      </w:r>
      <w:r w:rsidR="00592BA2" w:rsidRPr="00A46F9D">
        <w:rPr>
          <w:rFonts w:ascii="Arial" w:hAnsi="Arial" w:cs="Arial"/>
          <w:sz w:val="24"/>
          <w:szCs w:val="24"/>
        </w:rPr>
        <w:t>F</w:t>
      </w:r>
      <w:r w:rsidR="007F5931" w:rsidRPr="00A46F9D">
        <w:rPr>
          <w:rFonts w:ascii="Arial" w:hAnsi="Arial" w:cs="Arial"/>
          <w:sz w:val="24"/>
          <w:szCs w:val="24"/>
        </w:rPr>
        <w:t xml:space="preserve">erroviaria del </w:t>
      </w:r>
      <w:r w:rsidR="00592BA2" w:rsidRPr="00A46F9D">
        <w:rPr>
          <w:rFonts w:ascii="Arial" w:hAnsi="Arial" w:cs="Arial"/>
          <w:sz w:val="24"/>
          <w:szCs w:val="24"/>
        </w:rPr>
        <w:t>U</w:t>
      </w:r>
      <w:r w:rsidR="007F5931" w:rsidRPr="00A46F9D">
        <w:rPr>
          <w:rFonts w:ascii="Arial" w:hAnsi="Arial" w:cs="Arial"/>
          <w:sz w:val="24"/>
          <w:szCs w:val="24"/>
        </w:rPr>
        <w:t xml:space="preserve">ruguay </w:t>
      </w:r>
      <w:r w:rsidR="00592BA2" w:rsidRPr="00A46F9D">
        <w:rPr>
          <w:rFonts w:ascii="Arial" w:hAnsi="Arial" w:cs="Arial"/>
          <w:sz w:val="24"/>
          <w:szCs w:val="24"/>
        </w:rPr>
        <w:t xml:space="preserve"> SA</w:t>
      </w:r>
      <w:r w:rsidR="00592BA2" w:rsidRPr="00787483">
        <w:rPr>
          <w:rFonts w:ascii="Arial" w:hAnsi="Arial" w:cs="Arial"/>
          <w:b/>
          <w:sz w:val="24"/>
          <w:szCs w:val="24"/>
        </w:rPr>
        <w:t>,</w:t>
      </w:r>
      <w:r w:rsidR="00592BA2">
        <w:rPr>
          <w:rFonts w:ascii="Arial" w:hAnsi="Arial" w:cs="Arial"/>
          <w:sz w:val="24"/>
          <w:szCs w:val="24"/>
        </w:rPr>
        <w:t xml:space="preserve"> según el siguiente detalle, en su </w:t>
      </w:r>
      <w:r w:rsidR="00592BA2" w:rsidRPr="00A46F9D">
        <w:rPr>
          <w:rFonts w:ascii="Arial" w:hAnsi="Arial" w:cs="Arial"/>
          <w:sz w:val="24"/>
          <w:szCs w:val="24"/>
        </w:rPr>
        <w:t>opción alternativa</w:t>
      </w:r>
      <w:r w:rsidR="00592BA2">
        <w:rPr>
          <w:rFonts w:ascii="Arial" w:hAnsi="Arial" w:cs="Arial"/>
          <w:sz w:val="24"/>
          <w:szCs w:val="24"/>
        </w:rPr>
        <w:t xml:space="preserve">: </w:t>
      </w:r>
      <w:r w:rsidR="000717CA">
        <w:rPr>
          <w:rFonts w:ascii="Arial" w:hAnsi="Arial" w:cs="Arial"/>
          <w:sz w:val="24"/>
          <w:szCs w:val="24"/>
        </w:rPr>
        <w:t>OBRA CIVIL: $</w:t>
      </w:r>
      <w:r w:rsidR="00592BA2" w:rsidRPr="00A54F09">
        <w:rPr>
          <w:rFonts w:ascii="Arial" w:hAnsi="Arial" w:cs="Arial"/>
          <w:sz w:val="24"/>
          <w:szCs w:val="24"/>
        </w:rPr>
        <w:t xml:space="preserve">294.258.826,39 (incluye impuestos y leyes sociales), </w:t>
      </w:r>
      <w:proofErr w:type="spellStart"/>
      <w:r w:rsidR="000717CA">
        <w:rPr>
          <w:rFonts w:ascii="Arial" w:hAnsi="Arial" w:cs="Arial"/>
          <w:sz w:val="24"/>
          <w:szCs w:val="24"/>
        </w:rPr>
        <w:t>mas</w:t>
      </w:r>
      <w:proofErr w:type="spellEnd"/>
      <w:r w:rsidR="000717CA">
        <w:rPr>
          <w:rFonts w:ascii="Arial" w:hAnsi="Arial" w:cs="Arial"/>
          <w:sz w:val="24"/>
          <w:szCs w:val="24"/>
        </w:rPr>
        <w:t xml:space="preserve"> </w:t>
      </w:r>
      <w:r w:rsidR="00592BA2" w:rsidRPr="00A54F09">
        <w:rPr>
          <w:rFonts w:ascii="Arial" w:hAnsi="Arial" w:cs="Arial"/>
          <w:sz w:val="24"/>
          <w:szCs w:val="24"/>
        </w:rPr>
        <w:t xml:space="preserve"> los suministros en condición CIF, por un total U$S 4.132.800</w:t>
      </w:r>
      <w:r w:rsidR="00592BA2">
        <w:rPr>
          <w:rFonts w:ascii="Arial" w:hAnsi="Arial" w:cs="Arial"/>
          <w:sz w:val="24"/>
          <w:szCs w:val="24"/>
        </w:rPr>
        <w:t>. AUTOMATISMO FERROVIARIOS: $ 42.452.155,98</w:t>
      </w:r>
      <w:r w:rsidR="00CA414A">
        <w:rPr>
          <w:rFonts w:ascii="Arial" w:hAnsi="Arial" w:cs="Arial"/>
          <w:sz w:val="24"/>
          <w:szCs w:val="24"/>
        </w:rPr>
        <w:t xml:space="preserve"> </w:t>
      </w:r>
      <w:r w:rsidR="00592BA2" w:rsidRPr="00A54F09">
        <w:rPr>
          <w:rFonts w:ascii="Arial" w:hAnsi="Arial" w:cs="Arial"/>
          <w:sz w:val="24"/>
          <w:szCs w:val="24"/>
        </w:rPr>
        <w:t>(incluye impuestos y leyes sociales), a esto se le agregan los suministros en condición CIF, por un total</w:t>
      </w:r>
      <w:r w:rsidR="00592BA2">
        <w:rPr>
          <w:rFonts w:ascii="Arial" w:hAnsi="Arial" w:cs="Arial"/>
          <w:sz w:val="24"/>
          <w:szCs w:val="24"/>
        </w:rPr>
        <w:t xml:space="preserve"> U$S 3.224.584,48. TOTAL </w:t>
      </w:r>
      <w:r w:rsidR="00592BA2" w:rsidRPr="00A54F09">
        <w:rPr>
          <w:rFonts w:ascii="Arial" w:hAnsi="Arial" w:cs="Arial"/>
          <w:sz w:val="24"/>
          <w:szCs w:val="24"/>
        </w:rPr>
        <w:t>OBRA CIVIL</w:t>
      </w:r>
      <w:r w:rsidR="00592BA2">
        <w:rPr>
          <w:rFonts w:ascii="Arial" w:hAnsi="Arial" w:cs="Arial"/>
          <w:sz w:val="24"/>
          <w:szCs w:val="24"/>
        </w:rPr>
        <w:t xml:space="preserve"> y  AUTOMATISMO FERROVIARIOS: $ 336.710.982,36 y un TOTAL GRAL  de los SUMINISTROS de la OBRA CIVIL y AUTOMATISMO FERROVIARIOS en condición CIF de U$S 7.357.384,48;</w:t>
      </w:r>
    </w:p>
    <w:p w:rsidR="00592BA2" w:rsidRDefault="000C2791" w:rsidP="00592BA2">
      <w:pPr>
        <w:spacing w:after="0" w:line="360" w:lineRule="auto"/>
        <w:jc w:val="both"/>
        <w:rPr>
          <w:rFonts w:ascii="Arial" w:hAnsi="Arial" w:cs="Arial"/>
          <w:sz w:val="24"/>
          <w:szCs w:val="24"/>
        </w:rPr>
      </w:pPr>
      <w:r>
        <w:rPr>
          <w:rFonts w:ascii="Arial" w:hAnsi="Arial" w:cs="Arial"/>
          <w:b/>
          <w:sz w:val="24"/>
          <w:szCs w:val="24"/>
        </w:rPr>
        <w:t xml:space="preserve">                                    </w:t>
      </w:r>
      <w:r w:rsidR="00CA414A">
        <w:rPr>
          <w:rFonts w:ascii="Arial" w:hAnsi="Arial" w:cs="Arial"/>
          <w:b/>
          <w:sz w:val="24"/>
          <w:szCs w:val="24"/>
        </w:rPr>
        <w:t xml:space="preserve"> </w:t>
      </w:r>
      <w:r w:rsidR="00592BA2" w:rsidRPr="000C2791">
        <w:rPr>
          <w:rFonts w:ascii="Arial" w:hAnsi="Arial" w:cs="Arial"/>
          <w:b/>
          <w:sz w:val="24"/>
          <w:szCs w:val="24"/>
        </w:rPr>
        <w:t>2)</w:t>
      </w:r>
      <w:r w:rsidR="00592BA2">
        <w:rPr>
          <w:rFonts w:ascii="Arial" w:hAnsi="Arial" w:cs="Arial"/>
          <w:sz w:val="24"/>
          <w:szCs w:val="24"/>
        </w:rPr>
        <w:t xml:space="preserve"> que este Tribunal por Resolución N°  698/19 de fecha 18.2.19 dispuso observar el gasto en razón </w:t>
      </w:r>
      <w:r w:rsidR="000717CA">
        <w:rPr>
          <w:rFonts w:ascii="Arial" w:hAnsi="Arial" w:cs="Arial"/>
          <w:sz w:val="24"/>
          <w:szCs w:val="24"/>
        </w:rPr>
        <w:t xml:space="preserve">de </w:t>
      </w:r>
      <w:r w:rsidR="00592BA2">
        <w:rPr>
          <w:rFonts w:ascii="Arial" w:hAnsi="Arial" w:cs="Arial"/>
          <w:sz w:val="24"/>
          <w:szCs w:val="24"/>
        </w:rPr>
        <w:t>que</w:t>
      </w:r>
      <w:r w:rsidR="00592BA2" w:rsidRPr="00592BA2">
        <w:rPr>
          <w:rFonts w:ascii="Arial" w:hAnsi="Arial" w:cs="Arial"/>
          <w:b/>
          <w:sz w:val="24"/>
          <w:szCs w:val="24"/>
        </w:rPr>
        <w:t xml:space="preserve"> </w:t>
      </w:r>
      <w:r w:rsidR="00592BA2">
        <w:rPr>
          <w:rFonts w:ascii="Arial" w:hAnsi="Arial" w:cs="Arial"/>
          <w:sz w:val="24"/>
          <w:szCs w:val="24"/>
        </w:rPr>
        <w:t>adjudicar a</w:t>
      </w:r>
      <w:r w:rsidR="00592BA2" w:rsidRPr="00592BA2">
        <w:rPr>
          <w:rFonts w:ascii="Arial" w:hAnsi="Arial" w:cs="Arial"/>
          <w:b/>
          <w:sz w:val="24"/>
          <w:szCs w:val="24"/>
        </w:rPr>
        <w:t xml:space="preserve"> </w:t>
      </w:r>
      <w:r w:rsidR="00E63B2A">
        <w:rPr>
          <w:rFonts w:ascii="Arial" w:hAnsi="Arial" w:cs="Arial"/>
          <w:sz w:val="24"/>
          <w:szCs w:val="24"/>
        </w:rPr>
        <w:t xml:space="preserve">Corporación Ferroviaria del Uruguay SA., </w:t>
      </w:r>
      <w:r w:rsidR="00592BA2">
        <w:rPr>
          <w:rFonts w:ascii="Arial" w:hAnsi="Arial" w:cs="Arial"/>
          <w:sz w:val="24"/>
          <w:szCs w:val="24"/>
        </w:rPr>
        <w:t xml:space="preserve"> en su </w:t>
      </w:r>
      <w:r w:rsidR="00592BA2" w:rsidRPr="00A06C05">
        <w:rPr>
          <w:rFonts w:ascii="Arial" w:hAnsi="Arial" w:cs="Arial"/>
          <w:sz w:val="24"/>
          <w:szCs w:val="24"/>
        </w:rPr>
        <w:t>opción alternativa</w:t>
      </w:r>
      <w:r w:rsidR="00592BA2">
        <w:rPr>
          <w:rFonts w:ascii="Arial" w:hAnsi="Arial" w:cs="Arial"/>
          <w:sz w:val="24"/>
          <w:szCs w:val="24"/>
        </w:rPr>
        <w:t xml:space="preserve">  inc</w:t>
      </w:r>
      <w:r w:rsidR="000717CA">
        <w:rPr>
          <w:rFonts w:ascii="Arial" w:hAnsi="Arial" w:cs="Arial"/>
          <w:sz w:val="24"/>
          <w:szCs w:val="24"/>
        </w:rPr>
        <w:t xml:space="preserve">umple lo establecido por el artículo </w:t>
      </w:r>
      <w:r w:rsidR="00592BA2">
        <w:rPr>
          <w:rFonts w:ascii="Arial" w:hAnsi="Arial" w:cs="Arial"/>
          <w:sz w:val="24"/>
          <w:szCs w:val="24"/>
        </w:rPr>
        <w:t xml:space="preserve"> 68 final del TOCAF</w:t>
      </w:r>
      <w:r w:rsidR="000717CA">
        <w:rPr>
          <w:rFonts w:ascii="Arial" w:hAnsi="Arial" w:cs="Arial"/>
          <w:sz w:val="24"/>
          <w:szCs w:val="24"/>
        </w:rPr>
        <w:t xml:space="preserve">, </w:t>
      </w:r>
      <w:r w:rsidR="009A1BCD">
        <w:rPr>
          <w:rFonts w:ascii="Arial" w:hAnsi="Arial" w:cs="Arial"/>
          <w:sz w:val="24"/>
          <w:szCs w:val="24"/>
        </w:rPr>
        <w:t xml:space="preserve"> que establece en los casos en que los Pliegos fijen requisitos </w:t>
      </w:r>
      <w:r>
        <w:rPr>
          <w:rFonts w:ascii="Arial" w:hAnsi="Arial" w:cs="Arial"/>
          <w:sz w:val="24"/>
          <w:szCs w:val="24"/>
        </w:rPr>
        <w:t>mínimos</w:t>
      </w:r>
      <w:r w:rsidR="009A1BCD">
        <w:rPr>
          <w:rFonts w:ascii="Arial" w:hAnsi="Arial" w:cs="Arial"/>
          <w:sz w:val="24"/>
          <w:szCs w:val="24"/>
        </w:rPr>
        <w:t xml:space="preserve"> de cumplimiento, entre otros aspectos, </w:t>
      </w:r>
      <w:r w:rsidR="009A1BCD">
        <w:rPr>
          <w:rFonts w:ascii="Arial" w:hAnsi="Arial" w:cs="Arial"/>
          <w:sz w:val="24"/>
          <w:szCs w:val="24"/>
        </w:rPr>
        <w:lastRenderedPageBreak/>
        <w:t>técnicos, económicos, financieros, se podrá adjudicar en base exclusivamente al factor precio u otro elemento cuantitativo;</w:t>
      </w:r>
    </w:p>
    <w:p w:rsidR="00CA414A" w:rsidRDefault="000C2791" w:rsidP="00592BA2">
      <w:pPr>
        <w:spacing w:after="0" w:line="360" w:lineRule="auto"/>
        <w:jc w:val="both"/>
        <w:rPr>
          <w:rFonts w:ascii="Arial" w:hAnsi="Arial" w:cs="Arial"/>
          <w:sz w:val="24"/>
          <w:szCs w:val="24"/>
        </w:rPr>
      </w:pPr>
      <w:r>
        <w:rPr>
          <w:rFonts w:ascii="Arial" w:hAnsi="Arial" w:cs="Arial"/>
          <w:b/>
          <w:sz w:val="24"/>
          <w:szCs w:val="24"/>
        </w:rPr>
        <w:t xml:space="preserve">                                   </w:t>
      </w:r>
      <w:r w:rsidR="00CA414A">
        <w:rPr>
          <w:rFonts w:ascii="Arial" w:hAnsi="Arial" w:cs="Arial"/>
          <w:b/>
          <w:sz w:val="24"/>
          <w:szCs w:val="24"/>
        </w:rPr>
        <w:t xml:space="preserve"> </w:t>
      </w:r>
      <w:r w:rsidR="009A1BCD" w:rsidRPr="000C2791">
        <w:rPr>
          <w:rFonts w:ascii="Arial" w:hAnsi="Arial" w:cs="Arial"/>
          <w:b/>
          <w:sz w:val="24"/>
          <w:szCs w:val="24"/>
        </w:rPr>
        <w:t>3)</w:t>
      </w:r>
      <w:r w:rsidR="009A1BCD">
        <w:rPr>
          <w:rFonts w:ascii="Arial" w:hAnsi="Arial" w:cs="Arial"/>
          <w:sz w:val="24"/>
          <w:szCs w:val="24"/>
        </w:rPr>
        <w:t xml:space="preserve"> que</w:t>
      </w:r>
      <w:r w:rsidR="007F5931">
        <w:rPr>
          <w:rFonts w:ascii="Arial" w:hAnsi="Arial" w:cs="Arial"/>
          <w:sz w:val="24"/>
          <w:szCs w:val="24"/>
        </w:rPr>
        <w:t xml:space="preserve"> en esta oportunidad </w:t>
      </w:r>
      <w:r w:rsidR="009A1BCD">
        <w:rPr>
          <w:rFonts w:ascii="Arial" w:hAnsi="Arial" w:cs="Arial"/>
          <w:sz w:val="24"/>
          <w:szCs w:val="24"/>
        </w:rPr>
        <w:t xml:space="preserve"> la Comisión Asesora de Adjudicaciones por informe de fecha  8.4.19, solicita la reconsideración de la </w:t>
      </w:r>
      <w:r w:rsidR="00142BE9">
        <w:rPr>
          <w:rFonts w:ascii="Arial" w:hAnsi="Arial" w:cs="Arial"/>
          <w:sz w:val="24"/>
          <w:szCs w:val="24"/>
        </w:rPr>
        <w:t xml:space="preserve">Resolución referenciada, </w:t>
      </w:r>
      <w:r w:rsidR="007F5931">
        <w:rPr>
          <w:rFonts w:ascii="Arial" w:hAnsi="Arial" w:cs="Arial"/>
          <w:sz w:val="24"/>
          <w:szCs w:val="24"/>
        </w:rPr>
        <w:t xml:space="preserve"> levantando la observación oportunamente formulada por este tribunal, </w:t>
      </w:r>
      <w:r w:rsidR="00F9665C">
        <w:rPr>
          <w:rFonts w:ascii="Arial" w:hAnsi="Arial" w:cs="Arial"/>
          <w:sz w:val="24"/>
          <w:szCs w:val="24"/>
        </w:rPr>
        <w:t xml:space="preserve">  fundamentando</w:t>
      </w:r>
      <w:r w:rsidR="007F5931">
        <w:rPr>
          <w:rFonts w:ascii="Arial" w:hAnsi="Arial" w:cs="Arial"/>
          <w:sz w:val="24"/>
          <w:szCs w:val="24"/>
        </w:rPr>
        <w:t xml:space="preserve"> en </w:t>
      </w:r>
      <w:r w:rsidR="00F9665C">
        <w:rPr>
          <w:rFonts w:ascii="Arial" w:hAnsi="Arial" w:cs="Arial"/>
          <w:sz w:val="24"/>
          <w:szCs w:val="24"/>
        </w:rPr>
        <w:t xml:space="preserve"> </w:t>
      </w:r>
      <w:r w:rsidR="00B330DA">
        <w:rPr>
          <w:rFonts w:ascii="Arial" w:hAnsi="Arial" w:cs="Arial"/>
          <w:sz w:val="24"/>
          <w:szCs w:val="24"/>
        </w:rPr>
        <w:t xml:space="preserve">que: </w:t>
      </w:r>
      <w:r w:rsidR="00B330DA" w:rsidRPr="00B330DA">
        <w:rPr>
          <w:rFonts w:ascii="Arial" w:hAnsi="Arial" w:cs="Arial"/>
          <w:b/>
          <w:sz w:val="24"/>
          <w:szCs w:val="24"/>
        </w:rPr>
        <w:t>3.1)</w:t>
      </w:r>
      <w:r w:rsidR="00B330DA">
        <w:rPr>
          <w:rFonts w:ascii="Arial" w:hAnsi="Arial" w:cs="Arial"/>
          <w:sz w:val="24"/>
          <w:szCs w:val="24"/>
        </w:rPr>
        <w:t xml:space="preserve"> de los antecedentes se advierte, que lograron superar el examen de admisibilidad 3 propuestas comerciales. Dos correspondientes a la Corporación Ferroviaria del Uruguay SA, la primera presentada como</w:t>
      </w:r>
      <w:r w:rsidR="007F5931">
        <w:rPr>
          <w:rFonts w:ascii="Arial" w:hAnsi="Arial" w:cs="Arial"/>
          <w:sz w:val="24"/>
          <w:szCs w:val="24"/>
        </w:rPr>
        <w:t xml:space="preserve"> oferta básica por la suma de $</w:t>
      </w:r>
      <w:r w:rsidR="00B330DA">
        <w:rPr>
          <w:rFonts w:ascii="Arial" w:hAnsi="Arial" w:cs="Arial"/>
          <w:sz w:val="24"/>
          <w:szCs w:val="24"/>
        </w:rPr>
        <w:t xml:space="preserve">538.984.428,23 en </w:t>
      </w:r>
      <w:r w:rsidR="00CA414A">
        <w:rPr>
          <w:rFonts w:ascii="Arial" w:hAnsi="Arial" w:cs="Arial"/>
          <w:sz w:val="24"/>
          <w:szCs w:val="24"/>
        </w:rPr>
        <w:t xml:space="preserve">  </w:t>
      </w:r>
      <w:r w:rsidR="00B330DA">
        <w:rPr>
          <w:rFonts w:ascii="Arial" w:hAnsi="Arial" w:cs="Arial"/>
          <w:sz w:val="24"/>
          <w:szCs w:val="24"/>
        </w:rPr>
        <w:t xml:space="preserve">condición </w:t>
      </w:r>
      <w:r w:rsidR="00CA414A">
        <w:rPr>
          <w:rFonts w:ascii="Arial" w:hAnsi="Arial" w:cs="Arial"/>
          <w:sz w:val="24"/>
          <w:szCs w:val="24"/>
        </w:rPr>
        <w:t xml:space="preserve">  </w:t>
      </w:r>
      <w:r w:rsidR="00B330DA">
        <w:rPr>
          <w:rFonts w:ascii="Arial" w:hAnsi="Arial" w:cs="Arial"/>
          <w:sz w:val="24"/>
          <w:szCs w:val="24"/>
        </w:rPr>
        <w:t xml:space="preserve">CIF </w:t>
      </w:r>
      <w:r w:rsidR="00CA414A">
        <w:rPr>
          <w:rFonts w:ascii="Arial" w:hAnsi="Arial" w:cs="Arial"/>
          <w:sz w:val="24"/>
          <w:szCs w:val="24"/>
        </w:rPr>
        <w:t xml:space="preserve"> </w:t>
      </w:r>
      <w:r w:rsidR="00B330DA">
        <w:rPr>
          <w:rFonts w:ascii="Arial" w:hAnsi="Arial" w:cs="Arial"/>
          <w:sz w:val="24"/>
          <w:szCs w:val="24"/>
        </w:rPr>
        <w:t xml:space="preserve">y </w:t>
      </w:r>
      <w:r w:rsidR="00CA414A">
        <w:rPr>
          <w:rFonts w:ascii="Arial" w:hAnsi="Arial" w:cs="Arial"/>
          <w:sz w:val="24"/>
          <w:szCs w:val="24"/>
        </w:rPr>
        <w:t xml:space="preserve"> </w:t>
      </w:r>
      <w:r w:rsidR="00B330DA">
        <w:rPr>
          <w:rFonts w:ascii="Arial" w:hAnsi="Arial" w:cs="Arial"/>
          <w:sz w:val="24"/>
          <w:szCs w:val="24"/>
        </w:rPr>
        <w:t xml:space="preserve">la </w:t>
      </w:r>
      <w:r w:rsidR="00CA414A">
        <w:rPr>
          <w:rFonts w:ascii="Arial" w:hAnsi="Arial" w:cs="Arial"/>
          <w:sz w:val="24"/>
          <w:szCs w:val="24"/>
        </w:rPr>
        <w:t xml:space="preserve"> </w:t>
      </w:r>
      <w:r w:rsidR="00B330DA">
        <w:rPr>
          <w:rFonts w:ascii="Arial" w:hAnsi="Arial" w:cs="Arial"/>
          <w:sz w:val="24"/>
          <w:szCs w:val="24"/>
        </w:rPr>
        <w:t xml:space="preserve">segunda </w:t>
      </w:r>
      <w:r w:rsidR="00CA414A">
        <w:rPr>
          <w:rFonts w:ascii="Arial" w:hAnsi="Arial" w:cs="Arial"/>
          <w:sz w:val="24"/>
          <w:szCs w:val="24"/>
        </w:rPr>
        <w:t xml:space="preserve">  </w:t>
      </w:r>
      <w:r w:rsidR="00B330DA">
        <w:rPr>
          <w:rFonts w:ascii="Arial" w:hAnsi="Arial" w:cs="Arial"/>
          <w:sz w:val="24"/>
          <w:szCs w:val="24"/>
        </w:rPr>
        <w:t xml:space="preserve">como </w:t>
      </w:r>
      <w:r w:rsidR="00CA414A">
        <w:rPr>
          <w:rFonts w:ascii="Arial" w:hAnsi="Arial" w:cs="Arial"/>
          <w:sz w:val="24"/>
          <w:szCs w:val="24"/>
        </w:rPr>
        <w:t xml:space="preserve">  </w:t>
      </w:r>
      <w:r w:rsidR="00B330DA">
        <w:rPr>
          <w:rFonts w:ascii="Arial" w:hAnsi="Arial" w:cs="Arial"/>
          <w:sz w:val="24"/>
          <w:szCs w:val="24"/>
        </w:rPr>
        <w:t xml:space="preserve">oferta </w:t>
      </w:r>
      <w:r w:rsidR="00CA414A">
        <w:rPr>
          <w:rFonts w:ascii="Arial" w:hAnsi="Arial" w:cs="Arial"/>
          <w:sz w:val="24"/>
          <w:szCs w:val="24"/>
        </w:rPr>
        <w:t xml:space="preserve">  </w:t>
      </w:r>
      <w:r w:rsidR="00B330DA">
        <w:rPr>
          <w:rFonts w:ascii="Arial" w:hAnsi="Arial" w:cs="Arial"/>
          <w:sz w:val="24"/>
          <w:szCs w:val="24"/>
        </w:rPr>
        <w:t xml:space="preserve">alternativa </w:t>
      </w:r>
      <w:r w:rsidR="00CA414A">
        <w:rPr>
          <w:rFonts w:ascii="Arial" w:hAnsi="Arial" w:cs="Arial"/>
          <w:sz w:val="24"/>
          <w:szCs w:val="24"/>
        </w:rPr>
        <w:t xml:space="preserve">  </w:t>
      </w:r>
      <w:r w:rsidR="00B330DA">
        <w:rPr>
          <w:rFonts w:ascii="Arial" w:hAnsi="Arial" w:cs="Arial"/>
          <w:sz w:val="24"/>
          <w:szCs w:val="24"/>
        </w:rPr>
        <w:t xml:space="preserve">por </w:t>
      </w:r>
      <w:r w:rsidR="00CA414A">
        <w:rPr>
          <w:rFonts w:ascii="Arial" w:hAnsi="Arial" w:cs="Arial"/>
          <w:sz w:val="24"/>
          <w:szCs w:val="24"/>
        </w:rPr>
        <w:t xml:space="preserve"> </w:t>
      </w:r>
      <w:r w:rsidR="00B330DA">
        <w:rPr>
          <w:rFonts w:ascii="Arial" w:hAnsi="Arial" w:cs="Arial"/>
          <w:sz w:val="24"/>
          <w:szCs w:val="24"/>
        </w:rPr>
        <w:t xml:space="preserve">la suma de </w:t>
      </w:r>
    </w:p>
    <w:p w:rsidR="009A1BCD" w:rsidRDefault="00B330DA" w:rsidP="00592BA2">
      <w:pPr>
        <w:spacing w:after="0" w:line="360" w:lineRule="auto"/>
        <w:jc w:val="both"/>
        <w:rPr>
          <w:rFonts w:ascii="Arial" w:hAnsi="Arial" w:cs="Arial"/>
          <w:sz w:val="24"/>
          <w:szCs w:val="24"/>
        </w:rPr>
      </w:pPr>
      <w:r>
        <w:rPr>
          <w:rFonts w:ascii="Arial" w:hAnsi="Arial" w:cs="Arial"/>
          <w:sz w:val="24"/>
          <w:szCs w:val="24"/>
        </w:rPr>
        <w:t>$ 567.004.473,97 bajo la misma condición. La tercera, correspondiente a  COMSA, presentó una única</w:t>
      </w:r>
      <w:r w:rsidR="007F5931">
        <w:rPr>
          <w:rFonts w:ascii="Arial" w:hAnsi="Arial" w:cs="Arial"/>
          <w:sz w:val="24"/>
          <w:szCs w:val="24"/>
        </w:rPr>
        <w:t xml:space="preserve"> oferta básica por la suma de $</w:t>
      </w:r>
      <w:r>
        <w:rPr>
          <w:rFonts w:ascii="Arial" w:hAnsi="Arial" w:cs="Arial"/>
          <w:sz w:val="24"/>
          <w:szCs w:val="24"/>
        </w:rPr>
        <w:t xml:space="preserve">551.060.992,78 </w:t>
      </w:r>
      <w:r w:rsidR="000C2791">
        <w:rPr>
          <w:rFonts w:ascii="Arial" w:hAnsi="Arial" w:cs="Arial"/>
          <w:sz w:val="24"/>
          <w:szCs w:val="24"/>
        </w:rPr>
        <w:t>también</w:t>
      </w:r>
      <w:r>
        <w:rPr>
          <w:rFonts w:ascii="Arial" w:hAnsi="Arial" w:cs="Arial"/>
          <w:sz w:val="24"/>
          <w:szCs w:val="24"/>
        </w:rPr>
        <w:t xml:space="preserve"> CIF. </w:t>
      </w:r>
      <w:r w:rsidRPr="00B330DA">
        <w:rPr>
          <w:rFonts w:ascii="Arial" w:hAnsi="Arial" w:cs="Arial"/>
          <w:b/>
          <w:sz w:val="24"/>
          <w:szCs w:val="24"/>
        </w:rPr>
        <w:t>3.2)</w:t>
      </w:r>
      <w:r>
        <w:rPr>
          <w:rFonts w:ascii="Arial" w:hAnsi="Arial" w:cs="Arial"/>
          <w:b/>
          <w:sz w:val="24"/>
          <w:szCs w:val="24"/>
        </w:rPr>
        <w:t xml:space="preserve"> </w:t>
      </w:r>
      <w:r>
        <w:rPr>
          <w:rFonts w:ascii="Arial" w:hAnsi="Arial" w:cs="Arial"/>
          <w:sz w:val="24"/>
          <w:szCs w:val="24"/>
        </w:rPr>
        <w:t xml:space="preserve">Del cuadro comparativo de ofertas realizado oportunamente recogiendo las cifras mencionadas surge que la propuesta </w:t>
      </w:r>
      <w:r w:rsidR="000C2791">
        <w:rPr>
          <w:rFonts w:ascii="Arial" w:hAnsi="Arial" w:cs="Arial"/>
          <w:sz w:val="24"/>
          <w:szCs w:val="24"/>
        </w:rPr>
        <w:t>más</w:t>
      </w:r>
      <w:r>
        <w:rPr>
          <w:rFonts w:ascii="Arial" w:hAnsi="Arial" w:cs="Arial"/>
          <w:sz w:val="24"/>
          <w:szCs w:val="24"/>
        </w:rPr>
        <w:t xml:space="preserve"> económica fue la presentada por </w:t>
      </w:r>
      <w:r w:rsidR="00D14581">
        <w:rPr>
          <w:rFonts w:ascii="Arial" w:hAnsi="Arial" w:cs="Arial"/>
          <w:sz w:val="24"/>
          <w:szCs w:val="24"/>
        </w:rPr>
        <w:t xml:space="preserve">Corporación Ferroviaria </w:t>
      </w:r>
      <w:r w:rsidR="00F9665C">
        <w:rPr>
          <w:rFonts w:ascii="Arial" w:hAnsi="Arial" w:cs="Arial"/>
          <w:sz w:val="24"/>
          <w:szCs w:val="24"/>
        </w:rPr>
        <w:t>del Uruguay SA.</w:t>
      </w:r>
      <w:r w:rsidR="007F5931">
        <w:rPr>
          <w:rFonts w:ascii="Arial" w:hAnsi="Arial" w:cs="Arial"/>
          <w:sz w:val="24"/>
          <w:szCs w:val="24"/>
        </w:rPr>
        <w:t xml:space="preserve"> </w:t>
      </w:r>
      <w:proofErr w:type="gramStart"/>
      <w:r w:rsidR="007F5931">
        <w:rPr>
          <w:rFonts w:ascii="Arial" w:hAnsi="Arial" w:cs="Arial"/>
          <w:sz w:val="24"/>
          <w:szCs w:val="24"/>
        </w:rPr>
        <w:t>en</w:t>
      </w:r>
      <w:proofErr w:type="gramEnd"/>
      <w:r w:rsidR="007F5931">
        <w:rPr>
          <w:rFonts w:ascii="Arial" w:hAnsi="Arial" w:cs="Arial"/>
          <w:sz w:val="24"/>
          <w:szCs w:val="24"/>
        </w:rPr>
        <w:t xml:space="preserve"> su oferta básica</w:t>
      </w:r>
      <w:r w:rsidR="00F9665C">
        <w:rPr>
          <w:rFonts w:ascii="Arial" w:hAnsi="Arial" w:cs="Arial"/>
          <w:sz w:val="24"/>
          <w:szCs w:val="24"/>
        </w:rPr>
        <w:t xml:space="preserve">  </w:t>
      </w:r>
      <w:r w:rsidR="00F9665C" w:rsidRPr="00F9665C">
        <w:rPr>
          <w:rFonts w:ascii="Arial" w:hAnsi="Arial" w:cs="Arial"/>
          <w:b/>
          <w:sz w:val="24"/>
          <w:szCs w:val="24"/>
        </w:rPr>
        <w:t>3.3)</w:t>
      </w:r>
      <w:r w:rsidR="00F9665C">
        <w:rPr>
          <w:rFonts w:ascii="Arial" w:hAnsi="Arial" w:cs="Arial"/>
          <w:b/>
          <w:sz w:val="24"/>
          <w:szCs w:val="24"/>
        </w:rPr>
        <w:t xml:space="preserve"> </w:t>
      </w:r>
      <w:r w:rsidR="007F5931">
        <w:rPr>
          <w:rFonts w:ascii="Arial" w:hAnsi="Arial" w:cs="Arial"/>
          <w:b/>
          <w:sz w:val="24"/>
          <w:szCs w:val="24"/>
        </w:rPr>
        <w:t>“</w:t>
      </w:r>
      <w:r w:rsidR="007F5931">
        <w:rPr>
          <w:rFonts w:ascii="Arial" w:hAnsi="Arial" w:cs="Arial"/>
          <w:sz w:val="24"/>
          <w:szCs w:val="24"/>
        </w:rPr>
        <w:t>S</w:t>
      </w:r>
      <w:r w:rsidR="00F9665C" w:rsidRPr="00F9665C">
        <w:rPr>
          <w:rFonts w:ascii="Arial" w:hAnsi="Arial" w:cs="Arial"/>
          <w:sz w:val="24"/>
          <w:szCs w:val="24"/>
        </w:rPr>
        <w:t xml:space="preserve">in </w:t>
      </w:r>
      <w:r w:rsidR="00F9665C">
        <w:rPr>
          <w:rFonts w:ascii="Arial" w:hAnsi="Arial" w:cs="Arial"/>
          <w:sz w:val="24"/>
          <w:szCs w:val="24"/>
        </w:rPr>
        <w:t xml:space="preserve">perjuicio de lo anterior, </w:t>
      </w:r>
      <w:r w:rsidR="007F5931">
        <w:rPr>
          <w:rFonts w:ascii="Arial" w:hAnsi="Arial" w:cs="Arial"/>
          <w:sz w:val="24"/>
          <w:szCs w:val="24"/>
        </w:rPr>
        <w:t xml:space="preserve">esta Comisión Asesora </w:t>
      </w:r>
      <w:r w:rsidR="00F9665C">
        <w:rPr>
          <w:rFonts w:ascii="Arial" w:hAnsi="Arial" w:cs="Arial"/>
          <w:sz w:val="24"/>
          <w:szCs w:val="24"/>
        </w:rPr>
        <w:t xml:space="preserve"> recomendó al Directorio</w:t>
      </w:r>
      <w:r w:rsidR="007F5931">
        <w:rPr>
          <w:rFonts w:ascii="Arial" w:hAnsi="Arial" w:cs="Arial"/>
          <w:sz w:val="24"/>
          <w:szCs w:val="24"/>
        </w:rPr>
        <w:t xml:space="preserve"> de AFE adjudicar </w:t>
      </w:r>
      <w:r w:rsidR="00F9665C">
        <w:rPr>
          <w:rFonts w:ascii="Arial" w:hAnsi="Arial" w:cs="Arial"/>
          <w:sz w:val="24"/>
          <w:szCs w:val="24"/>
        </w:rPr>
        <w:t xml:space="preserve"> la oferta </w:t>
      </w:r>
      <w:r w:rsidR="007F5931">
        <w:rPr>
          <w:rFonts w:ascii="Arial" w:hAnsi="Arial" w:cs="Arial"/>
          <w:sz w:val="24"/>
          <w:szCs w:val="24"/>
        </w:rPr>
        <w:t xml:space="preserve">alternativa </w:t>
      </w:r>
      <w:r w:rsidR="00F9665C">
        <w:rPr>
          <w:rFonts w:ascii="Arial" w:hAnsi="Arial" w:cs="Arial"/>
          <w:sz w:val="24"/>
          <w:szCs w:val="24"/>
        </w:rPr>
        <w:t xml:space="preserve">de la </w:t>
      </w:r>
      <w:r w:rsidR="007F5931">
        <w:rPr>
          <w:rFonts w:ascii="Arial" w:hAnsi="Arial" w:cs="Arial"/>
          <w:sz w:val="24"/>
          <w:szCs w:val="24"/>
        </w:rPr>
        <w:t xml:space="preserve">CORPORACIÓN FERROVIARIA DEL URUGUAY SA.,  al considerarla </w:t>
      </w:r>
      <w:r w:rsidR="00F9665C">
        <w:rPr>
          <w:rFonts w:ascii="Arial" w:hAnsi="Arial" w:cs="Arial"/>
          <w:sz w:val="24"/>
          <w:szCs w:val="24"/>
        </w:rPr>
        <w:t xml:space="preserve"> </w:t>
      </w:r>
      <w:r w:rsidR="000C2791">
        <w:rPr>
          <w:rFonts w:ascii="Arial" w:hAnsi="Arial" w:cs="Arial"/>
          <w:sz w:val="24"/>
          <w:szCs w:val="24"/>
        </w:rPr>
        <w:t>más</w:t>
      </w:r>
      <w:r w:rsidR="007F5931">
        <w:rPr>
          <w:rFonts w:ascii="Arial" w:hAnsi="Arial" w:cs="Arial"/>
          <w:sz w:val="24"/>
          <w:szCs w:val="24"/>
        </w:rPr>
        <w:t xml:space="preserve"> conveniente, lo que posteriormente fue recogido por el Directorio de AFE en R.D. 666/18 </w:t>
      </w:r>
      <w:r w:rsidR="007E750A">
        <w:rPr>
          <w:rFonts w:ascii="Arial" w:hAnsi="Arial" w:cs="Arial"/>
          <w:sz w:val="24"/>
          <w:szCs w:val="24"/>
        </w:rPr>
        <w:t xml:space="preserve"> de fecha 28 de diciembre de 2018”; </w:t>
      </w:r>
    </w:p>
    <w:p w:rsidR="007E750A" w:rsidRDefault="00F9665C" w:rsidP="00CA414A">
      <w:pPr>
        <w:spacing w:after="0" w:line="360" w:lineRule="auto"/>
        <w:ind w:firstLine="709"/>
        <w:jc w:val="both"/>
        <w:rPr>
          <w:rFonts w:ascii="Arial" w:hAnsi="Arial" w:cs="Arial"/>
          <w:sz w:val="24"/>
          <w:szCs w:val="24"/>
        </w:rPr>
      </w:pPr>
      <w:r w:rsidRPr="000C2791">
        <w:rPr>
          <w:rFonts w:ascii="Arial" w:hAnsi="Arial" w:cs="Arial"/>
          <w:b/>
          <w:sz w:val="24"/>
          <w:szCs w:val="24"/>
        </w:rPr>
        <w:t>CONSIDERANDO:</w:t>
      </w:r>
      <w:r>
        <w:rPr>
          <w:rFonts w:ascii="Arial" w:hAnsi="Arial" w:cs="Arial"/>
          <w:sz w:val="24"/>
          <w:szCs w:val="24"/>
        </w:rPr>
        <w:t xml:space="preserve"> </w:t>
      </w:r>
      <w:r w:rsidR="007E750A" w:rsidRPr="00FF381D">
        <w:rPr>
          <w:rFonts w:ascii="Arial" w:hAnsi="Arial" w:cs="Arial"/>
          <w:b/>
          <w:sz w:val="24"/>
          <w:szCs w:val="24"/>
        </w:rPr>
        <w:t>1)</w:t>
      </w:r>
      <w:r w:rsidR="007E750A">
        <w:rPr>
          <w:rFonts w:ascii="Arial" w:hAnsi="Arial" w:cs="Arial"/>
          <w:sz w:val="24"/>
          <w:szCs w:val="24"/>
        </w:rPr>
        <w:t xml:space="preserve"> que el informe de la Comisión  Asesora  fecha 8 de abril de 2019 solicitando la reconsideración de lo dispuesto por este Tribunal en </w:t>
      </w:r>
      <w:r w:rsidR="00B84DC1">
        <w:rPr>
          <w:rFonts w:ascii="Arial" w:hAnsi="Arial" w:cs="Arial"/>
          <w:sz w:val="24"/>
          <w:szCs w:val="24"/>
        </w:rPr>
        <w:t xml:space="preserve">Resolución Nº 698/19 </w:t>
      </w:r>
      <w:r w:rsidR="00FF381D">
        <w:rPr>
          <w:rFonts w:ascii="Arial" w:hAnsi="Arial" w:cs="Arial"/>
          <w:sz w:val="24"/>
          <w:szCs w:val="24"/>
        </w:rPr>
        <w:t xml:space="preserve">adoptada </w:t>
      </w:r>
      <w:r w:rsidR="00B84DC1">
        <w:rPr>
          <w:rFonts w:ascii="Arial" w:hAnsi="Arial" w:cs="Arial"/>
          <w:sz w:val="24"/>
          <w:szCs w:val="24"/>
        </w:rPr>
        <w:t xml:space="preserve">en </w:t>
      </w:r>
      <w:r w:rsidR="007E750A">
        <w:rPr>
          <w:rFonts w:ascii="Arial" w:hAnsi="Arial" w:cs="Arial"/>
          <w:sz w:val="24"/>
          <w:szCs w:val="24"/>
        </w:rPr>
        <w:t xml:space="preserve">Sesión de fecha </w:t>
      </w:r>
      <w:r w:rsidR="00B84DC1">
        <w:rPr>
          <w:rFonts w:ascii="Arial" w:hAnsi="Arial" w:cs="Arial"/>
          <w:sz w:val="24"/>
          <w:szCs w:val="24"/>
        </w:rPr>
        <w:t xml:space="preserve">18.02.2019, confirma que la adjudicación a </w:t>
      </w:r>
      <w:r w:rsidR="00FF381D">
        <w:rPr>
          <w:rFonts w:ascii="Arial" w:hAnsi="Arial" w:cs="Arial"/>
          <w:sz w:val="24"/>
          <w:szCs w:val="24"/>
        </w:rPr>
        <w:t xml:space="preserve">la oferta presentada por </w:t>
      </w:r>
      <w:r w:rsidR="00B84DC1">
        <w:rPr>
          <w:rFonts w:ascii="Arial" w:hAnsi="Arial" w:cs="Arial"/>
          <w:sz w:val="24"/>
          <w:szCs w:val="24"/>
        </w:rPr>
        <w:t xml:space="preserve"> la Corporación Ferroviaria del Uruguay S.A. (opción alternativa) </w:t>
      </w:r>
      <w:r w:rsidR="00FF381D">
        <w:rPr>
          <w:rFonts w:ascii="Arial" w:hAnsi="Arial" w:cs="Arial"/>
          <w:sz w:val="24"/>
          <w:szCs w:val="24"/>
        </w:rPr>
        <w:t xml:space="preserve"> es de un importe  superior a la oferta presentada por COMSA: </w:t>
      </w:r>
    </w:p>
    <w:p w:rsidR="00C30B98" w:rsidRDefault="00FF381D" w:rsidP="00FF381D">
      <w:pPr>
        <w:spacing w:after="0" w:line="360" w:lineRule="auto"/>
        <w:ind w:firstLine="708"/>
        <w:jc w:val="both"/>
        <w:rPr>
          <w:rFonts w:ascii="Arial" w:hAnsi="Arial" w:cs="Arial"/>
          <w:sz w:val="24"/>
          <w:szCs w:val="24"/>
        </w:rPr>
      </w:pPr>
      <w:r>
        <w:rPr>
          <w:rFonts w:ascii="Arial" w:hAnsi="Arial" w:cs="Arial"/>
          <w:sz w:val="24"/>
          <w:szCs w:val="24"/>
        </w:rPr>
        <w:t xml:space="preserve">                         </w:t>
      </w:r>
      <w:r w:rsidR="00CA414A">
        <w:rPr>
          <w:rFonts w:ascii="Arial" w:hAnsi="Arial" w:cs="Arial"/>
          <w:sz w:val="24"/>
          <w:szCs w:val="24"/>
        </w:rPr>
        <w:t xml:space="preserve">      </w:t>
      </w:r>
      <w:r w:rsidRPr="00FF381D">
        <w:rPr>
          <w:rFonts w:ascii="Arial" w:hAnsi="Arial" w:cs="Arial"/>
          <w:b/>
          <w:sz w:val="24"/>
          <w:szCs w:val="24"/>
        </w:rPr>
        <w:t>2)</w:t>
      </w:r>
      <w:r>
        <w:rPr>
          <w:rFonts w:ascii="Arial" w:hAnsi="Arial" w:cs="Arial"/>
          <w:sz w:val="24"/>
          <w:szCs w:val="24"/>
        </w:rPr>
        <w:t xml:space="preserve"> </w:t>
      </w:r>
      <w:r w:rsidR="00F9665C">
        <w:rPr>
          <w:rFonts w:ascii="Arial" w:hAnsi="Arial" w:cs="Arial"/>
          <w:sz w:val="24"/>
          <w:szCs w:val="24"/>
        </w:rPr>
        <w:t>que</w:t>
      </w:r>
      <w:r>
        <w:rPr>
          <w:rFonts w:ascii="Arial" w:hAnsi="Arial" w:cs="Arial"/>
          <w:sz w:val="24"/>
          <w:szCs w:val="24"/>
        </w:rPr>
        <w:t xml:space="preserve"> tal en tal sentido, </w:t>
      </w:r>
      <w:r w:rsidR="0058782C">
        <w:rPr>
          <w:rFonts w:ascii="Arial" w:hAnsi="Arial" w:cs="Arial"/>
          <w:sz w:val="24"/>
          <w:szCs w:val="24"/>
        </w:rPr>
        <w:t xml:space="preserve">como se </w:t>
      </w:r>
      <w:r w:rsidR="000C2791">
        <w:rPr>
          <w:rFonts w:ascii="Arial" w:hAnsi="Arial" w:cs="Arial"/>
          <w:sz w:val="24"/>
          <w:szCs w:val="24"/>
        </w:rPr>
        <w:t>expresó</w:t>
      </w:r>
      <w:r w:rsidR="0058782C">
        <w:rPr>
          <w:rFonts w:ascii="Arial" w:hAnsi="Arial" w:cs="Arial"/>
          <w:sz w:val="24"/>
          <w:szCs w:val="24"/>
        </w:rPr>
        <w:t xml:space="preserve"> oportunamente</w:t>
      </w:r>
      <w:r w:rsidR="00C30B98">
        <w:rPr>
          <w:rFonts w:ascii="Arial" w:hAnsi="Arial" w:cs="Arial"/>
          <w:sz w:val="24"/>
          <w:szCs w:val="24"/>
        </w:rPr>
        <w:t xml:space="preserve"> por </w:t>
      </w:r>
      <w:r w:rsidR="00CA414A">
        <w:rPr>
          <w:rFonts w:ascii="Arial" w:hAnsi="Arial" w:cs="Arial"/>
          <w:sz w:val="24"/>
          <w:szCs w:val="24"/>
        </w:rPr>
        <w:t>e</w:t>
      </w:r>
      <w:r w:rsidR="00C30B98">
        <w:rPr>
          <w:rFonts w:ascii="Arial" w:hAnsi="Arial" w:cs="Arial"/>
          <w:sz w:val="24"/>
          <w:szCs w:val="24"/>
        </w:rPr>
        <w:t>ste Tribunal</w:t>
      </w:r>
      <w:r w:rsidR="0058782C">
        <w:rPr>
          <w:rFonts w:ascii="Arial" w:hAnsi="Arial" w:cs="Arial"/>
          <w:sz w:val="24"/>
          <w:szCs w:val="24"/>
        </w:rPr>
        <w:t xml:space="preserve">, al no </w:t>
      </w:r>
      <w:r w:rsidR="007E750A">
        <w:rPr>
          <w:rFonts w:ascii="Arial" w:hAnsi="Arial" w:cs="Arial"/>
          <w:sz w:val="24"/>
          <w:szCs w:val="24"/>
        </w:rPr>
        <w:t xml:space="preserve"> recurrirse al instituto de mejora de </w:t>
      </w:r>
      <w:r w:rsidR="0058782C">
        <w:rPr>
          <w:rFonts w:ascii="Arial" w:hAnsi="Arial" w:cs="Arial"/>
          <w:sz w:val="24"/>
          <w:szCs w:val="24"/>
        </w:rPr>
        <w:t xml:space="preserve"> ofertas </w:t>
      </w:r>
      <w:r>
        <w:rPr>
          <w:rFonts w:ascii="Arial" w:hAnsi="Arial" w:cs="Arial"/>
          <w:sz w:val="24"/>
          <w:szCs w:val="24"/>
        </w:rPr>
        <w:t>-</w:t>
      </w:r>
      <w:r w:rsidR="007E750A">
        <w:rPr>
          <w:rFonts w:ascii="Arial" w:hAnsi="Arial" w:cs="Arial"/>
          <w:sz w:val="24"/>
          <w:szCs w:val="24"/>
        </w:rPr>
        <w:t xml:space="preserve"> por entender que no correspondía aplicarlo en este caso  (artículo 66 </w:t>
      </w:r>
      <w:r w:rsidR="007E750A">
        <w:rPr>
          <w:rFonts w:ascii="Arial" w:hAnsi="Arial" w:cs="Arial"/>
          <w:sz w:val="24"/>
          <w:szCs w:val="24"/>
        </w:rPr>
        <w:lastRenderedPageBreak/>
        <w:t>final del TOCAF, lo cual es potestativo de la Administración)</w:t>
      </w:r>
      <w:r>
        <w:rPr>
          <w:rFonts w:ascii="Arial" w:hAnsi="Arial" w:cs="Arial"/>
          <w:sz w:val="24"/>
          <w:szCs w:val="24"/>
        </w:rPr>
        <w:t>-</w:t>
      </w:r>
      <w:r w:rsidR="007E750A">
        <w:rPr>
          <w:rFonts w:ascii="Arial" w:hAnsi="Arial" w:cs="Arial"/>
          <w:sz w:val="24"/>
          <w:szCs w:val="24"/>
        </w:rPr>
        <w:t xml:space="preserve"> y </w:t>
      </w:r>
      <w:r>
        <w:rPr>
          <w:rFonts w:ascii="Arial" w:hAnsi="Arial" w:cs="Arial"/>
          <w:sz w:val="24"/>
          <w:szCs w:val="24"/>
        </w:rPr>
        <w:t xml:space="preserve">al </w:t>
      </w:r>
      <w:r w:rsidR="007E750A">
        <w:rPr>
          <w:rFonts w:ascii="Arial" w:hAnsi="Arial" w:cs="Arial"/>
          <w:sz w:val="24"/>
          <w:szCs w:val="24"/>
        </w:rPr>
        <w:t>no existir otros factores de ponderación,  dado que  el P</w:t>
      </w:r>
      <w:r w:rsidR="0058782C">
        <w:rPr>
          <w:rFonts w:ascii="Arial" w:hAnsi="Arial" w:cs="Arial"/>
          <w:sz w:val="24"/>
          <w:szCs w:val="24"/>
        </w:rPr>
        <w:t xml:space="preserve">liego </w:t>
      </w:r>
      <w:r w:rsidR="007E750A">
        <w:rPr>
          <w:rFonts w:ascii="Arial" w:hAnsi="Arial" w:cs="Arial"/>
          <w:sz w:val="24"/>
          <w:szCs w:val="24"/>
        </w:rPr>
        <w:t xml:space="preserve">de Condiciones no los previó (solo </w:t>
      </w:r>
      <w:r w:rsidR="0058782C">
        <w:rPr>
          <w:rFonts w:ascii="Arial" w:hAnsi="Arial" w:cs="Arial"/>
          <w:sz w:val="24"/>
          <w:szCs w:val="24"/>
        </w:rPr>
        <w:t xml:space="preserve">se establecieron requisitos </w:t>
      </w:r>
      <w:r w:rsidR="000C2791">
        <w:rPr>
          <w:rFonts w:ascii="Arial" w:hAnsi="Arial" w:cs="Arial"/>
          <w:sz w:val="24"/>
          <w:szCs w:val="24"/>
        </w:rPr>
        <w:t>mínimos</w:t>
      </w:r>
      <w:r w:rsidR="0058782C">
        <w:rPr>
          <w:rFonts w:ascii="Arial" w:hAnsi="Arial" w:cs="Arial"/>
          <w:sz w:val="24"/>
          <w:szCs w:val="24"/>
        </w:rPr>
        <w:t xml:space="preserve"> en cuanto a antecedentes,  a contratos de mantenimiento, </w:t>
      </w:r>
      <w:r w:rsidR="000C2791">
        <w:rPr>
          <w:rFonts w:ascii="Arial" w:hAnsi="Arial" w:cs="Arial"/>
          <w:sz w:val="24"/>
          <w:szCs w:val="24"/>
        </w:rPr>
        <w:t>etc.</w:t>
      </w:r>
      <w:r w:rsidR="007E750A">
        <w:rPr>
          <w:rFonts w:ascii="Arial" w:hAnsi="Arial" w:cs="Arial"/>
          <w:sz w:val="24"/>
          <w:szCs w:val="24"/>
        </w:rPr>
        <w:t xml:space="preserve">) </w:t>
      </w:r>
      <w:r w:rsidR="0058782C">
        <w:rPr>
          <w:rFonts w:ascii="Arial" w:hAnsi="Arial" w:cs="Arial"/>
          <w:sz w:val="24"/>
          <w:szCs w:val="24"/>
        </w:rPr>
        <w:t>,</w:t>
      </w:r>
      <w:r>
        <w:rPr>
          <w:rFonts w:ascii="Arial" w:hAnsi="Arial" w:cs="Arial"/>
          <w:sz w:val="24"/>
          <w:szCs w:val="24"/>
        </w:rPr>
        <w:t xml:space="preserve"> </w:t>
      </w:r>
      <w:r w:rsidR="007E750A">
        <w:rPr>
          <w:rFonts w:ascii="Arial" w:hAnsi="Arial" w:cs="Arial"/>
          <w:sz w:val="24"/>
          <w:szCs w:val="24"/>
        </w:rPr>
        <w:t xml:space="preserve">la  adjudicación debió recaer en </w:t>
      </w:r>
      <w:r w:rsidR="0058782C">
        <w:rPr>
          <w:rFonts w:ascii="Arial" w:hAnsi="Arial" w:cs="Arial"/>
          <w:sz w:val="24"/>
          <w:szCs w:val="24"/>
        </w:rPr>
        <w:t xml:space="preserve"> la oferta </w:t>
      </w:r>
      <w:r w:rsidR="007E750A">
        <w:rPr>
          <w:rFonts w:ascii="Arial" w:hAnsi="Arial" w:cs="Arial"/>
          <w:sz w:val="24"/>
          <w:szCs w:val="24"/>
        </w:rPr>
        <w:t xml:space="preserve">de menor precio </w:t>
      </w:r>
      <w:r>
        <w:rPr>
          <w:rFonts w:ascii="Arial" w:hAnsi="Arial" w:cs="Arial"/>
          <w:sz w:val="24"/>
          <w:szCs w:val="24"/>
        </w:rPr>
        <w:t xml:space="preserve"> conforme a lo establecido por el artículo 68 del TOCAF; </w:t>
      </w:r>
    </w:p>
    <w:p w:rsidR="00C30B98" w:rsidRDefault="00C30B98" w:rsidP="00CA414A">
      <w:pPr>
        <w:spacing w:after="0" w:line="360" w:lineRule="auto"/>
        <w:ind w:firstLine="709"/>
        <w:jc w:val="both"/>
        <w:rPr>
          <w:rFonts w:ascii="Arial" w:hAnsi="Arial" w:cs="Arial"/>
          <w:sz w:val="24"/>
          <w:szCs w:val="24"/>
        </w:rPr>
      </w:pPr>
      <w:r w:rsidRPr="000C2791">
        <w:rPr>
          <w:rFonts w:ascii="Arial" w:hAnsi="Arial" w:cs="Arial"/>
          <w:b/>
          <w:sz w:val="24"/>
          <w:szCs w:val="24"/>
        </w:rPr>
        <w:t>ATENTO</w:t>
      </w:r>
      <w:r>
        <w:rPr>
          <w:rFonts w:ascii="Arial" w:hAnsi="Arial" w:cs="Arial"/>
          <w:sz w:val="24"/>
          <w:szCs w:val="24"/>
        </w:rPr>
        <w:t>: a lo expuesto precedentemente;</w:t>
      </w:r>
    </w:p>
    <w:p w:rsidR="00C30B98" w:rsidRPr="000C2791" w:rsidRDefault="00C30B98" w:rsidP="00C30B98">
      <w:pPr>
        <w:spacing w:after="0" w:line="360" w:lineRule="auto"/>
        <w:jc w:val="center"/>
        <w:rPr>
          <w:rFonts w:ascii="Arial" w:hAnsi="Arial" w:cs="Arial"/>
          <w:b/>
          <w:sz w:val="24"/>
          <w:szCs w:val="24"/>
        </w:rPr>
      </w:pPr>
      <w:r w:rsidRPr="000C2791">
        <w:rPr>
          <w:rFonts w:ascii="Arial" w:hAnsi="Arial" w:cs="Arial"/>
          <w:b/>
          <w:sz w:val="24"/>
          <w:szCs w:val="24"/>
        </w:rPr>
        <w:t>EL TRIBUNAL ACUERDA</w:t>
      </w:r>
    </w:p>
    <w:p w:rsidR="00C30B98" w:rsidRDefault="00FF381D" w:rsidP="00CA414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Est</w:t>
      </w:r>
      <w:r w:rsidR="00A46F9D">
        <w:rPr>
          <w:rFonts w:ascii="Arial" w:hAnsi="Arial" w:cs="Arial"/>
          <w:sz w:val="24"/>
          <w:szCs w:val="24"/>
        </w:rPr>
        <w:t>ar</w:t>
      </w:r>
      <w:r>
        <w:rPr>
          <w:rFonts w:ascii="Arial" w:hAnsi="Arial" w:cs="Arial"/>
          <w:sz w:val="24"/>
          <w:szCs w:val="24"/>
        </w:rPr>
        <w:t xml:space="preserve"> lo  dispuesto  por este Tribunal en </w:t>
      </w:r>
      <w:r w:rsidR="00C30B98">
        <w:rPr>
          <w:rFonts w:ascii="Arial" w:hAnsi="Arial" w:cs="Arial"/>
          <w:sz w:val="24"/>
          <w:szCs w:val="24"/>
        </w:rPr>
        <w:t>Resolución N°  698/19 de fecha 18.2.19</w:t>
      </w:r>
      <w:r w:rsidR="00CA414A">
        <w:rPr>
          <w:rFonts w:ascii="Arial" w:hAnsi="Arial" w:cs="Arial"/>
          <w:sz w:val="24"/>
          <w:szCs w:val="24"/>
        </w:rPr>
        <w:t>;</w:t>
      </w:r>
      <w:r>
        <w:rPr>
          <w:rFonts w:ascii="Arial" w:hAnsi="Arial" w:cs="Arial"/>
          <w:sz w:val="24"/>
          <w:szCs w:val="24"/>
        </w:rPr>
        <w:t xml:space="preserve"> y </w:t>
      </w:r>
    </w:p>
    <w:p w:rsidR="00C30B98" w:rsidRPr="00C30B98" w:rsidRDefault="00C30B98" w:rsidP="00CA414A">
      <w:pPr>
        <w:pStyle w:val="Prrafodelista"/>
        <w:numPr>
          <w:ilvl w:val="0"/>
          <w:numId w:val="1"/>
        </w:numPr>
        <w:spacing w:after="0" w:line="360" w:lineRule="auto"/>
        <w:ind w:left="284" w:hanging="284"/>
        <w:rPr>
          <w:rFonts w:ascii="Arial" w:hAnsi="Arial" w:cs="Arial"/>
          <w:sz w:val="24"/>
          <w:szCs w:val="24"/>
        </w:rPr>
      </w:pPr>
      <w:r>
        <w:rPr>
          <w:rFonts w:ascii="Arial" w:hAnsi="Arial" w:cs="Arial"/>
          <w:sz w:val="24"/>
          <w:szCs w:val="24"/>
        </w:rPr>
        <w:t>Devolver las actuaciones.</w:t>
      </w:r>
    </w:p>
    <w:p w:rsidR="00592BA2" w:rsidRDefault="00592BA2"/>
    <w:p w:rsidR="00CA414A" w:rsidRDefault="00CA414A"/>
    <w:p w:rsidR="00CA414A" w:rsidRDefault="007A079F">
      <w:pPr>
        <w:rPr>
          <w:rFonts w:ascii="Arial" w:hAnsi="Arial" w:cs="Arial"/>
          <w:sz w:val="24"/>
          <w:szCs w:val="24"/>
        </w:rPr>
      </w:pPr>
      <w:proofErr w:type="spellStart"/>
      <w:proofErr w:type="gramStart"/>
      <w:r>
        <w:rPr>
          <w:rFonts w:ascii="Arial" w:hAnsi="Arial" w:cs="Arial"/>
          <w:sz w:val="24"/>
          <w:szCs w:val="24"/>
        </w:rPr>
        <w:t>c</w:t>
      </w:r>
      <w:r w:rsidR="00CA414A" w:rsidRPr="00CA414A">
        <w:rPr>
          <w:rFonts w:ascii="Arial" w:hAnsi="Arial" w:cs="Arial"/>
          <w:sz w:val="24"/>
          <w:szCs w:val="24"/>
        </w:rPr>
        <w:t>r</w:t>
      </w:r>
      <w:proofErr w:type="spellEnd"/>
      <w:proofErr w:type="gramEnd"/>
    </w:p>
    <w:p w:rsidR="007A079F" w:rsidRPr="007A079F" w:rsidRDefault="007A079F" w:rsidP="001F2AF3">
      <w:pPr>
        <w:pStyle w:val="Ttulo1"/>
        <w:spacing w:before="0" w:line="360" w:lineRule="auto"/>
        <w:ind w:right="191"/>
        <w:rPr>
          <w:rFonts w:ascii="Arial" w:eastAsiaTheme="minorHAnsi" w:hAnsi="Arial" w:cs="Arial"/>
          <w:b w:val="0"/>
          <w:bCs w:val="0"/>
          <w:color w:val="auto"/>
          <w:sz w:val="24"/>
          <w:szCs w:val="24"/>
          <w:lang w:val="es-MX" w:eastAsia="es-ES"/>
        </w:rPr>
      </w:pPr>
      <w:r w:rsidRPr="001F2AF3">
        <w:rPr>
          <w:rFonts w:ascii="Arial" w:hAnsi="Arial" w:cs="Arial"/>
          <w:color w:val="auto"/>
          <w:sz w:val="24"/>
          <w:szCs w:val="24"/>
        </w:rPr>
        <w:t>CONSTANCIA DE FUNDAMENTO DE VOTO DISCORDE DE LA MINISTRA             CRA. DIANA MARCOS:</w:t>
      </w:r>
      <w:r w:rsidRPr="001F2AF3">
        <w:rPr>
          <w:rFonts w:ascii="Arial" w:hAnsi="Arial" w:cs="Arial"/>
          <w:b w:val="0"/>
          <w:color w:val="auto"/>
          <w:sz w:val="24"/>
          <w:szCs w:val="24"/>
        </w:rPr>
        <w:t xml:space="preserve"> “</w:t>
      </w:r>
      <w:r w:rsidRPr="007A079F">
        <w:rPr>
          <w:rFonts w:ascii="Arial" w:eastAsiaTheme="minorHAnsi" w:hAnsi="Arial" w:cs="Arial"/>
          <w:b w:val="0"/>
          <w:bCs w:val="0"/>
          <w:color w:val="auto"/>
          <w:sz w:val="24"/>
          <w:szCs w:val="24"/>
          <w:lang w:val="es-MX" w:eastAsia="es-ES"/>
        </w:rPr>
        <w:t>He votado en forma discorde la Resolución recaída en este expediente, en tanto no comparto los argumentos esgrimidos por la mayoría del Tribunal de Cuentas</w:t>
      </w:r>
    </w:p>
    <w:p w:rsidR="007A079F" w:rsidRPr="007A079F" w:rsidRDefault="007A079F" w:rsidP="001F2AF3">
      <w:pPr>
        <w:spacing w:after="0" w:line="360" w:lineRule="auto"/>
        <w:jc w:val="both"/>
        <w:rPr>
          <w:rFonts w:ascii="Arial" w:eastAsia="Times New Roman" w:hAnsi="Arial" w:cs="Arial"/>
          <w:sz w:val="24"/>
          <w:szCs w:val="24"/>
          <w:lang w:val="es-ES" w:eastAsia="es-ES"/>
        </w:rPr>
      </w:pPr>
      <w:r w:rsidRPr="007A079F">
        <w:rPr>
          <w:rFonts w:ascii="Arial" w:eastAsia="Times New Roman" w:hAnsi="Arial" w:cs="Arial"/>
          <w:sz w:val="24"/>
          <w:szCs w:val="24"/>
          <w:lang w:val="es-ES" w:eastAsia="es-ES"/>
        </w:rPr>
        <w:t>Fundamento:</w:t>
      </w:r>
    </w:p>
    <w:p w:rsidR="007A079F" w:rsidRPr="007A079F" w:rsidRDefault="007A079F" w:rsidP="001F2AF3">
      <w:pPr>
        <w:spacing w:after="0" w:line="360" w:lineRule="auto"/>
        <w:jc w:val="both"/>
        <w:rPr>
          <w:rFonts w:ascii="Arial" w:eastAsia="Times New Roman" w:hAnsi="Arial" w:cs="Arial"/>
          <w:sz w:val="24"/>
          <w:szCs w:val="24"/>
          <w:lang w:val="es-ES" w:eastAsia="es-ES"/>
        </w:rPr>
      </w:pPr>
      <w:r w:rsidRPr="007A079F">
        <w:rPr>
          <w:rFonts w:ascii="Arial" w:eastAsia="Times New Roman" w:hAnsi="Arial" w:cs="Arial"/>
          <w:sz w:val="24"/>
          <w:szCs w:val="24"/>
          <w:lang w:val="es-ES" w:eastAsia="es-ES"/>
        </w:rPr>
        <w:t>Esta Resolución reafirma lo dispuesto en la Resolución 698/19 de fecha 18/2/19, la cual establecía un fundamentación de acuerdo al Considerando 4 de  dicha Resolución (cumplimiento del Art. 68 del TOCAF  al final)</w:t>
      </w:r>
    </w:p>
    <w:p w:rsidR="007A079F" w:rsidRPr="007A079F" w:rsidRDefault="007A079F" w:rsidP="007A079F">
      <w:pPr>
        <w:spacing w:after="0" w:line="360" w:lineRule="auto"/>
        <w:jc w:val="both"/>
        <w:rPr>
          <w:rFonts w:ascii="Arial" w:eastAsia="Times New Roman" w:hAnsi="Arial" w:cs="Arial"/>
          <w:sz w:val="24"/>
          <w:szCs w:val="24"/>
          <w:lang w:val="es-ES" w:eastAsia="es-ES"/>
        </w:rPr>
      </w:pPr>
    </w:p>
    <w:p w:rsidR="007A079F" w:rsidRPr="007A079F" w:rsidRDefault="007A079F" w:rsidP="007A079F">
      <w:pPr>
        <w:spacing w:after="0" w:line="360" w:lineRule="auto"/>
        <w:jc w:val="both"/>
        <w:rPr>
          <w:rFonts w:ascii="Arial" w:eastAsia="Times New Roman" w:hAnsi="Arial" w:cs="Arial"/>
          <w:sz w:val="24"/>
          <w:szCs w:val="24"/>
          <w:lang w:val="es-ES" w:eastAsia="es-ES"/>
        </w:rPr>
      </w:pPr>
      <w:r w:rsidRPr="007A079F">
        <w:rPr>
          <w:rFonts w:ascii="Arial" w:eastAsia="Times New Roman" w:hAnsi="Arial" w:cs="Arial"/>
          <w:sz w:val="24"/>
          <w:szCs w:val="24"/>
          <w:lang w:val="es-ES" w:eastAsia="es-ES"/>
        </w:rPr>
        <w:t>Esta resolución no toma en cuenta que la oferta básica más favorable desde el punto de vista de precio era la de CFU SA, y que la adjudicación se hace a dicho proyecto en su alternativa de mejora de calidad técnica.</w:t>
      </w:r>
    </w:p>
    <w:p w:rsidR="007A079F" w:rsidRPr="007A079F" w:rsidRDefault="007A079F" w:rsidP="007A079F">
      <w:pPr>
        <w:spacing w:after="0" w:line="360" w:lineRule="auto"/>
        <w:jc w:val="both"/>
        <w:rPr>
          <w:rFonts w:ascii="Arial" w:eastAsia="Times New Roman" w:hAnsi="Arial" w:cs="Arial"/>
          <w:sz w:val="24"/>
          <w:szCs w:val="24"/>
          <w:lang w:val="es-ES" w:eastAsia="es-ES"/>
        </w:rPr>
      </w:pPr>
      <w:r w:rsidRPr="007A079F">
        <w:rPr>
          <w:rFonts w:ascii="Arial" w:eastAsia="Times New Roman" w:hAnsi="Arial" w:cs="Arial"/>
          <w:sz w:val="24"/>
          <w:szCs w:val="24"/>
          <w:lang w:val="es-ES" w:eastAsia="es-ES"/>
        </w:rPr>
        <w:t>En efecto las tres ofertas cumplían con los requisitos mínimos (CFU SA con una básica y una alternativa y  COMSA SA  con una básica y sin alternativa).</w:t>
      </w:r>
    </w:p>
    <w:p w:rsidR="007A079F" w:rsidRPr="007A079F" w:rsidRDefault="007A079F" w:rsidP="007A079F">
      <w:pPr>
        <w:spacing w:after="0" w:line="360" w:lineRule="auto"/>
        <w:jc w:val="both"/>
        <w:rPr>
          <w:rFonts w:ascii="Arial" w:eastAsia="Times New Roman" w:hAnsi="Arial" w:cs="Arial"/>
          <w:sz w:val="24"/>
          <w:szCs w:val="24"/>
          <w:lang w:val="es-ES" w:eastAsia="es-ES"/>
        </w:rPr>
      </w:pPr>
      <w:r w:rsidRPr="007A079F">
        <w:rPr>
          <w:rFonts w:ascii="Arial" w:eastAsia="Times New Roman" w:hAnsi="Arial" w:cs="Arial"/>
          <w:sz w:val="24"/>
          <w:szCs w:val="24"/>
          <w:lang w:val="es-ES" w:eastAsia="es-ES"/>
        </w:rPr>
        <w:lastRenderedPageBreak/>
        <w:t>La opinión en mayoría del Tribunal es contraria al principio de buena administración, en la medida que se hace inviable  la adjudicación a una oferta variante salvo que sea de menor valor que una básica del mismo proveedor.</w:t>
      </w:r>
    </w:p>
    <w:p w:rsidR="007A079F" w:rsidRPr="007A079F" w:rsidRDefault="007A079F" w:rsidP="007A079F">
      <w:pPr>
        <w:spacing w:after="0" w:line="360" w:lineRule="auto"/>
        <w:jc w:val="both"/>
        <w:rPr>
          <w:rFonts w:ascii="Arial" w:eastAsia="Times New Roman" w:hAnsi="Arial" w:cs="Arial"/>
          <w:sz w:val="24"/>
          <w:szCs w:val="24"/>
          <w:lang w:val="es-ES" w:eastAsia="es-ES"/>
        </w:rPr>
      </w:pPr>
      <w:r w:rsidRPr="007A079F">
        <w:rPr>
          <w:rFonts w:ascii="Arial" w:eastAsia="Times New Roman" w:hAnsi="Arial" w:cs="Arial"/>
          <w:sz w:val="24"/>
          <w:szCs w:val="24"/>
          <w:lang w:val="es-ES" w:eastAsia="es-ES"/>
        </w:rPr>
        <w:t xml:space="preserve">Estos extremos fueron admitidos en el pliego de licitación (artículo 10) dado que AFE se reserva el  derecho de adjudicar  la oferta que le resulte más conveniente (básica o variante) </w:t>
      </w:r>
    </w:p>
    <w:p w:rsidR="007A079F" w:rsidRPr="007A079F" w:rsidRDefault="007A079F" w:rsidP="007A079F">
      <w:pPr>
        <w:spacing w:after="0" w:line="360" w:lineRule="auto"/>
        <w:jc w:val="both"/>
        <w:rPr>
          <w:rFonts w:ascii="Arial" w:eastAsia="Times New Roman" w:hAnsi="Arial" w:cs="Arial"/>
          <w:sz w:val="24"/>
          <w:szCs w:val="24"/>
          <w:lang w:val="es-ES" w:eastAsia="es-ES"/>
        </w:rPr>
      </w:pPr>
      <w:r w:rsidRPr="007A079F">
        <w:rPr>
          <w:rFonts w:ascii="Arial" w:eastAsia="Times New Roman" w:hAnsi="Arial" w:cs="Arial"/>
          <w:sz w:val="24"/>
          <w:szCs w:val="24"/>
          <w:lang w:val="es-ES" w:eastAsia="es-ES"/>
        </w:rPr>
        <w:t>Por lo expuesto, expreso mi Discorde en relación a la Resolución de este expediente.</w:t>
      </w:r>
      <w:r>
        <w:rPr>
          <w:rFonts w:ascii="Arial" w:eastAsia="Times New Roman" w:hAnsi="Arial" w:cs="Arial"/>
          <w:sz w:val="24"/>
          <w:szCs w:val="24"/>
          <w:lang w:val="es-ES" w:eastAsia="es-ES"/>
        </w:rPr>
        <w:t>”</w:t>
      </w:r>
      <w:r w:rsidRPr="007A079F">
        <w:rPr>
          <w:rFonts w:ascii="Arial" w:eastAsia="Times New Roman" w:hAnsi="Arial" w:cs="Arial"/>
          <w:sz w:val="24"/>
          <w:szCs w:val="24"/>
          <w:lang w:val="es-ES" w:eastAsia="es-ES"/>
        </w:rPr>
        <w:t xml:space="preserve">  </w:t>
      </w:r>
    </w:p>
    <w:p w:rsidR="007A079F" w:rsidRDefault="007A079F" w:rsidP="00D71A3A">
      <w:pPr>
        <w:spacing w:line="360" w:lineRule="auto"/>
        <w:jc w:val="both"/>
        <w:rPr>
          <w:rFonts w:ascii="Arial" w:hAnsi="Arial" w:cs="Arial"/>
          <w:szCs w:val="24"/>
        </w:rPr>
      </w:pPr>
    </w:p>
    <w:p w:rsidR="001F2AF3" w:rsidRPr="001F2AF3" w:rsidRDefault="007A079F" w:rsidP="001F2AF3">
      <w:pPr>
        <w:spacing w:line="335" w:lineRule="exact"/>
        <w:jc w:val="both"/>
        <w:rPr>
          <w:rFonts w:ascii="Arial" w:eastAsia="Calibri" w:hAnsi="Arial" w:cs="Arial"/>
          <w:sz w:val="24"/>
          <w:szCs w:val="24"/>
          <w:lang w:val="es-ES" w:eastAsia="es-ES"/>
        </w:rPr>
      </w:pPr>
      <w:r w:rsidRPr="001F2AF3">
        <w:rPr>
          <w:rFonts w:ascii="Arial" w:hAnsi="Arial" w:cs="Arial"/>
          <w:b/>
          <w:sz w:val="24"/>
          <w:szCs w:val="24"/>
        </w:rPr>
        <w:t>CONSTANCIA DE FUNDAMENTO DE VOTO DISCORDE DEL MINISTRO</w:t>
      </w:r>
      <w:r w:rsidRPr="001F2AF3">
        <w:rPr>
          <w:rFonts w:ascii="Arial" w:hAnsi="Arial" w:cs="Arial"/>
          <w:sz w:val="24"/>
          <w:szCs w:val="24"/>
        </w:rPr>
        <w:t xml:space="preserve">               </w:t>
      </w:r>
      <w:r w:rsidRPr="001F2AF3">
        <w:rPr>
          <w:rFonts w:ascii="Arial" w:hAnsi="Arial" w:cs="Arial"/>
          <w:b/>
          <w:sz w:val="24"/>
          <w:szCs w:val="24"/>
        </w:rPr>
        <w:t xml:space="preserve">ING. MIGUEL AUMENTO: </w:t>
      </w:r>
      <w:r w:rsidR="001F2AF3" w:rsidRPr="001F2AF3">
        <w:rPr>
          <w:rFonts w:ascii="Arial" w:hAnsi="Arial" w:cs="Arial"/>
          <w:b/>
          <w:sz w:val="24"/>
          <w:szCs w:val="24"/>
        </w:rPr>
        <w:t>“</w:t>
      </w:r>
      <w:r w:rsidR="001F2AF3" w:rsidRPr="001F2AF3">
        <w:rPr>
          <w:rFonts w:ascii="Arial" w:eastAsia="Calibri" w:hAnsi="Arial" w:cs="Arial"/>
          <w:sz w:val="24"/>
          <w:szCs w:val="24"/>
          <w:lang w:val="es-ES" w:eastAsia="es-ES"/>
        </w:rPr>
        <w:t xml:space="preserve">He votado en discordia la Resolución de este expediente, en tanto no comparto la argumentación esgrimida por la mayoría del Tribunal de Cuentas. </w:t>
      </w:r>
    </w:p>
    <w:p w:rsidR="001F2AF3" w:rsidRPr="001F2AF3" w:rsidRDefault="001F2AF3" w:rsidP="001F2AF3">
      <w:pPr>
        <w:spacing w:after="0" w:line="254" w:lineRule="auto"/>
        <w:ind w:right="446"/>
        <w:jc w:val="both"/>
        <w:rPr>
          <w:rFonts w:ascii="Calibri" w:eastAsia="Calibri" w:hAnsi="Calibri" w:cs="Arial"/>
          <w:sz w:val="24"/>
          <w:szCs w:val="20"/>
          <w:lang w:val="es-ES" w:eastAsia="es-ES"/>
        </w:rPr>
      </w:pPr>
    </w:p>
    <w:p w:rsidR="001F2AF3" w:rsidRPr="001F2AF3" w:rsidRDefault="001F2AF3" w:rsidP="001F2AF3">
      <w:pPr>
        <w:spacing w:after="0" w:line="360" w:lineRule="auto"/>
        <w:jc w:val="both"/>
        <w:rPr>
          <w:rFonts w:ascii="Arial" w:eastAsia="Calibri" w:hAnsi="Arial" w:cs="Arial"/>
          <w:sz w:val="24"/>
          <w:szCs w:val="20"/>
          <w:lang w:val="es-ES" w:eastAsia="es-ES"/>
        </w:rPr>
      </w:pPr>
      <w:r w:rsidRPr="001F2AF3">
        <w:rPr>
          <w:rFonts w:ascii="Arial" w:eastAsia="Calibri" w:hAnsi="Arial" w:cs="Arial"/>
          <w:sz w:val="24"/>
          <w:szCs w:val="20"/>
          <w:lang w:val="es-ES" w:eastAsia="es-ES"/>
        </w:rPr>
        <w:t>En efecto, se confirma por parte de la Administración Actuante que la oferta básica correspondiente a la firma CFU S.A. resulta la más económica, en comparación con la restante oferta básica presentada por COMSA S.A. y, por supuesto, con la propia oferta variante de CFU S.A (las tres resultaron admisibles). Esta última así definida por el Pliego de Condiciones Particulares, en mi opinión, solo podía suponer una mejor solución técnica, y por ende, más onerosa que la oferta básica del mismo proveedor. De no ser así, la variante pasaría a ser definida como la oferta básica.</w:t>
      </w:r>
    </w:p>
    <w:p w:rsidR="001F2AF3" w:rsidRPr="001F2AF3" w:rsidRDefault="001F2AF3" w:rsidP="001F2AF3">
      <w:pPr>
        <w:spacing w:after="0" w:line="360" w:lineRule="auto"/>
        <w:jc w:val="both"/>
        <w:rPr>
          <w:rFonts w:ascii="Arial" w:eastAsia="Calibri" w:hAnsi="Arial" w:cs="Arial"/>
          <w:sz w:val="24"/>
          <w:szCs w:val="20"/>
          <w:lang w:val="es-ES" w:eastAsia="es-ES"/>
        </w:rPr>
      </w:pPr>
      <w:r w:rsidRPr="001F2AF3">
        <w:rPr>
          <w:rFonts w:ascii="Arial" w:eastAsia="Calibri" w:hAnsi="Arial" w:cs="Arial"/>
          <w:sz w:val="24"/>
          <w:szCs w:val="20"/>
          <w:lang w:val="es-ES" w:eastAsia="es-ES"/>
        </w:rPr>
        <w:t xml:space="preserve">   </w:t>
      </w:r>
    </w:p>
    <w:p w:rsidR="001F2AF3" w:rsidRPr="001F2AF3" w:rsidRDefault="001F2AF3" w:rsidP="001F2AF3">
      <w:pPr>
        <w:spacing w:after="0" w:line="360" w:lineRule="auto"/>
        <w:jc w:val="both"/>
        <w:rPr>
          <w:rFonts w:ascii="Arial" w:eastAsia="Calibri" w:hAnsi="Arial" w:cs="Arial"/>
          <w:sz w:val="24"/>
          <w:szCs w:val="20"/>
          <w:lang w:val="es-ES" w:eastAsia="es-ES"/>
        </w:rPr>
      </w:pPr>
      <w:r w:rsidRPr="001F2AF3">
        <w:rPr>
          <w:rFonts w:ascii="Arial" w:eastAsia="Calibri" w:hAnsi="Arial" w:cs="Arial"/>
          <w:sz w:val="24"/>
          <w:szCs w:val="20"/>
          <w:lang w:val="es-ES" w:eastAsia="es-ES"/>
        </w:rPr>
        <w:t>La evaluación y comparación de ofertas prevista en el PCP resulta consistente con lo establecido en el Inciso final del Artículo 68 del TOCAF. No obstante ello, el Artículo 4 del PCP autorizaba la presentación de ofertas variantes siempre y cuando cumplieran con los requisitos mínimos impuestos a la oferta básica, y esto resulta legítimo según una de las posibilidades dispuestas en el Inciso 4 del Artículo 63 del TOCAF.</w:t>
      </w:r>
    </w:p>
    <w:p w:rsidR="001F2AF3" w:rsidRPr="001F2AF3" w:rsidRDefault="001F2AF3" w:rsidP="001F2AF3">
      <w:pPr>
        <w:spacing w:after="0" w:line="360" w:lineRule="auto"/>
        <w:jc w:val="both"/>
        <w:rPr>
          <w:rFonts w:ascii="Arial" w:eastAsia="Calibri" w:hAnsi="Arial" w:cs="Arial"/>
          <w:sz w:val="24"/>
          <w:szCs w:val="20"/>
          <w:lang w:val="es-ES" w:eastAsia="es-ES"/>
        </w:rPr>
      </w:pPr>
      <w:r w:rsidRPr="001F2AF3">
        <w:rPr>
          <w:rFonts w:ascii="Arial" w:eastAsia="Calibri" w:hAnsi="Arial" w:cs="Arial"/>
          <w:sz w:val="24"/>
          <w:szCs w:val="20"/>
          <w:lang w:val="es-ES" w:eastAsia="es-ES"/>
        </w:rPr>
        <w:lastRenderedPageBreak/>
        <w:t xml:space="preserve">La opinión de la mayoría del Tribunal hace que, para que la actuación no merezca objeciones legales, la Administración puede adjudicar una variante solo si ésta es la más económica de todas, incluso en comparación con las ofertas básicas. Pero no solamente eso, sino que debe ser menos onerosa que la oferta básica del mismo proveedor. A mi juicio, esto hace inviable la adjudicación de una oferta variante. </w:t>
      </w:r>
    </w:p>
    <w:p w:rsidR="001F2AF3" w:rsidRPr="001F2AF3" w:rsidRDefault="001F2AF3" w:rsidP="001F2AF3">
      <w:pPr>
        <w:spacing w:after="0" w:line="360" w:lineRule="auto"/>
        <w:jc w:val="both"/>
        <w:rPr>
          <w:rFonts w:ascii="Arial" w:eastAsia="Calibri" w:hAnsi="Arial" w:cs="Arial"/>
          <w:sz w:val="24"/>
          <w:szCs w:val="20"/>
          <w:lang w:val="es-ES" w:eastAsia="es-ES"/>
        </w:rPr>
      </w:pPr>
    </w:p>
    <w:p w:rsidR="001F2AF3" w:rsidRPr="001F2AF3" w:rsidRDefault="001F2AF3" w:rsidP="001F2AF3">
      <w:pPr>
        <w:spacing w:after="0" w:line="360" w:lineRule="auto"/>
        <w:jc w:val="both"/>
        <w:rPr>
          <w:rFonts w:ascii="Arial" w:eastAsia="Calibri" w:hAnsi="Arial" w:cs="Arial"/>
          <w:sz w:val="24"/>
          <w:szCs w:val="20"/>
          <w:lang w:val="es-ES" w:eastAsia="es-ES"/>
        </w:rPr>
      </w:pPr>
      <w:r w:rsidRPr="001F2AF3">
        <w:rPr>
          <w:rFonts w:ascii="Arial" w:eastAsia="Calibri" w:hAnsi="Arial" w:cs="Arial"/>
          <w:sz w:val="24"/>
          <w:szCs w:val="20"/>
          <w:lang w:val="es-ES" w:eastAsia="es-ES"/>
        </w:rPr>
        <w:t>Cabe señalar además que el Tribunal no ha reprochado de forma alguna lo establecido en el Artículo 10 del PCP, en el sentido que AFE se reserva el derecho de adjudicar la oferta (alternativa básica o variante) que resulte más conveniente para sus intereses.</w:t>
      </w:r>
    </w:p>
    <w:p w:rsidR="001F2AF3" w:rsidRPr="001F2AF3" w:rsidRDefault="001F2AF3" w:rsidP="001F2AF3">
      <w:pPr>
        <w:spacing w:after="0" w:line="360" w:lineRule="auto"/>
        <w:jc w:val="both"/>
        <w:rPr>
          <w:rFonts w:ascii="Arial" w:eastAsia="Calibri" w:hAnsi="Arial" w:cs="Arial"/>
          <w:sz w:val="24"/>
          <w:szCs w:val="20"/>
          <w:lang w:val="es-ES" w:eastAsia="es-ES"/>
        </w:rPr>
      </w:pPr>
    </w:p>
    <w:p w:rsidR="001F2AF3" w:rsidRPr="001F2AF3" w:rsidRDefault="001F2AF3" w:rsidP="001F2AF3">
      <w:pPr>
        <w:spacing w:after="0" w:line="360" w:lineRule="auto"/>
        <w:jc w:val="both"/>
        <w:rPr>
          <w:rFonts w:ascii="Arial" w:eastAsia="Calibri" w:hAnsi="Arial" w:cs="Arial"/>
          <w:sz w:val="24"/>
          <w:szCs w:val="20"/>
          <w:lang w:val="es-ES" w:eastAsia="es-ES"/>
        </w:rPr>
      </w:pPr>
      <w:r w:rsidRPr="001F2AF3">
        <w:rPr>
          <w:rFonts w:ascii="Arial" w:eastAsia="Calibri" w:hAnsi="Arial" w:cs="Arial"/>
          <w:sz w:val="24"/>
          <w:szCs w:val="20"/>
          <w:lang w:val="es-ES" w:eastAsia="es-ES"/>
        </w:rPr>
        <w:t>Por todo lo expuesto, he votado en forma discorde la Resolución de este expediente.</w:t>
      </w:r>
      <w:r>
        <w:rPr>
          <w:rFonts w:ascii="Arial" w:eastAsia="Calibri" w:hAnsi="Arial" w:cs="Arial"/>
          <w:sz w:val="24"/>
          <w:szCs w:val="20"/>
          <w:lang w:val="es-ES" w:eastAsia="es-ES"/>
        </w:rPr>
        <w:t>”</w:t>
      </w:r>
      <w:bookmarkStart w:id="0" w:name="_GoBack"/>
      <w:bookmarkEnd w:id="0"/>
    </w:p>
    <w:p w:rsidR="007A079F" w:rsidRPr="001F2AF3" w:rsidRDefault="007A079F" w:rsidP="001F2AF3">
      <w:pPr>
        <w:spacing w:after="0" w:line="360" w:lineRule="auto"/>
        <w:jc w:val="both"/>
        <w:rPr>
          <w:rFonts w:ascii="Arial" w:hAnsi="Arial" w:cs="Arial"/>
          <w:b/>
          <w:szCs w:val="24"/>
          <w:lang w:val="es-ES"/>
        </w:rPr>
      </w:pPr>
    </w:p>
    <w:p w:rsidR="007A079F" w:rsidRPr="001F2AF3" w:rsidRDefault="007A079F" w:rsidP="001F2AF3">
      <w:pPr>
        <w:spacing w:after="0" w:line="360" w:lineRule="auto"/>
        <w:jc w:val="both"/>
        <w:rPr>
          <w:rFonts w:ascii="Arial" w:hAnsi="Arial" w:cs="Arial"/>
          <w:szCs w:val="24"/>
        </w:rPr>
      </w:pPr>
    </w:p>
    <w:p w:rsidR="007A079F" w:rsidRPr="001F2AF3" w:rsidRDefault="007A079F" w:rsidP="001F2AF3">
      <w:pPr>
        <w:spacing w:after="0" w:line="360" w:lineRule="auto"/>
        <w:jc w:val="both"/>
        <w:rPr>
          <w:rFonts w:ascii="Arial" w:hAnsi="Arial" w:cs="Arial"/>
          <w:szCs w:val="24"/>
        </w:rPr>
      </w:pPr>
    </w:p>
    <w:p w:rsidR="007A079F" w:rsidRPr="001F2AF3" w:rsidRDefault="007A079F" w:rsidP="001F2AF3">
      <w:pPr>
        <w:spacing w:after="0" w:line="360" w:lineRule="auto"/>
        <w:jc w:val="both"/>
        <w:rPr>
          <w:rFonts w:ascii="Arial" w:hAnsi="Arial" w:cs="Arial"/>
          <w:szCs w:val="24"/>
        </w:rPr>
      </w:pPr>
    </w:p>
    <w:p w:rsidR="007A079F" w:rsidRPr="001F2AF3" w:rsidRDefault="007A079F" w:rsidP="001F2AF3">
      <w:pPr>
        <w:spacing w:after="0" w:line="360" w:lineRule="auto"/>
        <w:rPr>
          <w:rFonts w:ascii="Arial" w:hAnsi="Arial" w:cs="Arial"/>
          <w:szCs w:val="24"/>
        </w:rPr>
      </w:pPr>
    </w:p>
    <w:p w:rsidR="007A079F" w:rsidRPr="001F2AF3" w:rsidRDefault="007A079F" w:rsidP="001F2AF3">
      <w:pPr>
        <w:spacing w:after="0" w:line="360" w:lineRule="auto"/>
        <w:rPr>
          <w:rFonts w:ascii="Arial" w:hAnsi="Arial" w:cs="Arial"/>
          <w:szCs w:val="24"/>
        </w:rPr>
      </w:pPr>
    </w:p>
    <w:p w:rsidR="007A079F" w:rsidRPr="001F2AF3" w:rsidRDefault="007A079F" w:rsidP="001F2AF3">
      <w:pPr>
        <w:spacing w:after="0" w:line="360" w:lineRule="auto"/>
        <w:rPr>
          <w:rFonts w:ascii="Arial" w:hAnsi="Arial" w:cs="Arial"/>
          <w:szCs w:val="24"/>
        </w:rPr>
      </w:pPr>
    </w:p>
    <w:p w:rsidR="007A079F" w:rsidRPr="001F2AF3" w:rsidRDefault="007A079F" w:rsidP="001F2AF3">
      <w:pPr>
        <w:spacing w:after="0" w:line="360" w:lineRule="auto"/>
        <w:rPr>
          <w:rFonts w:ascii="Arial" w:hAnsi="Arial" w:cs="Arial"/>
          <w:szCs w:val="24"/>
        </w:rPr>
      </w:pPr>
      <w:r w:rsidRPr="001F2AF3">
        <w:rPr>
          <w:rFonts w:ascii="Arial" w:hAnsi="Arial" w:cs="Arial"/>
          <w:szCs w:val="24"/>
        </w:rPr>
        <w:t xml:space="preserve">        </w:t>
      </w:r>
    </w:p>
    <w:p w:rsidR="007A079F" w:rsidRPr="001F2AF3" w:rsidRDefault="007A079F" w:rsidP="001F2AF3">
      <w:pPr>
        <w:spacing w:after="0" w:line="360" w:lineRule="auto"/>
        <w:rPr>
          <w:rFonts w:ascii="Arial" w:hAnsi="Arial" w:cs="Arial"/>
        </w:rPr>
      </w:pPr>
    </w:p>
    <w:p w:rsidR="007A079F" w:rsidRPr="001F2AF3" w:rsidRDefault="007A079F" w:rsidP="001F2AF3">
      <w:pPr>
        <w:spacing w:after="0" w:line="360" w:lineRule="auto"/>
        <w:rPr>
          <w:rFonts w:ascii="Arial" w:hAnsi="Arial" w:cs="Arial"/>
          <w:sz w:val="24"/>
          <w:szCs w:val="24"/>
        </w:rPr>
      </w:pPr>
    </w:p>
    <w:sectPr w:rsidR="007A079F" w:rsidRPr="001F2AF3" w:rsidSect="001F2AF3">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C79FF"/>
    <w:multiLevelType w:val="hybridMultilevel"/>
    <w:tmpl w:val="E582517A"/>
    <w:lvl w:ilvl="0" w:tplc="0A4ED002">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A2"/>
    <w:rsid w:val="000717CA"/>
    <w:rsid w:val="000C2791"/>
    <w:rsid w:val="00142BE9"/>
    <w:rsid w:val="001F2AF3"/>
    <w:rsid w:val="0058782C"/>
    <w:rsid w:val="00592BA2"/>
    <w:rsid w:val="006856E5"/>
    <w:rsid w:val="007A079F"/>
    <w:rsid w:val="007E750A"/>
    <w:rsid w:val="007F5931"/>
    <w:rsid w:val="009A1BCD"/>
    <w:rsid w:val="00A06C05"/>
    <w:rsid w:val="00A46F9D"/>
    <w:rsid w:val="00B330DA"/>
    <w:rsid w:val="00B84DC1"/>
    <w:rsid w:val="00C30B98"/>
    <w:rsid w:val="00C44F1B"/>
    <w:rsid w:val="00CA414A"/>
    <w:rsid w:val="00CC1271"/>
    <w:rsid w:val="00D14581"/>
    <w:rsid w:val="00E63B2A"/>
    <w:rsid w:val="00F9665C"/>
    <w:rsid w:val="00FF38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BA2"/>
  </w:style>
  <w:style w:type="paragraph" w:styleId="Ttulo1">
    <w:name w:val="heading 1"/>
    <w:basedOn w:val="Normal"/>
    <w:next w:val="Normal"/>
    <w:link w:val="Ttulo1Car"/>
    <w:uiPriority w:val="9"/>
    <w:qFormat/>
    <w:rsid w:val="007A07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0B98"/>
    <w:pPr>
      <w:ind w:left="720"/>
      <w:contextualSpacing/>
    </w:pPr>
  </w:style>
  <w:style w:type="paragraph" w:styleId="Textodeglobo">
    <w:name w:val="Balloon Text"/>
    <w:basedOn w:val="Normal"/>
    <w:link w:val="TextodegloboCar"/>
    <w:uiPriority w:val="99"/>
    <w:semiHidden/>
    <w:unhideWhenUsed/>
    <w:rsid w:val="00CC12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271"/>
    <w:rPr>
      <w:rFonts w:ascii="Tahoma" w:hAnsi="Tahoma" w:cs="Tahoma"/>
      <w:sz w:val="16"/>
      <w:szCs w:val="16"/>
    </w:rPr>
  </w:style>
  <w:style w:type="character" w:customStyle="1" w:styleId="Ttulo1Car">
    <w:name w:val="Título 1 Car"/>
    <w:basedOn w:val="Fuentedeprrafopredeter"/>
    <w:link w:val="Ttulo1"/>
    <w:uiPriority w:val="9"/>
    <w:rsid w:val="007A079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BA2"/>
  </w:style>
  <w:style w:type="paragraph" w:styleId="Ttulo1">
    <w:name w:val="heading 1"/>
    <w:basedOn w:val="Normal"/>
    <w:next w:val="Normal"/>
    <w:link w:val="Ttulo1Car"/>
    <w:uiPriority w:val="9"/>
    <w:qFormat/>
    <w:rsid w:val="007A07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0B98"/>
    <w:pPr>
      <w:ind w:left="720"/>
      <w:contextualSpacing/>
    </w:pPr>
  </w:style>
  <w:style w:type="paragraph" w:styleId="Textodeglobo">
    <w:name w:val="Balloon Text"/>
    <w:basedOn w:val="Normal"/>
    <w:link w:val="TextodegloboCar"/>
    <w:uiPriority w:val="99"/>
    <w:semiHidden/>
    <w:unhideWhenUsed/>
    <w:rsid w:val="00CC12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271"/>
    <w:rPr>
      <w:rFonts w:ascii="Tahoma" w:hAnsi="Tahoma" w:cs="Tahoma"/>
      <w:sz w:val="16"/>
      <w:szCs w:val="16"/>
    </w:rPr>
  </w:style>
  <w:style w:type="character" w:customStyle="1" w:styleId="Ttulo1Car">
    <w:name w:val="Título 1 Car"/>
    <w:basedOn w:val="Fuentedeprrafopredeter"/>
    <w:link w:val="Ttulo1"/>
    <w:uiPriority w:val="9"/>
    <w:rsid w:val="007A07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6418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2019-05-20T19:20:00Z</cp:lastPrinted>
  <dcterms:created xsi:type="dcterms:W3CDTF">2019-05-20T19:23:00Z</dcterms:created>
  <dcterms:modified xsi:type="dcterms:W3CDTF">2019-05-20T19:23:00Z</dcterms:modified>
</cp:coreProperties>
</file>