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B57" w:rsidRPr="00786EEB" w:rsidRDefault="00144B57" w:rsidP="00786EEB">
      <w:pPr>
        <w:tabs>
          <w:tab w:val="center" w:pos="4253"/>
        </w:tabs>
        <w:suppressAutoHyphens/>
        <w:jc w:val="right"/>
        <w:rPr>
          <w:rFonts w:cs="Arial"/>
          <w:b/>
          <w:sz w:val="28"/>
          <w:szCs w:val="28"/>
          <w:lang w:val="es-ES_tradnl"/>
        </w:rPr>
      </w:pPr>
      <w:r>
        <w:rPr>
          <w:rFonts w:cs="Arial"/>
          <w:b/>
          <w:sz w:val="28"/>
          <w:szCs w:val="28"/>
          <w:lang w:val="es-ES_tradnl"/>
        </w:rPr>
        <w:t>RES. 1171/19</w:t>
      </w:r>
    </w:p>
    <w:p w:rsidR="00144B57" w:rsidRDefault="00144B57" w:rsidP="00786EEB">
      <w:pPr>
        <w:tabs>
          <w:tab w:val="center" w:pos="4253"/>
        </w:tabs>
        <w:suppressAutoHyphens/>
        <w:jc w:val="right"/>
        <w:rPr>
          <w:rFonts w:cs="Arial"/>
          <w:b/>
          <w:lang w:val="es-ES_tradnl"/>
        </w:rPr>
      </w:pPr>
    </w:p>
    <w:p w:rsidR="00144B57" w:rsidRPr="00762B34" w:rsidRDefault="00144B57">
      <w:pPr>
        <w:tabs>
          <w:tab w:val="center" w:pos="4253"/>
        </w:tabs>
        <w:suppressAutoHyphens/>
        <w:jc w:val="center"/>
        <w:rPr>
          <w:rFonts w:cs="Arial"/>
          <w:b/>
          <w:lang w:val="es-ES_tradnl"/>
        </w:rPr>
      </w:pPr>
      <w:r w:rsidRPr="00762B34">
        <w:rPr>
          <w:rFonts w:cs="Arial"/>
          <w:b/>
          <w:lang w:val="es-ES_tradnl"/>
        </w:rPr>
        <w:t>RESOLUCION ADOPTADA POR EL</w:t>
      </w:r>
    </w:p>
    <w:p w:rsidR="00144B57" w:rsidRPr="00762B34" w:rsidRDefault="00144B57">
      <w:pPr>
        <w:tabs>
          <w:tab w:val="left" w:pos="-720"/>
        </w:tabs>
        <w:suppressAutoHyphens/>
        <w:jc w:val="center"/>
        <w:rPr>
          <w:rFonts w:cs="Arial"/>
          <w:b/>
          <w:lang w:val="es-ES_tradnl"/>
        </w:rPr>
      </w:pPr>
    </w:p>
    <w:p w:rsidR="00144B57" w:rsidRPr="00762B34" w:rsidRDefault="00144B57">
      <w:pPr>
        <w:tabs>
          <w:tab w:val="center" w:pos="4253"/>
        </w:tabs>
        <w:suppressAutoHyphens/>
        <w:jc w:val="center"/>
        <w:rPr>
          <w:rFonts w:cs="Arial"/>
          <w:b/>
          <w:lang w:val="es-ES_tradnl"/>
        </w:rPr>
      </w:pPr>
      <w:r w:rsidRPr="00762B34">
        <w:rPr>
          <w:rFonts w:cs="Arial"/>
          <w:b/>
          <w:lang w:val="es-ES_tradnl"/>
        </w:rPr>
        <w:t>TRIBUNAL DE CUENTAS</w:t>
      </w:r>
    </w:p>
    <w:p w:rsidR="00144B57" w:rsidRPr="00762B34" w:rsidRDefault="00144B57">
      <w:pPr>
        <w:tabs>
          <w:tab w:val="left" w:pos="-720"/>
        </w:tabs>
        <w:suppressAutoHyphens/>
        <w:jc w:val="center"/>
        <w:rPr>
          <w:rFonts w:cs="Arial"/>
          <w:b/>
          <w:lang w:val="es-ES_tradnl"/>
        </w:rPr>
      </w:pPr>
    </w:p>
    <w:p w:rsidR="00144B57" w:rsidRPr="00762B34" w:rsidRDefault="00144B57">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15 DE MAYO DE 2019</w:t>
      </w:r>
    </w:p>
    <w:p w:rsidR="00144B57" w:rsidRPr="00762B34" w:rsidRDefault="00144B57">
      <w:pPr>
        <w:tabs>
          <w:tab w:val="center" w:pos="4253"/>
        </w:tabs>
        <w:suppressAutoHyphens/>
        <w:jc w:val="center"/>
        <w:rPr>
          <w:rFonts w:cs="Arial"/>
          <w:b/>
          <w:lang w:val="es-ES_tradnl"/>
        </w:rPr>
      </w:pPr>
    </w:p>
    <w:p w:rsidR="00144B57" w:rsidRPr="00762B34" w:rsidRDefault="00144B57">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2019-17-1-0001947</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1553/19</w:t>
      </w:r>
      <w:r w:rsidRPr="00762B34">
        <w:rPr>
          <w:rFonts w:cs="Arial"/>
          <w:b/>
          <w:lang w:val="en-US"/>
        </w:rPr>
        <w:t>)</w:t>
      </w:r>
    </w:p>
    <w:p w:rsidR="006153B0" w:rsidRDefault="006153B0" w:rsidP="006153B0">
      <w:pPr>
        <w:spacing w:line="360" w:lineRule="auto"/>
        <w:jc w:val="center"/>
        <w:rPr>
          <w:rFonts w:cs="Arial"/>
          <w:bCs/>
          <w:lang w:val="es-MX"/>
        </w:rPr>
      </w:pPr>
    </w:p>
    <w:p w:rsidR="00144B57" w:rsidRDefault="006153B0" w:rsidP="00144B57">
      <w:pPr>
        <w:spacing w:line="360" w:lineRule="auto"/>
        <w:ind w:firstLine="851"/>
        <w:jc w:val="both"/>
        <w:rPr>
          <w:rFonts w:cs="Arial"/>
          <w:bCs/>
          <w:lang w:val="es-MX"/>
        </w:rPr>
      </w:pPr>
      <w:r w:rsidRPr="002068A1">
        <w:rPr>
          <w:rFonts w:cs="Arial"/>
          <w:b/>
          <w:bCs/>
          <w:lang w:val="es-MX"/>
        </w:rPr>
        <w:t>VISTO:</w:t>
      </w:r>
      <w:r>
        <w:rPr>
          <w:rFonts w:cs="Arial"/>
          <w:b/>
          <w:bCs/>
          <w:lang w:val="es-MX"/>
        </w:rPr>
        <w:t xml:space="preserve"> </w:t>
      </w:r>
      <w:r>
        <w:rPr>
          <w:rFonts w:cs="Arial"/>
          <w:bCs/>
          <w:lang w:val="es-MX"/>
        </w:rPr>
        <w:t>las actuaciones remitidas por la</w:t>
      </w:r>
      <w:r>
        <w:rPr>
          <w:rFonts w:cs="Arial"/>
          <w:b/>
          <w:bCs/>
          <w:lang w:val="es-MX"/>
        </w:rPr>
        <w:t xml:space="preserve"> </w:t>
      </w:r>
      <w:r>
        <w:rPr>
          <w:rFonts w:cs="Arial"/>
          <w:bCs/>
          <w:lang w:val="es-MX"/>
        </w:rPr>
        <w:t xml:space="preserve">Administración Nacional de Educación Pública – Consejo de Educación Técnico Profesional, relacionadas con las partidas asignadas para la compra de insumos fungibles y material </w:t>
      </w:r>
      <w:r w:rsidR="00144B57">
        <w:rPr>
          <w:rFonts w:cs="Arial"/>
          <w:bCs/>
          <w:lang w:val="es-MX"/>
        </w:rPr>
        <w:t>didáctico, por un total de $ 35:</w:t>
      </w:r>
      <w:r>
        <w:rPr>
          <w:rFonts w:cs="Arial"/>
          <w:bCs/>
          <w:lang w:val="es-MX"/>
        </w:rPr>
        <w:t>351.000;</w:t>
      </w:r>
    </w:p>
    <w:p w:rsidR="00144B57" w:rsidRDefault="006153B0" w:rsidP="00144B57">
      <w:pPr>
        <w:spacing w:line="360" w:lineRule="auto"/>
        <w:ind w:firstLine="851"/>
        <w:jc w:val="both"/>
        <w:rPr>
          <w:rFonts w:cs="Arial"/>
          <w:bCs/>
          <w:lang w:val="es-MX"/>
        </w:rPr>
      </w:pPr>
      <w:r w:rsidRPr="002068A1">
        <w:rPr>
          <w:rFonts w:cs="Arial"/>
          <w:b/>
          <w:bCs/>
          <w:lang w:val="es-MX"/>
        </w:rPr>
        <w:t>RESULTANDO:</w:t>
      </w:r>
      <w:r>
        <w:rPr>
          <w:rFonts w:cs="Arial"/>
          <w:bCs/>
          <w:lang w:val="es-MX"/>
        </w:rPr>
        <w:t xml:space="preserve"> </w:t>
      </w:r>
      <w:r w:rsidRPr="002068A1">
        <w:rPr>
          <w:rFonts w:cs="Arial"/>
          <w:b/>
          <w:bCs/>
          <w:lang w:val="es-MX"/>
        </w:rPr>
        <w:t>1)</w:t>
      </w:r>
      <w:r>
        <w:rPr>
          <w:rFonts w:cs="Arial"/>
          <w:bCs/>
          <w:lang w:val="es-MX"/>
        </w:rPr>
        <w:t xml:space="preserve"> que por Resolución Nº 931/19 (Acta Nº 191) de fecha 2/04/19, se dispuso autorizar la compra de insumos fungibles y material didáctico, a favor de los responsables de las unidades y por los montos que se indican en</w:t>
      </w:r>
      <w:r w:rsidR="00144B57">
        <w:rPr>
          <w:rFonts w:cs="Arial"/>
          <w:bCs/>
          <w:lang w:val="es-MX"/>
        </w:rPr>
        <w:t xml:space="preserve"> la misma, por un total de $ 35:</w:t>
      </w:r>
      <w:r>
        <w:rPr>
          <w:rFonts w:cs="Arial"/>
          <w:bCs/>
          <w:lang w:val="es-MX"/>
        </w:rPr>
        <w:t>351.000</w:t>
      </w:r>
      <w:r w:rsidR="00144B57">
        <w:rPr>
          <w:rFonts w:cs="Arial"/>
          <w:bCs/>
          <w:lang w:val="es-MX"/>
        </w:rPr>
        <w:t>, según el siguiente detalle: $11:</w:t>
      </w:r>
      <w:r>
        <w:rPr>
          <w:rFonts w:cs="Arial"/>
          <w:bCs/>
          <w:lang w:val="es-MX"/>
        </w:rPr>
        <w:t>000.000 con cargo al Programa 604 – Educación Media Básica Tecnológica Proyecto Nº 207 Mejorami</w:t>
      </w:r>
      <w:r w:rsidR="00144B57">
        <w:rPr>
          <w:rFonts w:cs="Arial"/>
          <w:bCs/>
          <w:lang w:val="es-MX"/>
        </w:rPr>
        <w:t>ento de los Aprendizajes; y $24:</w:t>
      </w:r>
      <w:r>
        <w:rPr>
          <w:rFonts w:cs="Arial"/>
          <w:bCs/>
          <w:lang w:val="es-MX"/>
        </w:rPr>
        <w:t>351.000, con cargo al Programa 605 – Educación Media Superior Tecnológica – Proyecto Nº 210 Educación Media Superior de la Financiación 1.1 Rentas Generales; dicho gasto se dispuso supeditado a la intervención sin</w:t>
      </w:r>
      <w:r w:rsidR="00144B57">
        <w:rPr>
          <w:rFonts w:cs="Arial"/>
          <w:bCs/>
          <w:lang w:val="es-MX"/>
        </w:rPr>
        <w:t xml:space="preserve"> observación de este Tribunal;</w:t>
      </w:r>
    </w:p>
    <w:p w:rsidR="00144B57" w:rsidRDefault="003D5D1B" w:rsidP="00144B57">
      <w:pPr>
        <w:spacing w:line="360" w:lineRule="auto"/>
        <w:ind w:firstLine="2835"/>
        <w:jc w:val="both"/>
        <w:rPr>
          <w:rFonts w:cs="Arial"/>
          <w:bCs/>
          <w:lang w:val="es-MX"/>
        </w:rPr>
      </w:pPr>
      <w:r w:rsidRPr="00144B57">
        <w:rPr>
          <w:rFonts w:cs="Arial"/>
          <w:b/>
          <w:bCs/>
          <w:lang w:val="es-MX"/>
        </w:rPr>
        <w:t>2</w:t>
      </w:r>
      <w:r w:rsidR="006153B0" w:rsidRPr="001E0155">
        <w:rPr>
          <w:rFonts w:cs="Arial"/>
          <w:b/>
          <w:bCs/>
          <w:lang w:val="es-MX"/>
        </w:rPr>
        <w:t>)</w:t>
      </w:r>
      <w:r w:rsidR="006153B0">
        <w:rPr>
          <w:rFonts w:cs="Arial"/>
          <w:b/>
          <w:bCs/>
          <w:lang w:val="es-MX"/>
        </w:rPr>
        <w:t xml:space="preserve"> </w:t>
      </w:r>
      <w:r w:rsidR="006153B0">
        <w:rPr>
          <w:rFonts w:cs="Arial"/>
          <w:bCs/>
          <w:lang w:val="es-MX"/>
        </w:rPr>
        <w:t xml:space="preserve">que </w:t>
      </w:r>
      <w:r>
        <w:rPr>
          <w:rFonts w:cs="Arial"/>
          <w:bCs/>
          <w:lang w:val="es-MX"/>
        </w:rPr>
        <w:t xml:space="preserve">en </w:t>
      </w:r>
      <w:r w:rsidR="006153B0">
        <w:rPr>
          <w:rFonts w:cs="Arial"/>
          <w:bCs/>
          <w:lang w:val="es-MX"/>
        </w:rPr>
        <w:t>dicha resolución</w:t>
      </w:r>
      <w:r>
        <w:rPr>
          <w:rFonts w:cs="Arial"/>
          <w:bCs/>
          <w:lang w:val="es-MX"/>
        </w:rPr>
        <w:t xml:space="preserve">, la Administración </w:t>
      </w:r>
      <w:r w:rsidR="006153B0">
        <w:rPr>
          <w:rFonts w:cs="Arial"/>
          <w:bCs/>
          <w:lang w:val="es-MX"/>
        </w:rPr>
        <w:t>se basa en los siguientes fundamentos</w:t>
      </w:r>
      <w:r>
        <w:rPr>
          <w:rFonts w:cs="Arial"/>
          <w:bCs/>
          <w:lang w:val="es-MX"/>
        </w:rPr>
        <w:t xml:space="preserve"> para autorizar la referida compra</w:t>
      </w:r>
      <w:r w:rsidR="006153B0">
        <w:rPr>
          <w:rFonts w:cs="Arial"/>
          <w:bCs/>
          <w:lang w:val="es-MX"/>
        </w:rPr>
        <w:t>:</w:t>
      </w:r>
    </w:p>
    <w:p w:rsidR="00144B57" w:rsidRDefault="003D5D1B" w:rsidP="00144B57">
      <w:pPr>
        <w:spacing w:line="360" w:lineRule="auto"/>
        <w:ind w:firstLine="2835"/>
        <w:jc w:val="both"/>
        <w:rPr>
          <w:rFonts w:cs="Arial"/>
          <w:szCs w:val="24"/>
        </w:rPr>
      </w:pPr>
      <w:r>
        <w:rPr>
          <w:rFonts w:cs="Arial"/>
          <w:b/>
          <w:bCs/>
          <w:lang w:val="es-MX"/>
        </w:rPr>
        <w:t>2</w:t>
      </w:r>
      <w:r w:rsidR="00144B57">
        <w:rPr>
          <w:rFonts w:cs="Arial"/>
          <w:b/>
          <w:bCs/>
          <w:lang w:val="es-MX"/>
        </w:rPr>
        <w:t>.1)</w:t>
      </w:r>
      <w:r w:rsidR="006153B0">
        <w:rPr>
          <w:rFonts w:cs="Arial"/>
          <w:b/>
          <w:bCs/>
          <w:lang w:val="es-MX"/>
        </w:rPr>
        <w:t xml:space="preserve"> </w:t>
      </w:r>
      <w:r w:rsidR="006153B0" w:rsidRPr="002F7043">
        <w:rPr>
          <w:rFonts w:cs="Arial"/>
          <w:bCs/>
          <w:lang w:val="es-MX"/>
        </w:rPr>
        <w:t>l</w:t>
      </w:r>
      <w:r w:rsidR="006153B0">
        <w:rPr>
          <w:rFonts w:cs="Arial"/>
          <w:szCs w:val="24"/>
        </w:rPr>
        <w:t xml:space="preserve">a variada oferta educativa del Consejo de Educación Técnico – Profesional </w:t>
      </w:r>
      <w:r>
        <w:rPr>
          <w:rFonts w:cs="Arial"/>
          <w:szCs w:val="24"/>
        </w:rPr>
        <w:t xml:space="preserve">que </w:t>
      </w:r>
      <w:r w:rsidR="006153B0">
        <w:rPr>
          <w:rFonts w:cs="Arial"/>
          <w:szCs w:val="24"/>
        </w:rPr>
        <w:t xml:space="preserve">abarca más de 60 </w:t>
      </w:r>
      <w:r>
        <w:rPr>
          <w:rFonts w:cs="Arial"/>
          <w:szCs w:val="24"/>
        </w:rPr>
        <w:t>áreas</w:t>
      </w:r>
      <w:r w:rsidR="006153B0">
        <w:rPr>
          <w:rFonts w:cs="Arial"/>
          <w:szCs w:val="24"/>
        </w:rPr>
        <w:t xml:space="preserve"> del conocimiento en la que se incluyen cursos de carácter semestral, los diversos requerimientos de cada centro y la necesidad de dotar de insumos imprescindibles a los procesos de enseñanza y aprendizaje con sus especificidades, </w:t>
      </w:r>
      <w:r>
        <w:rPr>
          <w:rFonts w:cs="Arial"/>
          <w:szCs w:val="24"/>
        </w:rPr>
        <w:t xml:space="preserve">hace </w:t>
      </w:r>
      <w:r w:rsidR="006153B0">
        <w:rPr>
          <w:rFonts w:cs="Arial"/>
          <w:szCs w:val="24"/>
        </w:rPr>
        <w:t xml:space="preserve"> </w:t>
      </w:r>
      <w:r w:rsidR="006153B0">
        <w:rPr>
          <w:rFonts w:cs="Arial"/>
          <w:szCs w:val="24"/>
        </w:rPr>
        <w:lastRenderedPageBreak/>
        <w:t>conveniente descentralizar la adquisición de dichos bienes en los diferentes centros educativos;</w:t>
      </w:r>
    </w:p>
    <w:p w:rsidR="00144B57" w:rsidRDefault="00144B57" w:rsidP="00144B57">
      <w:pPr>
        <w:spacing w:line="360" w:lineRule="auto"/>
        <w:ind w:firstLine="2835"/>
        <w:jc w:val="both"/>
        <w:rPr>
          <w:rFonts w:cs="Arial"/>
          <w:szCs w:val="24"/>
        </w:rPr>
      </w:pPr>
      <w:r>
        <w:rPr>
          <w:rFonts w:cs="Arial"/>
          <w:b/>
          <w:szCs w:val="24"/>
        </w:rPr>
        <w:t>2.2)</w:t>
      </w:r>
      <w:r w:rsidR="006153B0">
        <w:rPr>
          <w:rFonts w:cs="Arial"/>
          <w:szCs w:val="24"/>
        </w:rPr>
        <w:t xml:space="preserve"> la Institución cuenta con escuelas en todo el país, y debido a que actualmente, al realizarse la compra de estos materiales en forma centralizada, </w:t>
      </w:r>
      <w:r w:rsidR="003D5D1B">
        <w:rPr>
          <w:rFonts w:cs="Arial"/>
          <w:szCs w:val="24"/>
        </w:rPr>
        <w:t xml:space="preserve">en </w:t>
      </w:r>
      <w:r w:rsidR="006153B0">
        <w:rPr>
          <w:rFonts w:cs="Arial"/>
          <w:szCs w:val="24"/>
        </w:rPr>
        <w:t>su distribución se generan gastos de combustible, desgaste en las diferentes unidades y pago de viáticos a los funcionarios encargados del traslado</w:t>
      </w:r>
      <w:r w:rsidR="003D5D1B">
        <w:rPr>
          <w:rFonts w:cs="Arial"/>
          <w:szCs w:val="24"/>
        </w:rPr>
        <w:t xml:space="preserve">, por lo que para </w:t>
      </w:r>
      <w:r w:rsidR="006153B0">
        <w:rPr>
          <w:rFonts w:cs="Arial"/>
          <w:szCs w:val="24"/>
        </w:rPr>
        <w:t xml:space="preserve"> obtener </w:t>
      </w:r>
      <w:r w:rsidR="003D5D1B">
        <w:rPr>
          <w:rFonts w:cs="Arial"/>
          <w:szCs w:val="24"/>
        </w:rPr>
        <w:t xml:space="preserve">el </w:t>
      </w:r>
      <w:r w:rsidR="006153B0">
        <w:rPr>
          <w:rFonts w:cs="Arial"/>
          <w:szCs w:val="24"/>
        </w:rPr>
        <w:t>uso óptimo de locomoción</w:t>
      </w:r>
      <w:r w:rsidR="003D5D1B">
        <w:rPr>
          <w:rFonts w:cs="Arial"/>
          <w:szCs w:val="24"/>
        </w:rPr>
        <w:t xml:space="preserve"> </w:t>
      </w:r>
      <w:r w:rsidR="006153B0">
        <w:rPr>
          <w:rFonts w:cs="Arial"/>
          <w:szCs w:val="24"/>
        </w:rPr>
        <w:t xml:space="preserve"> para enviar los materiales se espera que surja un viaje a la dependencia necesitada</w:t>
      </w:r>
      <w:r w:rsidR="003D5D1B">
        <w:rPr>
          <w:rFonts w:cs="Arial"/>
          <w:szCs w:val="24"/>
        </w:rPr>
        <w:t xml:space="preserve">, lo que </w:t>
      </w:r>
      <w:r w:rsidR="006153B0">
        <w:rPr>
          <w:rFonts w:cs="Arial"/>
          <w:szCs w:val="24"/>
        </w:rPr>
        <w:t xml:space="preserve"> no favorece el servicio </w:t>
      </w:r>
      <w:r w:rsidR="003D5D1B">
        <w:rPr>
          <w:rFonts w:cs="Arial"/>
          <w:szCs w:val="24"/>
        </w:rPr>
        <w:t>,</w:t>
      </w:r>
      <w:r w:rsidR="006153B0">
        <w:rPr>
          <w:rFonts w:cs="Arial"/>
          <w:szCs w:val="24"/>
        </w:rPr>
        <w:t>pues dichos insumos pueden no estar disponibles cuando se necesitan;</w:t>
      </w:r>
    </w:p>
    <w:p w:rsidR="00144B57" w:rsidRDefault="003D5D1B" w:rsidP="00144B57">
      <w:pPr>
        <w:spacing w:line="360" w:lineRule="auto"/>
        <w:ind w:firstLine="2835"/>
        <w:jc w:val="both"/>
        <w:rPr>
          <w:rFonts w:cs="Arial"/>
          <w:szCs w:val="24"/>
        </w:rPr>
      </w:pPr>
      <w:r>
        <w:rPr>
          <w:rFonts w:cs="Arial"/>
          <w:b/>
          <w:szCs w:val="24"/>
        </w:rPr>
        <w:t>2</w:t>
      </w:r>
      <w:r w:rsidR="006153B0" w:rsidRPr="002F7043">
        <w:rPr>
          <w:rFonts w:cs="Arial"/>
          <w:b/>
          <w:szCs w:val="24"/>
        </w:rPr>
        <w:t>.3</w:t>
      </w:r>
      <w:r w:rsidR="00144B57">
        <w:rPr>
          <w:rFonts w:cs="Arial"/>
          <w:b/>
          <w:szCs w:val="24"/>
        </w:rPr>
        <w:t>)</w:t>
      </w:r>
      <w:r w:rsidR="006153B0">
        <w:rPr>
          <w:rFonts w:cs="Arial"/>
          <w:b/>
          <w:szCs w:val="24"/>
        </w:rPr>
        <w:t xml:space="preserve"> </w:t>
      </w:r>
      <w:r w:rsidR="006153B0">
        <w:rPr>
          <w:rFonts w:cs="Arial"/>
          <w:szCs w:val="24"/>
        </w:rPr>
        <w:t xml:space="preserve">las partidas a distribuir no pueden superar el límite máximo para la </w:t>
      </w:r>
      <w:r>
        <w:rPr>
          <w:rFonts w:cs="Arial"/>
          <w:szCs w:val="24"/>
        </w:rPr>
        <w:t>contratación d</w:t>
      </w:r>
      <w:r w:rsidR="006153B0">
        <w:rPr>
          <w:rFonts w:cs="Arial"/>
          <w:szCs w:val="24"/>
        </w:rPr>
        <w:t>irecta común (</w:t>
      </w:r>
      <w:r w:rsidR="00144B57">
        <w:rPr>
          <w:rFonts w:cs="Arial"/>
          <w:szCs w:val="24"/>
        </w:rPr>
        <w:t>A</w:t>
      </w:r>
      <w:r w:rsidR="006153B0">
        <w:rPr>
          <w:rFonts w:cs="Arial"/>
          <w:szCs w:val="24"/>
        </w:rPr>
        <w:t>rt</w:t>
      </w:r>
      <w:r w:rsidR="00144B57">
        <w:rPr>
          <w:rFonts w:cs="Arial"/>
          <w:szCs w:val="24"/>
        </w:rPr>
        <w:t>ículo</w:t>
      </w:r>
      <w:r w:rsidR="006153B0">
        <w:rPr>
          <w:rFonts w:cs="Arial"/>
          <w:szCs w:val="24"/>
        </w:rPr>
        <w:t xml:space="preserve"> 33 del TOCAF), fijado en la suma de $ 471.000 para el período </w:t>
      </w:r>
      <w:r>
        <w:rPr>
          <w:rFonts w:cs="Arial"/>
          <w:szCs w:val="24"/>
        </w:rPr>
        <w:t>e</w:t>
      </w:r>
      <w:r w:rsidR="006153B0">
        <w:rPr>
          <w:rFonts w:cs="Arial"/>
          <w:szCs w:val="24"/>
        </w:rPr>
        <w:t xml:space="preserve">nero – </w:t>
      </w:r>
      <w:r>
        <w:rPr>
          <w:rFonts w:cs="Arial"/>
          <w:szCs w:val="24"/>
        </w:rPr>
        <w:t>d</w:t>
      </w:r>
      <w:r w:rsidR="006153B0">
        <w:rPr>
          <w:rFonts w:cs="Arial"/>
          <w:szCs w:val="24"/>
        </w:rPr>
        <w:t>iciembre de 2019</w:t>
      </w:r>
      <w:r>
        <w:rPr>
          <w:rFonts w:cs="Arial"/>
          <w:szCs w:val="24"/>
        </w:rPr>
        <w:t>,</w:t>
      </w:r>
      <w:r w:rsidR="006153B0">
        <w:rPr>
          <w:rFonts w:cs="Arial"/>
          <w:szCs w:val="24"/>
        </w:rPr>
        <w:t xml:space="preserve"> según surge del detalle del monto destinado a cada escuela o repartición;</w:t>
      </w:r>
    </w:p>
    <w:p w:rsidR="00873C33" w:rsidRDefault="003D5D1B" w:rsidP="00873C33">
      <w:pPr>
        <w:spacing w:line="360" w:lineRule="auto"/>
        <w:ind w:firstLine="2835"/>
        <w:jc w:val="both"/>
        <w:rPr>
          <w:rFonts w:cs="Arial"/>
          <w:szCs w:val="24"/>
        </w:rPr>
      </w:pPr>
      <w:r>
        <w:rPr>
          <w:rFonts w:cs="Arial"/>
          <w:b/>
          <w:szCs w:val="24"/>
        </w:rPr>
        <w:t>2</w:t>
      </w:r>
      <w:r w:rsidR="006153B0" w:rsidRPr="002F7043">
        <w:rPr>
          <w:rFonts w:cs="Arial"/>
          <w:b/>
          <w:szCs w:val="24"/>
        </w:rPr>
        <w:t>.4</w:t>
      </w:r>
      <w:r w:rsidR="00873C33">
        <w:rPr>
          <w:rFonts w:cs="Arial"/>
          <w:b/>
          <w:szCs w:val="24"/>
        </w:rPr>
        <w:t>)</w:t>
      </w:r>
      <w:r w:rsidR="006153B0">
        <w:rPr>
          <w:rFonts w:cs="Arial"/>
          <w:szCs w:val="24"/>
        </w:rPr>
        <w:t xml:space="preserve"> las citadas partidas a distribuir cuentan con financiación y disponibilidad de crédito para su otorgamiento, y asimismo, los antecedentes de distribución de partidas han demostrado que las mismas han derivado en un gasto más eficiente y acorde con las necesidades de ca</w:t>
      </w:r>
      <w:r w:rsidR="00873C33">
        <w:rPr>
          <w:rFonts w:cs="Arial"/>
          <w:szCs w:val="24"/>
        </w:rPr>
        <w:t>da servicio y centro educativo;</w:t>
      </w:r>
    </w:p>
    <w:p w:rsidR="006153B0" w:rsidRDefault="00A76C32" w:rsidP="00873C33">
      <w:pPr>
        <w:spacing w:line="360" w:lineRule="auto"/>
        <w:ind w:firstLine="2835"/>
        <w:jc w:val="both"/>
        <w:rPr>
          <w:rFonts w:cs="Arial"/>
          <w:szCs w:val="24"/>
        </w:rPr>
      </w:pPr>
      <w:r w:rsidRPr="00873C33">
        <w:rPr>
          <w:rFonts w:cs="Arial"/>
          <w:b/>
          <w:szCs w:val="24"/>
        </w:rPr>
        <w:t>3</w:t>
      </w:r>
      <w:r w:rsidR="006153B0" w:rsidRPr="00873C33">
        <w:rPr>
          <w:rFonts w:cs="Arial"/>
          <w:b/>
          <w:szCs w:val="24"/>
        </w:rPr>
        <w:t>)</w:t>
      </w:r>
      <w:r w:rsidR="006153B0">
        <w:rPr>
          <w:rFonts w:cs="Arial"/>
          <w:b/>
          <w:szCs w:val="24"/>
        </w:rPr>
        <w:t xml:space="preserve"> </w:t>
      </w:r>
      <w:r w:rsidR="006153B0">
        <w:rPr>
          <w:rFonts w:cs="Arial"/>
          <w:szCs w:val="24"/>
        </w:rPr>
        <w:t xml:space="preserve">que </w:t>
      </w:r>
      <w:r>
        <w:rPr>
          <w:rFonts w:cs="Arial"/>
          <w:szCs w:val="24"/>
        </w:rPr>
        <w:t xml:space="preserve">se </w:t>
      </w:r>
      <w:r w:rsidR="007E60F2">
        <w:rPr>
          <w:rFonts w:cs="Arial"/>
          <w:szCs w:val="24"/>
        </w:rPr>
        <w:t>efectuó</w:t>
      </w:r>
      <w:r>
        <w:rPr>
          <w:rFonts w:cs="Arial"/>
          <w:szCs w:val="24"/>
        </w:rPr>
        <w:t xml:space="preserve"> </w:t>
      </w:r>
      <w:r w:rsidR="006153B0">
        <w:rPr>
          <w:rFonts w:cs="Arial"/>
          <w:szCs w:val="24"/>
        </w:rPr>
        <w:t xml:space="preserve"> Reserva de fecha 2/04/19 para la compra de insumos y material didácticos para las Escuelas del  CETP, según el siguiente detalle: - Programa 604, Proyect</w:t>
      </w:r>
      <w:r w:rsidR="00873C33">
        <w:rPr>
          <w:rFonts w:cs="Arial"/>
          <w:szCs w:val="24"/>
        </w:rPr>
        <w:t>o 207,  rubro 199000, importe $11:</w:t>
      </w:r>
      <w:r w:rsidR="006153B0">
        <w:rPr>
          <w:rFonts w:cs="Arial"/>
          <w:szCs w:val="24"/>
        </w:rPr>
        <w:t>000.000; - Programa 605, Proyecto 210, Objeto del Gasto 199000, imp</w:t>
      </w:r>
      <w:r w:rsidR="00873C33">
        <w:rPr>
          <w:rFonts w:cs="Arial"/>
          <w:szCs w:val="24"/>
        </w:rPr>
        <w:t>orte $ 24:</w:t>
      </w:r>
      <w:r w:rsidR="006153B0">
        <w:rPr>
          <w:rFonts w:cs="Arial"/>
          <w:szCs w:val="24"/>
        </w:rPr>
        <w:t>351.000; ascendi</w:t>
      </w:r>
      <w:r w:rsidR="00873C33">
        <w:rPr>
          <w:rFonts w:cs="Arial"/>
          <w:szCs w:val="24"/>
        </w:rPr>
        <w:t>endo el total a la suma de $ 35:</w:t>
      </w:r>
      <w:r w:rsidR="006153B0">
        <w:rPr>
          <w:rFonts w:cs="Arial"/>
          <w:szCs w:val="24"/>
        </w:rPr>
        <w:t xml:space="preserve">351.000; </w:t>
      </w:r>
    </w:p>
    <w:p w:rsidR="00873C33" w:rsidRDefault="006153B0" w:rsidP="00873C33">
      <w:pPr>
        <w:spacing w:line="360" w:lineRule="auto"/>
        <w:ind w:firstLine="851"/>
        <w:jc w:val="both"/>
        <w:rPr>
          <w:rFonts w:cs="Arial"/>
          <w:lang w:val="es-MX"/>
        </w:rPr>
      </w:pPr>
      <w:r>
        <w:rPr>
          <w:rFonts w:cs="Arial"/>
          <w:b/>
          <w:szCs w:val="24"/>
        </w:rPr>
        <w:t xml:space="preserve">CONSIDERANDO: 1) </w:t>
      </w:r>
      <w:r>
        <w:rPr>
          <w:rFonts w:cs="Arial"/>
          <w:szCs w:val="24"/>
        </w:rPr>
        <w:t xml:space="preserve">que </w:t>
      </w:r>
      <w:r>
        <w:rPr>
          <w:rFonts w:cs="Arial"/>
          <w:lang w:val="es-MX"/>
        </w:rPr>
        <w:t xml:space="preserve">se cumplen los requisitos que habilitan la procedencia del fraccionamiento necesario, en tanto el acto administrativo que lo dispuso cumple con el principio de motivación imperante en la materia, y los fundamentos esgrimidos indican </w:t>
      </w:r>
      <w:r w:rsidR="007E60F2">
        <w:rPr>
          <w:rFonts w:cs="Arial"/>
          <w:lang w:val="es-MX"/>
        </w:rPr>
        <w:t xml:space="preserve">necesidad de dicho </w:t>
      </w:r>
      <w:r>
        <w:rPr>
          <w:rFonts w:cs="Arial"/>
          <w:lang w:val="es-MX"/>
        </w:rPr>
        <w:t xml:space="preserve">l proceder, en cuanto se </w:t>
      </w:r>
      <w:r>
        <w:rPr>
          <w:rFonts w:cs="Arial"/>
          <w:lang w:val="es-MX"/>
        </w:rPr>
        <w:lastRenderedPageBreak/>
        <w:t xml:space="preserve">procura tutelar por parte de la Administración, las </w:t>
      </w:r>
      <w:r w:rsidR="007E60F2">
        <w:rPr>
          <w:rFonts w:cs="Arial"/>
          <w:lang w:val="es-MX"/>
        </w:rPr>
        <w:t xml:space="preserve">requerimientos </w:t>
      </w:r>
      <w:r>
        <w:rPr>
          <w:rFonts w:cs="Arial"/>
          <w:lang w:val="es-MX"/>
        </w:rPr>
        <w:t xml:space="preserve"> individualiza</w:t>
      </w:r>
      <w:r w:rsidR="00873C33">
        <w:rPr>
          <w:rFonts w:cs="Arial"/>
          <w:lang w:val="es-MX"/>
        </w:rPr>
        <w:softHyphen/>
      </w:r>
      <w:r>
        <w:rPr>
          <w:rFonts w:cs="Arial"/>
          <w:lang w:val="es-MX"/>
        </w:rPr>
        <w:t>d</w:t>
      </w:r>
      <w:r w:rsidR="007E60F2">
        <w:rPr>
          <w:rFonts w:cs="Arial"/>
          <w:lang w:val="es-MX"/>
        </w:rPr>
        <w:t>o</w:t>
      </w:r>
      <w:r w:rsidR="00873C33">
        <w:rPr>
          <w:rFonts w:cs="Arial"/>
          <w:lang w:val="es-MX"/>
        </w:rPr>
        <w:t>s de los distintos Centros E</w:t>
      </w:r>
      <w:r>
        <w:rPr>
          <w:rFonts w:cs="Arial"/>
          <w:lang w:val="es-MX"/>
        </w:rPr>
        <w:t>ducativos del país;</w:t>
      </w:r>
    </w:p>
    <w:p w:rsidR="00873C33" w:rsidRDefault="006153B0" w:rsidP="00873C33">
      <w:pPr>
        <w:spacing w:line="360" w:lineRule="auto"/>
        <w:ind w:firstLine="2977"/>
        <w:jc w:val="both"/>
        <w:rPr>
          <w:rFonts w:cs="Arial"/>
          <w:i/>
          <w:szCs w:val="24"/>
        </w:rPr>
      </w:pPr>
      <w:r w:rsidRPr="00163ABE">
        <w:rPr>
          <w:rFonts w:cs="Arial"/>
          <w:b/>
          <w:szCs w:val="24"/>
        </w:rPr>
        <w:t>2)</w:t>
      </w:r>
      <w:r>
        <w:rPr>
          <w:rFonts w:cs="Arial"/>
          <w:b/>
          <w:szCs w:val="24"/>
        </w:rPr>
        <w:t xml:space="preserve"> </w:t>
      </w:r>
      <w:r>
        <w:rPr>
          <w:rFonts w:cs="Arial"/>
          <w:szCs w:val="24"/>
        </w:rPr>
        <w:t xml:space="preserve">que en tal sentido, si bien el </w:t>
      </w:r>
      <w:r w:rsidR="00873C33">
        <w:rPr>
          <w:rFonts w:cs="Arial"/>
          <w:szCs w:val="24"/>
        </w:rPr>
        <w:t>A</w:t>
      </w:r>
      <w:r>
        <w:rPr>
          <w:rFonts w:cs="Arial"/>
          <w:szCs w:val="24"/>
        </w:rPr>
        <w:t xml:space="preserve">rtículo 43 del TOCAF en </w:t>
      </w:r>
      <w:r w:rsidR="007E60F2">
        <w:rPr>
          <w:rFonts w:cs="Arial"/>
          <w:szCs w:val="24"/>
        </w:rPr>
        <w:t>el i</w:t>
      </w:r>
      <w:r>
        <w:rPr>
          <w:rFonts w:cs="Arial"/>
          <w:szCs w:val="24"/>
        </w:rPr>
        <w:t xml:space="preserve">nciso 1º preceptúa que: </w:t>
      </w:r>
      <w:r w:rsidR="00873C33">
        <w:rPr>
          <w:rFonts w:cs="Arial"/>
          <w:i/>
          <w:szCs w:val="24"/>
        </w:rPr>
        <w:t>“Los O</w:t>
      </w:r>
      <w:r w:rsidRPr="002D4ABC">
        <w:rPr>
          <w:rFonts w:cs="Arial"/>
          <w:i/>
          <w:szCs w:val="24"/>
        </w:rPr>
        <w:t>rdenadores de gastos adoptarán las medidas necesarias para contratar los suministros o servicios por grupos de artículos o servicios, de forma de facilitar la presentación del mayor número posible de oferentes”</w:t>
      </w:r>
      <w:r>
        <w:rPr>
          <w:rFonts w:cs="Arial"/>
          <w:szCs w:val="24"/>
        </w:rPr>
        <w:t>, también señala en el I</w:t>
      </w:r>
      <w:r w:rsidR="007E60F2">
        <w:rPr>
          <w:rFonts w:cs="Arial"/>
          <w:szCs w:val="24"/>
        </w:rPr>
        <w:t>i</w:t>
      </w:r>
      <w:r>
        <w:rPr>
          <w:rFonts w:cs="Arial"/>
          <w:szCs w:val="24"/>
        </w:rPr>
        <w:t>ciso 2º que: “</w:t>
      </w:r>
      <w:r w:rsidRPr="002D4ABC">
        <w:rPr>
          <w:rFonts w:cs="Arial"/>
          <w:i/>
          <w:szCs w:val="24"/>
        </w:rPr>
        <w:t>… los ordenadores, bajo su responsabilidad, podrán fraccionar las compras dejando expresa constancia de su fundamento y de su conveniencia para el servicio”</w:t>
      </w:r>
      <w:r>
        <w:rPr>
          <w:rFonts w:cs="Arial"/>
          <w:i/>
          <w:szCs w:val="24"/>
        </w:rPr>
        <w:t>;</w:t>
      </w:r>
      <w:r w:rsidRPr="002D4ABC">
        <w:rPr>
          <w:rFonts w:cs="Arial"/>
          <w:i/>
          <w:szCs w:val="24"/>
        </w:rPr>
        <w:t xml:space="preserve"> </w:t>
      </w:r>
    </w:p>
    <w:p w:rsidR="00873C33" w:rsidRDefault="006153B0" w:rsidP="00873C33">
      <w:pPr>
        <w:spacing w:line="360" w:lineRule="auto"/>
        <w:ind w:firstLine="2977"/>
        <w:jc w:val="both"/>
        <w:rPr>
          <w:rFonts w:eastAsia="Arial" w:cs="Arial"/>
          <w:color w:val="000000"/>
          <w:szCs w:val="28"/>
          <w:lang w:val="es-UY"/>
        </w:rPr>
      </w:pPr>
      <w:r>
        <w:rPr>
          <w:rFonts w:cs="Arial"/>
          <w:b/>
          <w:szCs w:val="24"/>
        </w:rPr>
        <w:t xml:space="preserve">3) </w:t>
      </w:r>
      <w:r>
        <w:rPr>
          <w:rFonts w:cs="Arial"/>
          <w:szCs w:val="24"/>
        </w:rPr>
        <w:t xml:space="preserve">que </w:t>
      </w:r>
      <w:r>
        <w:rPr>
          <w:rFonts w:cs="Arial"/>
          <w:lang w:val="es-MX"/>
        </w:rPr>
        <w:t xml:space="preserve">se denomina fraccionamiento necesario o regular a aquellos </w:t>
      </w:r>
      <w:r>
        <w:rPr>
          <w:rFonts w:eastAsia="Arial" w:cs="Arial"/>
          <w:color w:val="000000"/>
          <w:szCs w:val="28"/>
          <w:lang w:val="es-UY"/>
        </w:rPr>
        <w:t>casos en que resulta imperioso para el servicio fragmentar el gasto, en cuyo caso el Ordenador procede bajo su responsabilidad, siendo requisitos para su procedencia, el formular expresa constancia de su fundamento y de la conveniencia para el servicio, tal como lo establece la norma citada “ut- supra”;</w:t>
      </w:r>
    </w:p>
    <w:p w:rsidR="00873C33" w:rsidRDefault="006153B0" w:rsidP="00873C33">
      <w:pPr>
        <w:spacing w:line="360" w:lineRule="auto"/>
        <w:ind w:firstLine="2977"/>
        <w:jc w:val="both"/>
        <w:rPr>
          <w:rFonts w:cs="Arial"/>
          <w:i/>
          <w:lang w:val="es-ES_tradnl" w:eastAsia="es-ES_tradnl"/>
        </w:rPr>
      </w:pPr>
      <w:r w:rsidRPr="00D72A23">
        <w:rPr>
          <w:rFonts w:cs="Arial"/>
          <w:b/>
          <w:lang w:val="es-MX"/>
        </w:rPr>
        <w:t>4)</w:t>
      </w:r>
      <w:r>
        <w:rPr>
          <w:rFonts w:cs="Arial"/>
          <w:b/>
          <w:lang w:val="es-MX"/>
        </w:rPr>
        <w:t xml:space="preserve"> </w:t>
      </w:r>
      <w:r w:rsidR="00873C33">
        <w:rPr>
          <w:rFonts w:cs="Arial"/>
          <w:lang w:val="es-MX"/>
        </w:rPr>
        <w:t>que por otra parte, el A</w:t>
      </w:r>
      <w:r>
        <w:rPr>
          <w:rFonts w:cs="Arial"/>
          <w:lang w:val="es-MX"/>
        </w:rPr>
        <w:t xml:space="preserve">rtículo 132 del TOCAF establece que </w:t>
      </w:r>
      <w:r>
        <w:rPr>
          <w:rFonts w:cs="Arial"/>
          <w:i/>
          <w:lang w:val="es-MX"/>
        </w:rPr>
        <w:t xml:space="preserve">“todo funcionario o empleado, </w:t>
      </w:r>
      <w:r>
        <w:rPr>
          <w:rFonts w:cs="Arial"/>
          <w:i/>
          <w:lang w:val="es-ES_tradnl" w:eastAsia="es-ES_tradnl"/>
        </w:rPr>
        <w:t xml:space="preserve"> como así también toda persona física o jurídica que perciba fondos en carácter de recaudador, depositario o pagador o que administre, utilice o custodie otros bienes o pertenencias del Estado, con o sin autorización legal, está obligado a rendir cuenta documentada o comprobable de su versión, utilización o gestión</w:t>
      </w:r>
      <w:r>
        <w:rPr>
          <w:rFonts w:cs="Arial"/>
          <w:lang w:val="es-ES_tradnl" w:eastAsia="es-ES_tradnl"/>
        </w:rPr>
        <w:t>.”, siendo que dichas rendiciones de cuentas</w:t>
      </w:r>
      <w:r>
        <w:rPr>
          <w:rFonts w:cs="Arial"/>
          <w:i/>
          <w:lang w:val="es-ES_tradnl" w:eastAsia="es-ES_tradnl"/>
        </w:rPr>
        <w:t xml:space="preserve"> “deberán presentarse en un plazo de sesenta días contados a partir del último día del mes en que se recibieron los fondos o valores, cualquiera sea la fuente de financiación”;</w:t>
      </w:r>
    </w:p>
    <w:p w:rsidR="006153B0" w:rsidRDefault="006153B0" w:rsidP="00873C33">
      <w:pPr>
        <w:spacing w:line="360" w:lineRule="auto"/>
        <w:ind w:firstLine="2977"/>
        <w:jc w:val="both"/>
        <w:rPr>
          <w:rFonts w:cs="Arial"/>
          <w:lang w:val="es-MX"/>
        </w:rPr>
      </w:pPr>
      <w:r>
        <w:rPr>
          <w:rFonts w:cs="Arial"/>
          <w:b/>
          <w:lang w:val="es-MX"/>
        </w:rPr>
        <w:t>5)</w:t>
      </w:r>
      <w:r>
        <w:rPr>
          <w:rFonts w:cs="Arial"/>
          <w:lang w:val="es-MX"/>
        </w:rPr>
        <w:t xml:space="preserve"> que en razón de lo expuesto, se deberá rendir cuenta documentada o comprobable de la versión, utilización o gestión de las partidas asignadas, por parte de cada uno de los referidos Centros Educativos;</w:t>
      </w:r>
    </w:p>
    <w:p w:rsidR="006153B0" w:rsidRDefault="006153B0" w:rsidP="00873C33">
      <w:pPr>
        <w:spacing w:after="240" w:line="360" w:lineRule="auto"/>
        <w:ind w:firstLine="851"/>
        <w:jc w:val="both"/>
        <w:rPr>
          <w:rFonts w:cs="Arial"/>
        </w:rPr>
      </w:pPr>
      <w:r>
        <w:rPr>
          <w:rFonts w:cs="Arial"/>
          <w:b/>
        </w:rPr>
        <w:t xml:space="preserve">ATENTO: </w:t>
      </w:r>
      <w:r>
        <w:rPr>
          <w:rFonts w:cs="Arial"/>
        </w:rPr>
        <w:t>a lo ex</w:t>
      </w:r>
      <w:r w:rsidR="00873C33">
        <w:rPr>
          <w:rFonts w:cs="Arial"/>
        </w:rPr>
        <w:t>puesto y a lo dispuesto por el A</w:t>
      </w:r>
      <w:r>
        <w:rPr>
          <w:rFonts w:cs="Arial"/>
        </w:rPr>
        <w:t xml:space="preserve">rtículo 211 </w:t>
      </w:r>
      <w:r w:rsidR="00873C33">
        <w:rPr>
          <w:rFonts w:cs="Arial"/>
        </w:rPr>
        <w:t>L</w:t>
      </w:r>
      <w:r>
        <w:rPr>
          <w:rFonts w:cs="Arial"/>
        </w:rPr>
        <w:t>iteral B) de la Constitución de la República;</w:t>
      </w:r>
    </w:p>
    <w:p w:rsidR="006153B0" w:rsidRDefault="006153B0" w:rsidP="006153B0">
      <w:pPr>
        <w:spacing w:line="360" w:lineRule="auto"/>
        <w:jc w:val="center"/>
        <w:rPr>
          <w:rFonts w:cs="Arial"/>
          <w:b/>
        </w:rPr>
      </w:pPr>
      <w:r>
        <w:rPr>
          <w:rFonts w:cs="Arial"/>
          <w:b/>
        </w:rPr>
        <w:lastRenderedPageBreak/>
        <w:t>EL TRIBUNAL ACUERDA</w:t>
      </w:r>
    </w:p>
    <w:p w:rsidR="006153B0" w:rsidRDefault="006153B0" w:rsidP="00873C33">
      <w:pPr>
        <w:numPr>
          <w:ilvl w:val="0"/>
          <w:numId w:val="1"/>
        </w:numPr>
        <w:spacing w:line="360" w:lineRule="auto"/>
        <w:ind w:left="284" w:hanging="284"/>
        <w:jc w:val="both"/>
        <w:rPr>
          <w:rFonts w:cs="Arial"/>
          <w:b/>
        </w:rPr>
      </w:pPr>
      <w:r w:rsidRPr="00D72A23">
        <w:rPr>
          <w:rFonts w:cs="Arial"/>
        </w:rPr>
        <w:t xml:space="preserve">Cometer al Contador Delegado la intervención del gasto de $ </w:t>
      </w:r>
      <w:r>
        <w:rPr>
          <w:rFonts w:cs="Arial"/>
        </w:rPr>
        <w:t>35</w:t>
      </w:r>
      <w:r w:rsidR="00873C33">
        <w:rPr>
          <w:rFonts w:cs="Arial"/>
        </w:rPr>
        <w:t>:</w:t>
      </w:r>
      <w:r>
        <w:rPr>
          <w:rFonts w:cs="Arial"/>
        </w:rPr>
        <w:t>351</w:t>
      </w:r>
      <w:r w:rsidRPr="00D72A23">
        <w:rPr>
          <w:rFonts w:cs="Arial"/>
          <w:bCs/>
          <w:lang w:val="es-MX"/>
        </w:rPr>
        <w:t xml:space="preserve">.000 </w:t>
      </w:r>
      <w:r w:rsidRPr="00D72A23">
        <w:rPr>
          <w:rFonts w:cs="Arial"/>
        </w:rPr>
        <w:t>por el Ejercicio 201</w:t>
      </w:r>
      <w:r>
        <w:rPr>
          <w:rFonts w:cs="Arial"/>
        </w:rPr>
        <w:t>9</w:t>
      </w:r>
      <w:r w:rsidRPr="00D72A23">
        <w:rPr>
          <w:rFonts w:cs="Arial"/>
        </w:rPr>
        <w:t>, pre</w:t>
      </w:r>
      <w:r w:rsidR="00873C33">
        <w:rPr>
          <w:rFonts w:cs="Arial"/>
        </w:rPr>
        <w:t>vio control de la imputación a G</w:t>
      </w:r>
      <w:r w:rsidRPr="00D72A23">
        <w:rPr>
          <w:rFonts w:cs="Arial"/>
        </w:rPr>
        <w:t>rupo adecuado con disponibilidad presupuestal suficiente y verificación de la no existen</w:t>
      </w:r>
      <w:r w:rsidR="00873C33">
        <w:rPr>
          <w:rFonts w:cs="Arial"/>
        </w:rPr>
        <w:t>cia de principio de ejecución (Artículo 211 L</w:t>
      </w:r>
      <w:r w:rsidRPr="00D72A23">
        <w:rPr>
          <w:rFonts w:cs="Arial"/>
        </w:rPr>
        <w:t>iteral B) de la Consti</w:t>
      </w:r>
      <w:r w:rsidR="00873C33">
        <w:rPr>
          <w:rFonts w:cs="Arial"/>
        </w:rPr>
        <w:t>tución de la República);</w:t>
      </w:r>
    </w:p>
    <w:p w:rsidR="006153B0" w:rsidRDefault="006153B0" w:rsidP="00873C33">
      <w:pPr>
        <w:numPr>
          <w:ilvl w:val="0"/>
          <w:numId w:val="1"/>
        </w:numPr>
        <w:spacing w:line="360" w:lineRule="auto"/>
        <w:ind w:left="284" w:hanging="284"/>
        <w:jc w:val="both"/>
        <w:rPr>
          <w:rFonts w:cs="Arial"/>
          <w:b/>
        </w:rPr>
      </w:pPr>
      <w:r w:rsidRPr="00D72A23">
        <w:rPr>
          <w:rFonts w:cs="Arial"/>
        </w:rPr>
        <w:t>Téngase presente lo expresa</w:t>
      </w:r>
      <w:r w:rsidR="00873C33">
        <w:rPr>
          <w:rFonts w:cs="Arial"/>
        </w:rPr>
        <w:t>do en los Considerandos 4) y 5);</w:t>
      </w:r>
    </w:p>
    <w:p w:rsidR="006153B0" w:rsidRDefault="00873C33" w:rsidP="00873C33">
      <w:pPr>
        <w:numPr>
          <w:ilvl w:val="0"/>
          <w:numId w:val="1"/>
        </w:numPr>
        <w:spacing w:line="360" w:lineRule="auto"/>
        <w:ind w:left="284" w:hanging="284"/>
        <w:jc w:val="both"/>
        <w:rPr>
          <w:rFonts w:cs="Arial"/>
          <w:b/>
        </w:rPr>
      </w:pPr>
      <w:r>
        <w:rPr>
          <w:rFonts w:cs="Arial"/>
          <w:lang w:val="es-MX"/>
        </w:rPr>
        <w:t>Comunicar al Contador Delegado;</w:t>
      </w:r>
    </w:p>
    <w:p w:rsidR="00766775" w:rsidRPr="00873C33" w:rsidRDefault="006153B0" w:rsidP="00873C33">
      <w:pPr>
        <w:numPr>
          <w:ilvl w:val="0"/>
          <w:numId w:val="1"/>
        </w:numPr>
        <w:spacing w:line="360" w:lineRule="auto"/>
        <w:ind w:left="284" w:hanging="284"/>
        <w:jc w:val="both"/>
      </w:pPr>
      <w:r w:rsidRPr="00873C33">
        <w:rPr>
          <w:rFonts w:cs="Arial"/>
          <w:lang w:val="es-MX"/>
        </w:rPr>
        <w:t>Devolver las actuaciones.</w:t>
      </w:r>
      <w:bookmarkStart w:id="0" w:name="_GoBack"/>
      <w:bookmarkEnd w:id="0"/>
    </w:p>
    <w:p w:rsidR="00873C33" w:rsidRDefault="00873C33" w:rsidP="00873C33">
      <w:pPr>
        <w:spacing w:line="360" w:lineRule="auto"/>
        <w:jc w:val="both"/>
        <w:rPr>
          <w:rFonts w:cs="Arial"/>
          <w:b/>
        </w:rPr>
      </w:pPr>
    </w:p>
    <w:p w:rsidR="00873C33" w:rsidRDefault="00873C33" w:rsidP="00873C33">
      <w:pPr>
        <w:spacing w:line="360" w:lineRule="auto"/>
        <w:jc w:val="both"/>
        <w:rPr>
          <w:rFonts w:cs="Arial"/>
          <w:b/>
        </w:rPr>
      </w:pPr>
    </w:p>
    <w:p w:rsidR="00873C33" w:rsidRDefault="00873C33" w:rsidP="00873C33">
      <w:pPr>
        <w:spacing w:line="360" w:lineRule="auto"/>
        <w:jc w:val="both"/>
        <w:rPr>
          <w:rFonts w:cs="Arial"/>
          <w:b/>
        </w:rPr>
      </w:pPr>
    </w:p>
    <w:p w:rsidR="00873C33" w:rsidRDefault="00873C33" w:rsidP="00873C33">
      <w:pPr>
        <w:spacing w:line="360" w:lineRule="auto"/>
        <w:jc w:val="both"/>
        <w:rPr>
          <w:rFonts w:cs="Arial"/>
          <w:b/>
        </w:rPr>
      </w:pPr>
    </w:p>
    <w:p w:rsidR="00873C33" w:rsidRDefault="00873C33" w:rsidP="00873C33">
      <w:pPr>
        <w:spacing w:line="360" w:lineRule="auto"/>
        <w:jc w:val="both"/>
        <w:rPr>
          <w:rFonts w:cs="Arial"/>
          <w:b/>
        </w:rPr>
      </w:pPr>
    </w:p>
    <w:p w:rsidR="00873C33" w:rsidRDefault="00873C33" w:rsidP="00873C33">
      <w:pPr>
        <w:spacing w:line="360" w:lineRule="auto"/>
        <w:jc w:val="both"/>
        <w:rPr>
          <w:rFonts w:cs="Arial"/>
          <w:b/>
        </w:rPr>
      </w:pPr>
    </w:p>
    <w:p w:rsidR="00873C33" w:rsidRPr="00873C33" w:rsidRDefault="00873C33" w:rsidP="00873C33">
      <w:pPr>
        <w:spacing w:line="360" w:lineRule="auto"/>
        <w:ind w:hanging="426"/>
        <w:jc w:val="both"/>
      </w:pPr>
      <w:proofErr w:type="gramStart"/>
      <w:r>
        <w:rPr>
          <w:rFonts w:cs="Arial"/>
        </w:rPr>
        <w:t>dc</w:t>
      </w:r>
      <w:proofErr w:type="gramEnd"/>
    </w:p>
    <w:sectPr w:rsidR="00873C33" w:rsidRPr="00873C33" w:rsidSect="00873C33">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33" w:rsidRDefault="00873C33" w:rsidP="00873C33">
      <w:r>
        <w:separator/>
      </w:r>
    </w:p>
  </w:endnote>
  <w:endnote w:type="continuationSeparator" w:id="0">
    <w:p w:rsidR="00873C33" w:rsidRDefault="00873C33" w:rsidP="0087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37421"/>
      <w:docPartObj>
        <w:docPartGallery w:val="Page Numbers (Bottom of Page)"/>
        <w:docPartUnique/>
      </w:docPartObj>
    </w:sdtPr>
    <w:sdtContent>
      <w:p w:rsidR="00873C33" w:rsidRDefault="00873C33">
        <w:pPr>
          <w:pStyle w:val="Piedepgina"/>
          <w:jc w:val="center"/>
        </w:pPr>
        <w:r>
          <w:fldChar w:fldCharType="begin"/>
        </w:r>
        <w:r>
          <w:instrText>PAGE   \* MERGEFORMAT</w:instrText>
        </w:r>
        <w:r>
          <w:fldChar w:fldCharType="separate"/>
        </w:r>
        <w:r>
          <w:rPr>
            <w:noProof/>
          </w:rPr>
          <w:t>4</w:t>
        </w:r>
        <w:r>
          <w:fldChar w:fldCharType="end"/>
        </w:r>
      </w:p>
    </w:sdtContent>
  </w:sdt>
  <w:p w:rsidR="00873C33" w:rsidRDefault="00873C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33" w:rsidRDefault="00873C33" w:rsidP="00873C33">
      <w:r>
        <w:separator/>
      </w:r>
    </w:p>
  </w:footnote>
  <w:footnote w:type="continuationSeparator" w:id="0">
    <w:p w:rsidR="00873C33" w:rsidRDefault="00873C33" w:rsidP="00873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320"/>
    <w:multiLevelType w:val="hybridMultilevel"/>
    <w:tmpl w:val="EF402CD8"/>
    <w:lvl w:ilvl="0" w:tplc="E8C8013A">
      <w:start w:val="1"/>
      <w:numFmt w:val="decimal"/>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B0"/>
    <w:rsid w:val="00144B57"/>
    <w:rsid w:val="003D5D1B"/>
    <w:rsid w:val="006153B0"/>
    <w:rsid w:val="00766775"/>
    <w:rsid w:val="007E60F2"/>
    <w:rsid w:val="00873C33"/>
    <w:rsid w:val="00A76C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B0"/>
    <w:pPr>
      <w:spacing w:after="0" w:line="240" w:lineRule="auto"/>
    </w:pPr>
    <w:rPr>
      <w:rFonts w:ascii="Arial" w:eastAsia="Times New Roman" w:hAnsi="Arial" w:cs="Times New Roman"/>
      <w:sz w:val="24"/>
      <w:szCs w:val="20"/>
      <w:lang w:val="es-ES" w:eastAsia="es-ES"/>
    </w:rPr>
  </w:style>
  <w:style w:type="paragraph" w:styleId="Ttulo2">
    <w:name w:val="heading 2"/>
    <w:basedOn w:val="Normal"/>
    <w:next w:val="Normal"/>
    <w:link w:val="Ttulo2Car"/>
    <w:qFormat/>
    <w:rsid w:val="006153B0"/>
    <w:pPr>
      <w:keepNext/>
      <w:spacing w:line="360" w:lineRule="auto"/>
      <w:jc w:val="center"/>
      <w:outlineLvl w:val="1"/>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153B0"/>
    <w:rPr>
      <w:rFonts w:ascii="Arial" w:eastAsia="Times New Roman" w:hAnsi="Arial" w:cs="Arial"/>
      <w:b/>
      <w:sz w:val="24"/>
      <w:szCs w:val="20"/>
      <w:lang w:val="es-MX" w:eastAsia="es-ES"/>
    </w:rPr>
  </w:style>
  <w:style w:type="paragraph" w:styleId="Encabezado">
    <w:name w:val="header"/>
    <w:basedOn w:val="Normal"/>
    <w:link w:val="EncabezadoCar"/>
    <w:uiPriority w:val="99"/>
    <w:unhideWhenUsed/>
    <w:rsid w:val="00873C33"/>
    <w:pPr>
      <w:tabs>
        <w:tab w:val="center" w:pos="4252"/>
        <w:tab w:val="right" w:pos="8504"/>
      </w:tabs>
    </w:pPr>
  </w:style>
  <w:style w:type="character" w:customStyle="1" w:styleId="EncabezadoCar">
    <w:name w:val="Encabezado Car"/>
    <w:basedOn w:val="Fuentedeprrafopredeter"/>
    <w:link w:val="Encabezado"/>
    <w:uiPriority w:val="99"/>
    <w:rsid w:val="00873C33"/>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873C33"/>
    <w:pPr>
      <w:tabs>
        <w:tab w:val="center" w:pos="4252"/>
        <w:tab w:val="right" w:pos="8504"/>
      </w:tabs>
    </w:pPr>
  </w:style>
  <w:style w:type="character" w:customStyle="1" w:styleId="PiedepginaCar">
    <w:name w:val="Pie de página Car"/>
    <w:basedOn w:val="Fuentedeprrafopredeter"/>
    <w:link w:val="Piedepgina"/>
    <w:uiPriority w:val="99"/>
    <w:rsid w:val="00873C33"/>
    <w:rPr>
      <w:rFonts w:ascii="Arial" w:eastAsia="Times New Roman"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B0"/>
    <w:pPr>
      <w:spacing w:after="0" w:line="240" w:lineRule="auto"/>
    </w:pPr>
    <w:rPr>
      <w:rFonts w:ascii="Arial" w:eastAsia="Times New Roman" w:hAnsi="Arial" w:cs="Times New Roman"/>
      <w:sz w:val="24"/>
      <w:szCs w:val="20"/>
      <w:lang w:val="es-ES" w:eastAsia="es-ES"/>
    </w:rPr>
  </w:style>
  <w:style w:type="paragraph" w:styleId="Ttulo2">
    <w:name w:val="heading 2"/>
    <w:basedOn w:val="Normal"/>
    <w:next w:val="Normal"/>
    <w:link w:val="Ttulo2Car"/>
    <w:qFormat/>
    <w:rsid w:val="006153B0"/>
    <w:pPr>
      <w:keepNext/>
      <w:spacing w:line="360" w:lineRule="auto"/>
      <w:jc w:val="center"/>
      <w:outlineLvl w:val="1"/>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153B0"/>
    <w:rPr>
      <w:rFonts w:ascii="Arial" w:eastAsia="Times New Roman" w:hAnsi="Arial" w:cs="Arial"/>
      <w:b/>
      <w:sz w:val="24"/>
      <w:szCs w:val="20"/>
      <w:lang w:val="es-MX" w:eastAsia="es-ES"/>
    </w:rPr>
  </w:style>
  <w:style w:type="paragraph" w:styleId="Encabezado">
    <w:name w:val="header"/>
    <w:basedOn w:val="Normal"/>
    <w:link w:val="EncabezadoCar"/>
    <w:uiPriority w:val="99"/>
    <w:unhideWhenUsed/>
    <w:rsid w:val="00873C33"/>
    <w:pPr>
      <w:tabs>
        <w:tab w:val="center" w:pos="4252"/>
        <w:tab w:val="right" w:pos="8504"/>
      </w:tabs>
    </w:pPr>
  </w:style>
  <w:style w:type="character" w:customStyle="1" w:styleId="EncabezadoCar">
    <w:name w:val="Encabezado Car"/>
    <w:basedOn w:val="Fuentedeprrafopredeter"/>
    <w:link w:val="Encabezado"/>
    <w:uiPriority w:val="99"/>
    <w:rsid w:val="00873C33"/>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873C33"/>
    <w:pPr>
      <w:tabs>
        <w:tab w:val="center" w:pos="4252"/>
        <w:tab w:val="right" w:pos="8504"/>
      </w:tabs>
    </w:pPr>
  </w:style>
  <w:style w:type="character" w:customStyle="1" w:styleId="PiedepginaCar">
    <w:name w:val="Pie de página Car"/>
    <w:basedOn w:val="Fuentedeprrafopredeter"/>
    <w:link w:val="Piedepgina"/>
    <w:uiPriority w:val="99"/>
    <w:rsid w:val="00873C33"/>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4910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2019-05-20T18:01:00Z</cp:lastPrinted>
  <dcterms:created xsi:type="dcterms:W3CDTF">2019-05-20T18:02:00Z</dcterms:created>
  <dcterms:modified xsi:type="dcterms:W3CDTF">2019-05-20T18:02:00Z</dcterms:modified>
</cp:coreProperties>
</file>