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259" w:rsidRPr="00A06259" w:rsidRDefault="00A06259" w:rsidP="00786EEB">
      <w:pPr>
        <w:tabs>
          <w:tab w:val="center" w:pos="4253"/>
        </w:tabs>
        <w:suppressAutoHyphens/>
        <w:jc w:val="right"/>
        <w:rPr>
          <w:rFonts w:ascii="Arial" w:hAnsi="Arial" w:cs="Arial"/>
          <w:sz w:val="28"/>
          <w:szCs w:val="28"/>
          <w:lang w:val="es-ES_tradnl"/>
        </w:rPr>
      </w:pPr>
      <w:r w:rsidRPr="00A06259">
        <w:rPr>
          <w:rFonts w:ascii="Arial" w:hAnsi="Arial" w:cs="Arial"/>
          <w:sz w:val="28"/>
          <w:szCs w:val="28"/>
          <w:lang w:val="es-ES_tradnl"/>
        </w:rPr>
        <w:t xml:space="preserve">RES. </w:t>
      </w:r>
      <w:r>
        <w:rPr>
          <w:rFonts w:ascii="Arial" w:hAnsi="Arial" w:cs="Arial"/>
          <w:sz w:val="28"/>
          <w:szCs w:val="28"/>
          <w:lang w:val="es-ES_tradnl"/>
        </w:rPr>
        <w:t>1220</w:t>
      </w:r>
      <w:r w:rsidRPr="00A06259">
        <w:rPr>
          <w:rFonts w:ascii="Arial" w:hAnsi="Arial" w:cs="Arial"/>
          <w:sz w:val="28"/>
          <w:szCs w:val="28"/>
          <w:lang w:val="es-ES_tradnl"/>
        </w:rPr>
        <w:t>/19</w:t>
      </w:r>
    </w:p>
    <w:p w:rsidR="00A06259" w:rsidRPr="00A06259" w:rsidRDefault="00A06259" w:rsidP="00786EEB">
      <w:pPr>
        <w:tabs>
          <w:tab w:val="center" w:pos="4253"/>
        </w:tabs>
        <w:suppressAutoHyphens/>
        <w:jc w:val="right"/>
        <w:rPr>
          <w:rFonts w:ascii="Arial" w:hAnsi="Arial" w:cs="Arial"/>
          <w:lang w:val="es-ES_tradnl"/>
        </w:rPr>
      </w:pPr>
    </w:p>
    <w:p w:rsidR="00A06259" w:rsidRPr="00A06259" w:rsidRDefault="00A06259">
      <w:pPr>
        <w:tabs>
          <w:tab w:val="center" w:pos="4253"/>
        </w:tabs>
        <w:suppressAutoHyphens/>
        <w:jc w:val="center"/>
        <w:rPr>
          <w:rFonts w:ascii="Arial" w:hAnsi="Arial" w:cs="Arial"/>
          <w:lang w:val="es-ES_tradnl"/>
        </w:rPr>
      </w:pPr>
      <w:r w:rsidRPr="00A06259">
        <w:rPr>
          <w:rFonts w:ascii="Arial" w:hAnsi="Arial" w:cs="Arial"/>
          <w:lang w:val="es-ES_tradnl"/>
        </w:rPr>
        <w:t>RESOLUCION ADOPTADA POR EL</w:t>
      </w:r>
    </w:p>
    <w:p w:rsidR="00A06259" w:rsidRPr="00A06259" w:rsidRDefault="00A06259">
      <w:pPr>
        <w:tabs>
          <w:tab w:val="left" w:pos="-720"/>
        </w:tabs>
        <w:suppressAutoHyphens/>
        <w:jc w:val="center"/>
        <w:rPr>
          <w:rFonts w:ascii="Arial" w:hAnsi="Arial" w:cs="Arial"/>
          <w:lang w:val="es-ES_tradnl"/>
        </w:rPr>
      </w:pPr>
    </w:p>
    <w:p w:rsidR="00A06259" w:rsidRPr="00A06259" w:rsidRDefault="00A06259">
      <w:pPr>
        <w:tabs>
          <w:tab w:val="center" w:pos="4253"/>
        </w:tabs>
        <w:suppressAutoHyphens/>
        <w:jc w:val="center"/>
        <w:rPr>
          <w:rFonts w:ascii="Arial" w:hAnsi="Arial" w:cs="Arial"/>
          <w:lang w:val="es-ES_tradnl"/>
        </w:rPr>
      </w:pPr>
      <w:r w:rsidRPr="00A06259">
        <w:rPr>
          <w:rFonts w:ascii="Arial" w:hAnsi="Arial" w:cs="Arial"/>
          <w:lang w:val="es-ES_tradnl"/>
        </w:rPr>
        <w:t>TRIBUNAL DE CUENTAS</w:t>
      </w:r>
    </w:p>
    <w:p w:rsidR="00A06259" w:rsidRPr="00A06259" w:rsidRDefault="00A06259">
      <w:pPr>
        <w:tabs>
          <w:tab w:val="left" w:pos="-720"/>
        </w:tabs>
        <w:suppressAutoHyphens/>
        <w:jc w:val="center"/>
        <w:rPr>
          <w:rFonts w:ascii="Arial" w:hAnsi="Arial" w:cs="Arial"/>
          <w:lang w:val="es-ES_tradnl"/>
        </w:rPr>
      </w:pPr>
    </w:p>
    <w:p w:rsidR="00A06259" w:rsidRPr="00A06259" w:rsidRDefault="00A06259">
      <w:pPr>
        <w:tabs>
          <w:tab w:val="center" w:pos="4253"/>
        </w:tabs>
        <w:suppressAutoHyphens/>
        <w:jc w:val="center"/>
        <w:rPr>
          <w:rFonts w:ascii="Arial" w:hAnsi="Arial" w:cs="Arial"/>
          <w:lang w:val="es-ES_tradnl"/>
        </w:rPr>
      </w:pPr>
      <w:r w:rsidRPr="00A06259">
        <w:rPr>
          <w:rFonts w:ascii="Arial" w:hAnsi="Arial" w:cs="Arial"/>
          <w:lang w:val="es-ES_tradnl"/>
        </w:rPr>
        <w:t xml:space="preserve">EN SESION DE FECHA </w:t>
      </w:r>
      <w:r w:rsidRPr="00A06259">
        <w:rPr>
          <w:rFonts w:ascii="Helvetica" w:hAnsi="Helvetica"/>
          <w:lang w:val="es-ES_tradnl"/>
        </w:rPr>
        <w:t>15 DE MAYO DE 2019</w:t>
      </w:r>
    </w:p>
    <w:p w:rsidR="00A06259" w:rsidRPr="00A06259" w:rsidRDefault="00A06259">
      <w:pPr>
        <w:tabs>
          <w:tab w:val="center" w:pos="4253"/>
        </w:tabs>
        <w:suppressAutoHyphens/>
        <w:jc w:val="center"/>
        <w:rPr>
          <w:rFonts w:ascii="Arial" w:hAnsi="Arial" w:cs="Arial"/>
          <w:lang w:val="es-ES_tradnl"/>
        </w:rPr>
      </w:pPr>
    </w:p>
    <w:p w:rsidR="00A06259" w:rsidRPr="00A06259" w:rsidRDefault="00A06259">
      <w:pPr>
        <w:tabs>
          <w:tab w:val="center" w:pos="4253"/>
        </w:tabs>
        <w:suppressAutoHyphens/>
        <w:jc w:val="center"/>
        <w:rPr>
          <w:rFonts w:ascii="Arial" w:hAnsi="Arial" w:cs="Arial"/>
          <w:lang w:val="en-US"/>
        </w:rPr>
      </w:pPr>
      <w:r w:rsidRPr="00A06259">
        <w:rPr>
          <w:rFonts w:ascii="Arial" w:hAnsi="Arial" w:cs="Arial"/>
          <w:lang w:val="en-US"/>
        </w:rPr>
        <w:t xml:space="preserve">(E. E. Nº </w:t>
      </w:r>
      <w:r>
        <w:rPr>
          <w:rFonts w:ascii="Arial" w:hAnsi="Arial" w:cs="Arial"/>
          <w:lang w:val="en-US"/>
        </w:rPr>
        <w:t>2019-17-1-0001950</w:t>
      </w:r>
      <w:r w:rsidRPr="00A06259">
        <w:rPr>
          <w:rFonts w:ascii="Arial" w:hAnsi="Arial" w:cs="Arial"/>
          <w:lang w:val="en-US"/>
        </w:rPr>
        <w:t xml:space="preserve">, Ent. N° </w:t>
      </w:r>
      <w:r>
        <w:rPr>
          <w:rFonts w:ascii="Arial" w:hAnsi="Arial" w:cs="Arial"/>
          <w:lang w:val="en-US"/>
        </w:rPr>
        <w:t>1567/19</w:t>
      </w:r>
      <w:r w:rsidRPr="00A06259">
        <w:rPr>
          <w:rFonts w:ascii="Arial" w:hAnsi="Arial" w:cs="Arial"/>
          <w:lang w:val="en-US"/>
        </w:rPr>
        <w:t>)</w:t>
      </w:r>
    </w:p>
    <w:p w:rsidR="00A06259" w:rsidRPr="00A06259" w:rsidRDefault="00A06259">
      <w:pPr>
        <w:tabs>
          <w:tab w:val="center" w:pos="4253"/>
        </w:tabs>
        <w:suppressAutoHyphens/>
        <w:jc w:val="center"/>
        <w:rPr>
          <w:rFonts w:ascii="Helvetica" w:hAnsi="Helvetica"/>
          <w:lang w:val="en-US"/>
        </w:rPr>
      </w:pPr>
    </w:p>
    <w:p w:rsidR="00A06259" w:rsidRDefault="00394AE3" w:rsidP="00A06259">
      <w:pPr>
        <w:pStyle w:val="Ttulo8"/>
        <w:numPr>
          <w:ilvl w:val="0"/>
          <w:numId w:val="0"/>
        </w:numPr>
        <w:tabs>
          <w:tab w:val="left" w:pos="708"/>
        </w:tabs>
        <w:ind w:firstLine="851"/>
        <w:rPr>
          <w:b w:val="0"/>
          <w:bCs/>
        </w:rPr>
      </w:pPr>
      <w:r>
        <w:t>VISTO</w:t>
      </w:r>
      <w:r>
        <w:rPr>
          <w:b w:val="0"/>
          <w:bCs/>
        </w:rPr>
        <w:t xml:space="preserve">: las actuaciones remitidas por el Ministerio de Transporte y Obras Públicas (MTOP) relacionadas con la Licitación Pública Nº 16/2018, convocada para </w:t>
      </w:r>
      <w:r>
        <w:rPr>
          <w:b w:val="0"/>
        </w:rPr>
        <w:t>adquisición de equipos y software para el Departamento de Ensayos</w:t>
      </w:r>
      <w:r>
        <w:rPr>
          <w:b w:val="0"/>
          <w:bCs/>
        </w:rPr>
        <w:t>;</w:t>
      </w:r>
    </w:p>
    <w:p w:rsidR="005625C8" w:rsidRDefault="00394AE3" w:rsidP="005625C8">
      <w:pPr>
        <w:pStyle w:val="Ttulo8"/>
        <w:numPr>
          <w:ilvl w:val="0"/>
          <w:numId w:val="0"/>
        </w:numPr>
        <w:tabs>
          <w:tab w:val="left" w:pos="708"/>
        </w:tabs>
        <w:ind w:firstLine="851"/>
        <w:rPr>
          <w:b w:val="0"/>
        </w:rPr>
      </w:pPr>
      <w:r>
        <w:t xml:space="preserve">RESULTANDO: 1) </w:t>
      </w:r>
      <w:r w:rsidRPr="00A06259">
        <w:rPr>
          <w:b w:val="0"/>
        </w:rPr>
        <w:t>que cumplidas las formalidades previas, con fecha  23/11/2018,  se procedió a efectuar la apert</w:t>
      </w:r>
      <w:r w:rsidR="005625C8">
        <w:rPr>
          <w:b w:val="0"/>
        </w:rPr>
        <w:t>ura del llamado, surgiendo del A</w:t>
      </w:r>
      <w:r w:rsidRPr="00A06259">
        <w:rPr>
          <w:b w:val="0"/>
        </w:rPr>
        <w:t>cta respectiva que se presentaron, dos oferentes: BROMBERG Y CIA S.A. y FABLET Y BERTONI S.A.;</w:t>
      </w:r>
    </w:p>
    <w:p w:rsidR="005625C8" w:rsidRDefault="00394AE3" w:rsidP="005625C8">
      <w:pPr>
        <w:pStyle w:val="Ttulo8"/>
        <w:numPr>
          <w:ilvl w:val="0"/>
          <w:numId w:val="0"/>
        </w:numPr>
        <w:tabs>
          <w:tab w:val="left" w:pos="708"/>
        </w:tabs>
        <w:ind w:firstLine="2694"/>
        <w:rPr>
          <w:b w:val="0"/>
          <w:bCs/>
        </w:rPr>
      </w:pPr>
      <w:r>
        <w:t xml:space="preserve">2) </w:t>
      </w:r>
      <w:r>
        <w:rPr>
          <w:b w:val="0"/>
          <w:bCs/>
        </w:rPr>
        <w:t xml:space="preserve">que luce, informe de la Comisión Asesora </w:t>
      </w:r>
      <w:r w:rsidR="005625C8">
        <w:rPr>
          <w:b w:val="0"/>
          <w:bCs/>
        </w:rPr>
        <w:t xml:space="preserve">de </w:t>
      </w:r>
      <w:r>
        <w:rPr>
          <w:b w:val="0"/>
          <w:bCs/>
        </w:rPr>
        <w:t>Adju</w:t>
      </w:r>
      <w:r w:rsidR="005625C8">
        <w:rPr>
          <w:b w:val="0"/>
          <w:bCs/>
        </w:rPr>
        <w:softHyphen/>
      </w:r>
      <w:r>
        <w:rPr>
          <w:b w:val="0"/>
          <w:bCs/>
        </w:rPr>
        <w:t xml:space="preserve">dicaciones de fecha 26/03/2019, por el cual teniendo en cuenta que no existen apartamientos significativos respecto de las condiciones técnicas planteadas en el Pliego y cuadro de puntaje de comparación final: </w:t>
      </w:r>
      <w:r>
        <w:rPr>
          <w:b w:val="0"/>
          <w:lang w:val="es-ES"/>
        </w:rPr>
        <w:t>BROMBERG y CIA S.A.: 95 puntos; FABLET Y BERTONI S.A.: 73,11 puntos</w:t>
      </w:r>
      <w:r>
        <w:rPr>
          <w:b w:val="0"/>
          <w:bCs/>
        </w:rPr>
        <w:t xml:space="preserve">, se recomienda la adjudicación del objeto del llamado a la empresa </w:t>
      </w:r>
      <w:r>
        <w:rPr>
          <w:b w:val="0"/>
          <w:lang w:val="es-ES"/>
        </w:rPr>
        <w:t>BROMBERG y CIA S.A.,</w:t>
      </w:r>
      <w:r>
        <w:rPr>
          <w:b w:val="0"/>
          <w:bCs/>
        </w:rPr>
        <w:t xml:space="preserve"> por un total (CIF Montevideo) U$S 274.045,00 más 5% de gastos de importación;</w:t>
      </w:r>
    </w:p>
    <w:p w:rsidR="005625C8" w:rsidRDefault="00394AE3" w:rsidP="005625C8">
      <w:pPr>
        <w:pStyle w:val="Ttulo8"/>
        <w:numPr>
          <w:ilvl w:val="0"/>
          <w:numId w:val="0"/>
        </w:numPr>
        <w:tabs>
          <w:tab w:val="left" w:pos="708"/>
        </w:tabs>
        <w:ind w:firstLine="2694"/>
        <w:rPr>
          <w:b w:val="0"/>
          <w:bCs/>
        </w:rPr>
      </w:pPr>
      <w:r>
        <w:rPr>
          <w:bCs/>
        </w:rPr>
        <w:t>3)</w:t>
      </w:r>
      <w:r>
        <w:rPr>
          <w:b w:val="0"/>
          <w:bCs/>
        </w:rPr>
        <w:t xml:space="preserve"> que consta, proyecto de resolución del Director Nacional de Vialidad -en ejercicio de atribuciones delegadas- por el cual se dispone adjudicar el objeto de llamado, a la empresa </w:t>
      </w:r>
      <w:r>
        <w:rPr>
          <w:b w:val="0"/>
        </w:rPr>
        <w:t>BROMBERG y CIA S.A.,</w:t>
      </w:r>
      <w:r>
        <w:rPr>
          <w:b w:val="0"/>
          <w:bCs/>
        </w:rPr>
        <w:t xml:space="preserve"> por un total de U$S 274.045,00 más 5% para gastos de importación y mayores costos resultantes;</w:t>
      </w:r>
    </w:p>
    <w:p w:rsidR="00394AE3" w:rsidRDefault="00394AE3" w:rsidP="005625C8">
      <w:pPr>
        <w:pStyle w:val="Ttulo8"/>
        <w:numPr>
          <w:ilvl w:val="0"/>
          <w:numId w:val="0"/>
        </w:numPr>
        <w:tabs>
          <w:tab w:val="left" w:pos="708"/>
        </w:tabs>
        <w:ind w:firstLine="2694"/>
        <w:rPr>
          <w:b w:val="0"/>
          <w:bCs/>
          <w:spacing w:val="-3"/>
        </w:rPr>
      </w:pPr>
      <w:r>
        <w:rPr>
          <w:bCs/>
        </w:rPr>
        <w:t xml:space="preserve">4) </w:t>
      </w:r>
      <w:r>
        <w:rPr>
          <w:b w:val="0"/>
          <w:bCs/>
        </w:rPr>
        <w:t xml:space="preserve">que se adjunta, </w:t>
      </w:r>
      <w:r w:rsidR="005625C8">
        <w:rPr>
          <w:b w:val="0"/>
          <w:bCs/>
          <w:spacing w:val="-3"/>
        </w:rPr>
        <w:t>Documento Etapas del Gasto N°</w:t>
      </w:r>
      <w:r>
        <w:rPr>
          <w:b w:val="0"/>
          <w:bCs/>
          <w:spacing w:val="-3"/>
        </w:rPr>
        <w:t xml:space="preserve">000386 de fecha 27/03/2019, con cargo al Inciso 10, U.E. 003, Concepto del </w:t>
      </w:r>
      <w:r>
        <w:rPr>
          <w:b w:val="0"/>
          <w:bCs/>
          <w:spacing w:val="-3"/>
        </w:rPr>
        <w:lastRenderedPageBreak/>
        <w:t>Gasto: Inversión, Financiación 1.1, Programa 362, Proy 855, Objeto del Gasto 329, por un total nominal de $ 10</w:t>
      </w:r>
      <w:r w:rsidR="005625C8">
        <w:rPr>
          <w:b w:val="0"/>
          <w:bCs/>
          <w:spacing w:val="-3"/>
        </w:rPr>
        <w:t>:</w:t>
      </w:r>
      <w:r>
        <w:rPr>
          <w:b w:val="0"/>
          <w:bCs/>
          <w:spacing w:val="-3"/>
        </w:rPr>
        <w:t>023.100;</w:t>
      </w:r>
    </w:p>
    <w:p w:rsidR="00394AE3" w:rsidRPr="000012F1" w:rsidRDefault="00394AE3" w:rsidP="005625C8">
      <w:pPr>
        <w:spacing w:line="360" w:lineRule="auto"/>
        <w:ind w:firstLine="851"/>
        <w:jc w:val="both"/>
        <w:rPr>
          <w:rFonts w:ascii="Arial" w:hAnsi="Arial" w:cs="Arial"/>
          <w:b w:val="0"/>
          <w:bCs/>
        </w:rPr>
      </w:pPr>
      <w:r w:rsidRPr="000012F1">
        <w:rPr>
          <w:rFonts w:ascii="Arial" w:hAnsi="Arial" w:cs="Arial"/>
          <w:bCs/>
        </w:rPr>
        <w:t>CONSIDERANDO:</w:t>
      </w:r>
      <w:r w:rsidRPr="000012F1">
        <w:rPr>
          <w:rFonts w:ascii="Arial" w:hAnsi="Arial" w:cs="Arial"/>
          <w:b w:val="0"/>
          <w:bCs/>
        </w:rPr>
        <w:t xml:space="preserve"> que el procedimiento licitatorio se e</w:t>
      </w:r>
      <w:r w:rsidR="005625C8">
        <w:rPr>
          <w:rFonts w:ascii="Arial" w:hAnsi="Arial" w:cs="Arial"/>
          <w:b w:val="0"/>
          <w:bCs/>
        </w:rPr>
        <w:t>nmarca en las normas vigentes (A</w:t>
      </w:r>
      <w:r w:rsidRPr="000012F1">
        <w:rPr>
          <w:rFonts w:ascii="Arial" w:hAnsi="Arial" w:cs="Arial"/>
          <w:b w:val="0"/>
          <w:bCs/>
        </w:rPr>
        <w:t>rtículos 33 y siguientes del TOCAF), por lo que el gasto no merece objeciones legales;</w:t>
      </w:r>
    </w:p>
    <w:p w:rsidR="00394AE3" w:rsidRDefault="00394AE3" w:rsidP="00394AE3">
      <w:pPr>
        <w:pStyle w:val="Ttulo"/>
        <w:ind w:firstLine="708"/>
        <w:jc w:val="both"/>
        <w:rPr>
          <w:b w:val="0"/>
          <w:u w:val="none"/>
        </w:rPr>
      </w:pPr>
      <w:r>
        <w:rPr>
          <w:u w:val="none"/>
        </w:rPr>
        <w:t>ATENTO:</w:t>
      </w:r>
      <w:r>
        <w:rPr>
          <w:b w:val="0"/>
          <w:u w:val="none"/>
        </w:rPr>
        <w:t xml:space="preserve"> a lo precedentemente exp</w:t>
      </w:r>
      <w:r w:rsidR="005625C8">
        <w:rPr>
          <w:b w:val="0"/>
          <w:u w:val="none"/>
        </w:rPr>
        <w:t>uesto y a lo establecido en el Artículo 211 L</w:t>
      </w:r>
      <w:r>
        <w:rPr>
          <w:b w:val="0"/>
          <w:u w:val="none"/>
        </w:rPr>
        <w:t>iteral B) de la Constitución de la República;</w:t>
      </w:r>
    </w:p>
    <w:p w:rsidR="00394AE3" w:rsidRDefault="00394AE3" w:rsidP="00394AE3">
      <w:pPr>
        <w:pStyle w:val="Ttulo2"/>
        <w:spacing w:line="360" w:lineRule="auto"/>
        <w:rPr>
          <w:lang w:val="es-UY"/>
        </w:rPr>
      </w:pPr>
      <w:r>
        <w:rPr>
          <w:lang w:val="es-UY"/>
        </w:rPr>
        <w:t>EL TRIBUNAL ACUERDA</w:t>
      </w:r>
    </w:p>
    <w:p w:rsidR="00394AE3" w:rsidRPr="005625C8" w:rsidRDefault="00394AE3" w:rsidP="005625C8">
      <w:pPr>
        <w:pStyle w:val="Prrafodelista"/>
        <w:numPr>
          <w:ilvl w:val="0"/>
          <w:numId w:val="3"/>
        </w:numPr>
        <w:tabs>
          <w:tab w:val="clear" w:pos="1788"/>
          <w:tab w:val="num" w:pos="284"/>
        </w:tabs>
        <w:spacing w:line="360" w:lineRule="auto"/>
        <w:ind w:left="284" w:hanging="284"/>
        <w:jc w:val="both"/>
        <w:rPr>
          <w:rFonts w:ascii="Arial" w:hAnsi="Arial" w:cs="Arial"/>
          <w:b w:val="0"/>
          <w:bCs/>
        </w:rPr>
      </w:pPr>
      <w:r w:rsidRPr="005625C8">
        <w:rPr>
          <w:rFonts w:ascii="Arial" w:hAnsi="Arial" w:cs="Arial"/>
          <w:b w:val="0"/>
          <w:bCs/>
        </w:rPr>
        <w:t>Dictada la Resolución por el Ordenador competente,</w:t>
      </w:r>
      <w:r w:rsidR="005625C8">
        <w:rPr>
          <w:rFonts w:ascii="Arial" w:hAnsi="Arial" w:cs="Arial"/>
          <w:b w:val="0"/>
          <w:bCs/>
        </w:rPr>
        <w:t xml:space="preserve"> cométese al Contador Auditor ante</w:t>
      </w:r>
      <w:r w:rsidRPr="005625C8">
        <w:rPr>
          <w:rFonts w:ascii="Arial" w:hAnsi="Arial" w:cs="Arial"/>
          <w:b w:val="0"/>
          <w:bCs/>
        </w:rPr>
        <w:t xml:space="preserve"> el citado Ministerio, la intervención del gasto total </w:t>
      </w:r>
      <w:r w:rsidRPr="005625C8">
        <w:rPr>
          <w:rFonts w:ascii="Arial" w:hAnsi="Arial" w:cs="Arial"/>
          <w:b w:val="0"/>
          <w:bCs/>
          <w:lang w:val="es-ES_tradnl"/>
        </w:rPr>
        <w:t xml:space="preserve">de </w:t>
      </w:r>
      <w:r w:rsidR="005625C8">
        <w:rPr>
          <w:rFonts w:ascii="Arial" w:hAnsi="Arial" w:cs="Arial"/>
          <w:b w:val="0"/>
          <w:bCs/>
          <w:lang w:val="es-ES_tradnl"/>
        </w:rPr>
        <w:t>U$S</w:t>
      </w:r>
      <w:r w:rsidRPr="005625C8">
        <w:rPr>
          <w:rFonts w:ascii="Arial" w:hAnsi="Arial" w:cs="Arial"/>
          <w:b w:val="0"/>
          <w:bCs/>
          <w:lang w:val="es-ES_tradnl"/>
        </w:rPr>
        <w:t>274.045,00 más 5% para gastos de importación y mayores costos resultantes, previo control de su imputación en el Objeto del Gasto</w:t>
      </w:r>
      <w:r w:rsidRPr="005625C8">
        <w:rPr>
          <w:rFonts w:ascii="Arial" w:hAnsi="Arial" w:cs="Arial"/>
          <w:b w:val="0"/>
          <w:bCs/>
          <w:spacing w:val="-3"/>
          <w:lang w:val="es-ES_tradnl"/>
        </w:rPr>
        <w:t xml:space="preserve"> adecuado con disponibilidad suficiente,</w:t>
      </w:r>
      <w:r w:rsidRPr="005625C8">
        <w:rPr>
          <w:rFonts w:ascii="Arial" w:hAnsi="Arial" w:cs="Arial"/>
          <w:b w:val="0"/>
          <w:bCs/>
        </w:rPr>
        <w:t xml:space="preserve"> así como </w:t>
      </w:r>
      <w:r w:rsidR="005625C8">
        <w:rPr>
          <w:rFonts w:ascii="Arial" w:hAnsi="Arial" w:cs="Arial"/>
          <w:b w:val="0"/>
          <w:bCs/>
          <w:lang w:val="es-MX"/>
        </w:rPr>
        <w:t>de lo establecido por el A</w:t>
      </w:r>
      <w:r w:rsidRPr="005625C8">
        <w:rPr>
          <w:rFonts w:ascii="Arial" w:hAnsi="Arial" w:cs="Arial"/>
          <w:b w:val="0"/>
          <w:bCs/>
          <w:lang w:val="es-MX"/>
        </w:rPr>
        <w:t xml:space="preserve">rtículo 3 de </w:t>
      </w:r>
      <w:r w:rsidR="005625C8">
        <w:rPr>
          <w:rFonts w:ascii="Arial" w:hAnsi="Arial" w:cs="Arial"/>
          <w:b w:val="0"/>
          <w:bCs/>
          <w:lang w:val="es-MX"/>
        </w:rPr>
        <w:t>la Ley N° 18.244 del 27.12.2007 (Deudores Alimentarios);</w:t>
      </w:r>
    </w:p>
    <w:p w:rsidR="00394AE3" w:rsidRPr="005625C8" w:rsidRDefault="00394AE3" w:rsidP="005625C8">
      <w:pPr>
        <w:pStyle w:val="Prrafodelista"/>
        <w:numPr>
          <w:ilvl w:val="0"/>
          <w:numId w:val="3"/>
        </w:numPr>
        <w:tabs>
          <w:tab w:val="clear" w:pos="1788"/>
          <w:tab w:val="num" w:pos="284"/>
        </w:tabs>
        <w:spacing w:line="360" w:lineRule="auto"/>
        <w:ind w:left="284" w:hanging="284"/>
        <w:jc w:val="both"/>
        <w:rPr>
          <w:rFonts w:ascii="Arial" w:hAnsi="Arial" w:cs="Arial"/>
          <w:b w:val="0"/>
          <w:bCs/>
        </w:rPr>
      </w:pPr>
      <w:r w:rsidRPr="005625C8">
        <w:rPr>
          <w:rFonts w:ascii="Arial" w:hAnsi="Arial" w:cs="Arial"/>
          <w:b w:val="0"/>
          <w:bCs/>
          <w:lang w:val="es-MX"/>
        </w:rPr>
        <w:t xml:space="preserve">Asimismo, cométese </w:t>
      </w:r>
      <w:r w:rsidRPr="005625C8">
        <w:rPr>
          <w:rFonts w:ascii="Arial" w:hAnsi="Arial" w:cs="Arial"/>
          <w:b w:val="0"/>
          <w:bCs/>
        </w:rPr>
        <w:t>al Contador Auditor, la verificación que la Resolución definitiva concuerde con las condici</w:t>
      </w:r>
      <w:r w:rsidR="005625C8">
        <w:rPr>
          <w:rFonts w:ascii="Arial" w:hAnsi="Arial" w:cs="Arial"/>
          <w:b w:val="0"/>
          <w:bCs/>
        </w:rPr>
        <w:t>ones de la contratación sometidas a este Tribunal (A</w:t>
      </w:r>
      <w:r w:rsidRPr="005625C8">
        <w:rPr>
          <w:rFonts w:ascii="Arial" w:hAnsi="Arial" w:cs="Arial"/>
          <w:b w:val="0"/>
          <w:bCs/>
        </w:rPr>
        <w:t xml:space="preserve">rtículo 8 de la Ordenanza Nº 27 de fecha 22.05.58 en la redacción sustitutiva dispuesta por </w:t>
      </w:r>
      <w:r w:rsidR="004A75DD" w:rsidRPr="005625C8">
        <w:rPr>
          <w:rFonts w:ascii="Arial" w:hAnsi="Arial" w:cs="Arial"/>
          <w:b w:val="0"/>
          <w:bCs/>
        </w:rPr>
        <w:t>Resolución</w:t>
      </w:r>
      <w:r w:rsidR="005625C8">
        <w:rPr>
          <w:rFonts w:ascii="Arial" w:hAnsi="Arial" w:cs="Arial"/>
          <w:b w:val="0"/>
          <w:bCs/>
        </w:rPr>
        <w:t xml:space="preserve"> del 16.06.2010);</w:t>
      </w:r>
    </w:p>
    <w:p w:rsidR="00394AE3" w:rsidRPr="005625C8" w:rsidRDefault="005625C8" w:rsidP="005625C8">
      <w:pPr>
        <w:pStyle w:val="Prrafodelista"/>
        <w:numPr>
          <w:ilvl w:val="0"/>
          <w:numId w:val="3"/>
        </w:numPr>
        <w:tabs>
          <w:tab w:val="clear" w:pos="1788"/>
          <w:tab w:val="num" w:pos="284"/>
        </w:tabs>
        <w:spacing w:line="360" w:lineRule="auto"/>
        <w:ind w:left="284" w:hanging="284"/>
        <w:jc w:val="both"/>
        <w:rPr>
          <w:rFonts w:ascii="Arial" w:hAnsi="Arial" w:cs="Arial"/>
          <w:b w:val="0"/>
          <w:bCs/>
        </w:rPr>
      </w:pPr>
      <w:r>
        <w:rPr>
          <w:rFonts w:ascii="Arial" w:hAnsi="Arial" w:cs="Arial"/>
          <w:b w:val="0"/>
          <w:bCs/>
        </w:rPr>
        <w:t>Comuníquese al Contador Auditor;</w:t>
      </w:r>
    </w:p>
    <w:p w:rsidR="00394AE3" w:rsidRDefault="00394AE3" w:rsidP="005625C8">
      <w:pPr>
        <w:pStyle w:val="Prrafodelista"/>
        <w:numPr>
          <w:ilvl w:val="0"/>
          <w:numId w:val="3"/>
        </w:numPr>
        <w:tabs>
          <w:tab w:val="clear" w:pos="1788"/>
          <w:tab w:val="num" w:pos="284"/>
        </w:tabs>
        <w:spacing w:line="360" w:lineRule="auto"/>
        <w:ind w:left="284" w:hanging="284"/>
        <w:jc w:val="both"/>
        <w:rPr>
          <w:rFonts w:ascii="Arial" w:hAnsi="Arial" w:cs="Arial"/>
          <w:b w:val="0"/>
          <w:bCs/>
        </w:rPr>
      </w:pPr>
      <w:r w:rsidRPr="005625C8">
        <w:rPr>
          <w:rFonts w:ascii="Arial" w:hAnsi="Arial" w:cs="Arial"/>
          <w:b w:val="0"/>
          <w:bCs/>
        </w:rPr>
        <w:t>Dev</w:t>
      </w:r>
      <w:r w:rsidR="004A75DD" w:rsidRPr="005625C8">
        <w:rPr>
          <w:rFonts w:ascii="Arial" w:hAnsi="Arial" w:cs="Arial"/>
          <w:b w:val="0"/>
          <w:bCs/>
        </w:rPr>
        <w:t>uélvase</w:t>
      </w:r>
      <w:r w:rsidRPr="005625C8">
        <w:rPr>
          <w:rFonts w:ascii="Arial" w:hAnsi="Arial" w:cs="Arial"/>
          <w:b w:val="0"/>
          <w:bCs/>
        </w:rPr>
        <w:t>.</w:t>
      </w:r>
    </w:p>
    <w:p w:rsidR="000F307A" w:rsidRDefault="000F307A" w:rsidP="000F307A">
      <w:pPr>
        <w:tabs>
          <w:tab w:val="num" w:pos="284"/>
        </w:tabs>
        <w:spacing w:line="360" w:lineRule="auto"/>
        <w:jc w:val="both"/>
        <w:rPr>
          <w:rFonts w:ascii="Arial" w:hAnsi="Arial" w:cs="Arial"/>
          <w:b w:val="0"/>
          <w:bCs/>
        </w:rPr>
      </w:pPr>
    </w:p>
    <w:p w:rsidR="000F307A" w:rsidRDefault="000F307A" w:rsidP="000F307A">
      <w:pPr>
        <w:tabs>
          <w:tab w:val="num" w:pos="284"/>
        </w:tabs>
        <w:spacing w:line="360" w:lineRule="auto"/>
        <w:jc w:val="both"/>
        <w:rPr>
          <w:rFonts w:ascii="Arial" w:hAnsi="Arial" w:cs="Arial"/>
          <w:b w:val="0"/>
          <w:bCs/>
        </w:rPr>
      </w:pPr>
    </w:p>
    <w:p w:rsidR="000F307A" w:rsidRDefault="000F307A" w:rsidP="000F307A">
      <w:pPr>
        <w:tabs>
          <w:tab w:val="num" w:pos="284"/>
        </w:tabs>
        <w:spacing w:line="360" w:lineRule="auto"/>
        <w:jc w:val="both"/>
        <w:rPr>
          <w:rFonts w:ascii="Arial" w:hAnsi="Arial" w:cs="Arial"/>
          <w:b w:val="0"/>
          <w:bCs/>
        </w:rPr>
      </w:pPr>
    </w:p>
    <w:p w:rsidR="000F307A" w:rsidRDefault="000F307A" w:rsidP="000F307A">
      <w:pPr>
        <w:tabs>
          <w:tab w:val="num" w:pos="284"/>
        </w:tabs>
        <w:spacing w:line="360" w:lineRule="auto"/>
        <w:jc w:val="both"/>
        <w:rPr>
          <w:rFonts w:ascii="Arial" w:hAnsi="Arial" w:cs="Arial"/>
          <w:b w:val="0"/>
          <w:bCs/>
        </w:rPr>
      </w:pPr>
    </w:p>
    <w:p w:rsidR="000F307A" w:rsidRDefault="000F307A" w:rsidP="000F307A">
      <w:pPr>
        <w:tabs>
          <w:tab w:val="num" w:pos="284"/>
        </w:tabs>
        <w:spacing w:line="360" w:lineRule="auto"/>
        <w:jc w:val="both"/>
        <w:rPr>
          <w:rFonts w:ascii="Arial" w:hAnsi="Arial" w:cs="Arial"/>
          <w:b w:val="0"/>
          <w:bCs/>
        </w:rPr>
      </w:pPr>
    </w:p>
    <w:p w:rsidR="000F307A" w:rsidRDefault="000F307A" w:rsidP="000F307A">
      <w:pPr>
        <w:tabs>
          <w:tab w:val="num" w:pos="284"/>
        </w:tabs>
        <w:spacing w:line="360" w:lineRule="auto"/>
        <w:jc w:val="both"/>
        <w:rPr>
          <w:rFonts w:ascii="Arial" w:hAnsi="Arial" w:cs="Arial"/>
          <w:b w:val="0"/>
          <w:bCs/>
        </w:rPr>
      </w:pPr>
    </w:p>
    <w:p w:rsidR="000F307A" w:rsidRDefault="000F307A" w:rsidP="000F307A">
      <w:pPr>
        <w:tabs>
          <w:tab w:val="num" w:pos="284"/>
        </w:tabs>
        <w:spacing w:line="360" w:lineRule="auto"/>
        <w:jc w:val="both"/>
        <w:rPr>
          <w:rFonts w:ascii="Arial" w:hAnsi="Arial" w:cs="Arial"/>
          <w:b w:val="0"/>
          <w:bCs/>
        </w:rPr>
      </w:pPr>
    </w:p>
    <w:p w:rsidR="000F307A" w:rsidRDefault="000F307A" w:rsidP="000F307A">
      <w:pPr>
        <w:spacing w:line="360" w:lineRule="auto"/>
        <w:jc w:val="both"/>
        <w:rPr>
          <w:rFonts w:ascii="Arial" w:eastAsiaTheme="minorHAnsi" w:hAnsi="Arial" w:cs="Arial"/>
          <w:b w:val="0"/>
          <w:color w:val="auto"/>
          <w:szCs w:val="24"/>
          <w:lang w:val="es-UY" w:eastAsia="en-US"/>
        </w:rPr>
      </w:pPr>
      <w:r w:rsidRPr="000F307A">
        <w:rPr>
          <w:rFonts w:ascii="Arial" w:hAnsi="Arial" w:cs="Arial"/>
          <w:szCs w:val="24"/>
          <w:lang w:val="es-UY"/>
        </w:rPr>
        <w:t xml:space="preserve">CONSTANCIA DE FUNDAMENTO DE VOTO DISCORDE DEL MINISTRO DR. ALVARO EZCURRA: </w:t>
      </w:r>
      <w:r>
        <w:rPr>
          <w:rFonts w:ascii="Arial" w:hAnsi="Arial" w:cs="Arial"/>
          <w:szCs w:val="24"/>
          <w:lang w:val="es-UY"/>
        </w:rPr>
        <w:t>“</w:t>
      </w:r>
      <w:r w:rsidRPr="000F307A">
        <w:rPr>
          <w:rFonts w:ascii="Arial" w:eastAsiaTheme="minorHAnsi" w:hAnsi="Arial" w:cs="Arial"/>
          <w:b w:val="0"/>
          <w:color w:val="auto"/>
          <w:szCs w:val="24"/>
          <w:lang w:val="es-UY" w:eastAsia="en-US"/>
        </w:rPr>
        <w:t xml:space="preserve">Voto discorde la presente carpeta porque entiendo, </w:t>
      </w:r>
      <w:r w:rsidRPr="000F307A">
        <w:rPr>
          <w:rFonts w:ascii="Arial" w:eastAsiaTheme="minorHAnsi" w:hAnsi="Arial" w:cs="Arial"/>
          <w:b w:val="0"/>
          <w:color w:val="auto"/>
          <w:szCs w:val="24"/>
          <w:lang w:val="es-UY" w:eastAsia="en-US"/>
        </w:rPr>
        <w:lastRenderedPageBreak/>
        <w:t>al Igual que la División Jurídica del Organismo que el gasto debió haber sido observado por violación del artículo 48 lit C) del TOCAF</w:t>
      </w:r>
      <w:r>
        <w:rPr>
          <w:rFonts w:ascii="Arial" w:eastAsiaTheme="minorHAnsi" w:hAnsi="Arial" w:cs="Arial"/>
          <w:b w:val="0"/>
          <w:color w:val="auto"/>
          <w:szCs w:val="24"/>
          <w:lang w:val="es-UY" w:eastAsia="en-US"/>
        </w:rPr>
        <w:t>”</w:t>
      </w:r>
      <w:r w:rsidRPr="000F307A">
        <w:rPr>
          <w:rFonts w:ascii="Arial" w:eastAsiaTheme="minorHAnsi" w:hAnsi="Arial" w:cs="Arial"/>
          <w:b w:val="0"/>
          <w:color w:val="auto"/>
          <w:szCs w:val="24"/>
          <w:lang w:val="es-UY" w:eastAsia="en-US"/>
        </w:rPr>
        <w:t>.</w:t>
      </w:r>
    </w:p>
    <w:p w:rsidR="00571F63" w:rsidRPr="000F307A" w:rsidRDefault="00571F63" w:rsidP="000F307A">
      <w:pPr>
        <w:spacing w:line="360" w:lineRule="auto"/>
        <w:jc w:val="both"/>
        <w:rPr>
          <w:rFonts w:ascii="Arial" w:eastAsiaTheme="minorHAnsi" w:hAnsi="Arial" w:cs="Arial"/>
          <w:b w:val="0"/>
          <w:color w:val="auto"/>
          <w:szCs w:val="24"/>
          <w:lang w:val="es-UY" w:eastAsia="en-US"/>
        </w:rPr>
      </w:pPr>
    </w:p>
    <w:p w:rsidR="00571F63" w:rsidRPr="00571F63" w:rsidRDefault="000F307A" w:rsidP="00571F63">
      <w:pPr>
        <w:spacing w:line="360" w:lineRule="auto"/>
        <w:jc w:val="both"/>
        <w:rPr>
          <w:rFonts w:ascii="Arial" w:eastAsiaTheme="minorHAnsi" w:hAnsi="Arial" w:cs="Arial"/>
          <w:b w:val="0"/>
          <w:color w:val="auto"/>
          <w:szCs w:val="24"/>
          <w:lang w:eastAsia="en-US"/>
        </w:rPr>
      </w:pPr>
      <w:r w:rsidRPr="000F307A">
        <w:rPr>
          <w:rFonts w:ascii="Arial" w:hAnsi="Arial" w:cs="Arial"/>
          <w:szCs w:val="24"/>
          <w:lang w:val="es-UY"/>
        </w:rPr>
        <w:t>CONSTANCIA DE FUNDAMENTO DE VOTO DISCORDE DEL MINISTRO</w:t>
      </w:r>
      <w:r>
        <w:rPr>
          <w:rFonts w:ascii="Arial" w:hAnsi="Arial" w:cs="Arial"/>
          <w:szCs w:val="24"/>
          <w:lang w:val="es-UY"/>
        </w:rPr>
        <w:t xml:space="preserve"> JOSE LUIS BRINGA</w:t>
      </w:r>
      <w:r w:rsidRPr="000F307A">
        <w:rPr>
          <w:rFonts w:ascii="Arial" w:hAnsi="Arial" w:cs="Arial"/>
          <w:szCs w:val="24"/>
          <w:lang w:val="es-UY"/>
        </w:rPr>
        <w:t xml:space="preserve">: </w:t>
      </w:r>
      <w:r w:rsidR="00571F63" w:rsidRPr="00571F63">
        <w:rPr>
          <w:rFonts w:ascii="Arial" w:eastAsiaTheme="minorHAnsi" w:hAnsi="Arial" w:cs="Arial"/>
          <w:b w:val="0"/>
          <w:color w:val="auto"/>
          <w:szCs w:val="24"/>
          <w:lang w:eastAsia="en-US"/>
        </w:rPr>
        <w:t>Voto discorde por compartir el Proyecto de Resolución elevado originalmente por la División Jurídica, que se transcribe a continuación:</w:t>
      </w:r>
    </w:p>
    <w:p w:rsidR="00571F63" w:rsidRPr="00571F63" w:rsidRDefault="00571F63" w:rsidP="00571F63">
      <w:pPr>
        <w:spacing w:line="360" w:lineRule="auto"/>
        <w:jc w:val="both"/>
        <w:rPr>
          <w:rFonts w:ascii="Arial" w:eastAsiaTheme="minorHAnsi" w:hAnsi="Arial" w:cs="Arial"/>
          <w:color w:val="auto"/>
          <w:szCs w:val="24"/>
          <w:lang w:eastAsia="en-US"/>
        </w:rPr>
      </w:pPr>
      <w:r w:rsidRPr="00571F63">
        <w:rPr>
          <w:rFonts w:ascii="Arial" w:eastAsiaTheme="minorHAnsi" w:hAnsi="Arial" w:cs="Arial"/>
          <w:color w:val="auto"/>
          <w:szCs w:val="24"/>
          <w:lang w:eastAsia="en-US"/>
        </w:rPr>
        <w:t>CARPETA Nº 2019-17-1-0001950</w:t>
      </w:r>
    </w:p>
    <w:p w:rsidR="00571F63" w:rsidRPr="00571F63" w:rsidRDefault="00571F63" w:rsidP="00571F63">
      <w:pPr>
        <w:spacing w:line="360" w:lineRule="auto"/>
        <w:jc w:val="both"/>
        <w:rPr>
          <w:rFonts w:ascii="Arial" w:eastAsiaTheme="minorHAnsi" w:hAnsi="Arial" w:cs="Arial"/>
          <w:color w:val="auto"/>
          <w:szCs w:val="24"/>
          <w:lang w:eastAsia="en-US"/>
        </w:rPr>
      </w:pPr>
      <w:r w:rsidRPr="00571F63">
        <w:rPr>
          <w:rFonts w:ascii="Arial" w:eastAsiaTheme="minorHAnsi" w:hAnsi="Arial" w:cs="Arial"/>
          <w:color w:val="auto"/>
          <w:szCs w:val="24"/>
          <w:lang w:eastAsia="en-US"/>
        </w:rPr>
        <w:t>ENTRADA Nº 1567 FECHA 10.04.2019</w:t>
      </w:r>
    </w:p>
    <w:p w:rsidR="00571F63" w:rsidRPr="00571F63" w:rsidRDefault="00571F63" w:rsidP="00571F63">
      <w:pPr>
        <w:spacing w:line="360" w:lineRule="auto"/>
        <w:jc w:val="right"/>
        <w:rPr>
          <w:rFonts w:ascii="Arial" w:eastAsiaTheme="minorHAnsi" w:hAnsi="Arial" w:cs="Arial"/>
          <w:b w:val="0"/>
          <w:color w:val="auto"/>
          <w:szCs w:val="24"/>
          <w:lang w:eastAsia="en-US"/>
        </w:rPr>
      </w:pPr>
      <w:r w:rsidRPr="00571F63">
        <w:rPr>
          <w:rFonts w:ascii="Arial" w:eastAsiaTheme="minorHAnsi" w:hAnsi="Arial" w:cs="Arial"/>
          <w:b w:val="0"/>
          <w:color w:val="auto"/>
          <w:szCs w:val="24"/>
          <w:lang w:eastAsia="en-US"/>
        </w:rPr>
        <w:t xml:space="preserve"> Montevideo, 2 de mayo de 2019.</w:t>
      </w:r>
    </w:p>
    <w:p w:rsidR="00571F63" w:rsidRPr="00571F63" w:rsidRDefault="00571F63" w:rsidP="00571F63">
      <w:pPr>
        <w:spacing w:line="360" w:lineRule="auto"/>
        <w:jc w:val="center"/>
        <w:rPr>
          <w:rFonts w:ascii="Arial" w:eastAsiaTheme="minorHAnsi" w:hAnsi="Arial" w:cs="Arial"/>
          <w:color w:val="auto"/>
          <w:szCs w:val="24"/>
          <w:lang w:eastAsia="en-US"/>
        </w:rPr>
      </w:pPr>
      <w:r w:rsidRPr="00571F63">
        <w:rPr>
          <w:rFonts w:ascii="Arial" w:eastAsiaTheme="minorHAnsi" w:hAnsi="Arial" w:cs="Arial"/>
          <w:color w:val="auto"/>
          <w:szCs w:val="24"/>
          <w:lang w:eastAsia="en-US"/>
        </w:rPr>
        <w:t>PROYECTO DE RESOLUCIÓN</w:t>
      </w:r>
    </w:p>
    <w:p w:rsidR="00571F63" w:rsidRPr="00571F63" w:rsidRDefault="00571F63" w:rsidP="00571F63">
      <w:pPr>
        <w:spacing w:line="360" w:lineRule="auto"/>
        <w:jc w:val="both"/>
        <w:rPr>
          <w:rFonts w:ascii="Arial" w:eastAsiaTheme="minorHAnsi" w:hAnsi="Arial" w:cs="Arial"/>
          <w:b w:val="0"/>
          <w:color w:val="auto"/>
          <w:szCs w:val="24"/>
          <w:lang w:eastAsia="en-US"/>
        </w:rPr>
      </w:pPr>
      <w:r w:rsidRPr="00571F63">
        <w:rPr>
          <w:rFonts w:ascii="Arial" w:eastAsiaTheme="minorHAnsi" w:hAnsi="Arial" w:cs="Arial"/>
          <w:color w:val="auto"/>
          <w:szCs w:val="24"/>
          <w:lang w:eastAsia="en-US"/>
        </w:rPr>
        <w:t>VISTO:</w:t>
      </w:r>
      <w:r w:rsidRPr="00571F63">
        <w:rPr>
          <w:rFonts w:ascii="Arial" w:eastAsiaTheme="minorHAnsi" w:hAnsi="Arial" w:cs="Arial"/>
          <w:b w:val="0"/>
          <w:color w:val="auto"/>
          <w:szCs w:val="24"/>
          <w:lang w:eastAsia="en-US"/>
        </w:rPr>
        <w:t xml:space="preserve"> las actuaciones remitidas por el Ministerio de Transporte y Obras Públicas (MTOP) relacionadas con la Licitación Pública Nº 16/2018, convocada para adquisición de equipos y software para el Departamento de Ensayos;</w:t>
      </w:r>
    </w:p>
    <w:p w:rsidR="00571F63" w:rsidRPr="00571F63" w:rsidRDefault="00571F63" w:rsidP="00571F63">
      <w:pPr>
        <w:spacing w:line="360" w:lineRule="auto"/>
        <w:jc w:val="both"/>
        <w:rPr>
          <w:rFonts w:ascii="Arial" w:eastAsiaTheme="minorHAnsi" w:hAnsi="Arial" w:cs="Arial"/>
          <w:b w:val="0"/>
          <w:color w:val="auto"/>
          <w:szCs w:val="24"/>
          <w:lang w:eastAsia="en-US"/>
        </w:rPr>
      </w:pPr>
      <w:r w:rsidRPr="00571F63">
        <w:rPr>
          <w:rFonts w:ascii="Arial" w:eastAsiaTheme="minorHAnsi" w:hAnsi="Arial" w:cs="Arial"/>
          <w:color w:val="auto"/>
          <w:szCs w:val="24"/>
          <w:lang w:eastAsia="en-US"/>
        </w:rPr>
        <w:t>RESULTANDO: 1)</w:t>
      </w:r>
      <w:r w:rsidRPr="00571F63">
        <w:rPr>
          <w:rFonts w:ascii="Arial" w:eastAsiaTheme="minorHAnsi" w:hAnsi="Arial" w:cs="Arial"/>
          <w:b w:val="0"/>
          <w:color w:val="auto"/>
          <w:szCs w:val="24"/>
          <w:lang w:eastAsia="en-US"/>
        </w:rPr>
        <w:t xml:space="preserve"> que cumplidas las formalidades previas, con fecha 23/11/2018, se procedió a efectuar la apertura del llamado, surgiendo del acta respectiva que se presentaron, dos oferentes: BROMBERG Y CIA S.A. y FABLET Y BERTONI S.A.;</w:t>
      </w:r>
    </w:p>
    <w:p w:rsidR="00571F63" w:rsidRPr="00571F63" w:rsidRDefault="00571F63" w:rsidP="00571F63">
      <w:pPr>
        <w:spacing w:line="360" w:lineRule="auto"/>
        <w:jc w:val="both"/>
        <w:rPr>
          <w:rFonts w:ascii="Arial" w:eastAsiaTheme="minorHAnsi" w:hAnsi="Arial" w:cs="Arial"/>
          <w:b w:val="0"/>
          <w:color w:val="auto"/>
          <w:szCs w:val="24"/>
          <w:lang w:eastAsia="en-US"/>
        </w:rPr>
      </w:pPr>
      <w:bookmarkStart w:id="0" w:name="_GoBack"/>
      <w:bookmarkEnd w:id="0"/>
      <w:r w:rsidRPr="00571F63">
        <w:rPr>
          <w:rFonts w:ascii="Arial" w:eastAsiaTheme="minorHAnsi" w:hAnsi="Arial" w:cs="Arial"/>
          <w:color w:val="auto"/>
          <w:szCs w:val="24"/>
          <w:lang w:eastAsia="en-US"/>
        </w:rPr>
        <w:t>2)</w:t>
      </w:r>
      <w:r w:rsidRPr="00571F63">
        <w:rPr>
          <w:rFonts w:ascii="Arial" w:eastAsiaTheme="minorHAnsi" w:hAnsi="Arial" w:cs="Arial"/>
          <w:b w:val="0"/>
          <w:color w:val="auto"/>
          <w:szCs w:val="24"/>
          <w:lang w:eastAsia="en-US"/>
        </w:rPr>
        <w:t xml:space="preserve"> que luce informe de la Comisión Asesora Adjudicaciones de fecha 26/03/2019, por el cual teniendo en cuenta que no existen apartamientos significativos respecto de las condiciones técnicas planteadas en el Pliego y al cuadro de puntaje de comparación final, se asigna a. BROMBERG y CIA S.A.: 95 puntos y a FABLET Y BERTONI S.A.: 73,11 puntos, recomendando la adjudicación a la empresa BROMBERG y CIA S.A., por un total (CIF Montevideo) U$S 274.045,00 más 5% de gastos de importación;</w:t>
      </w:r>
    </w:p>
    <w:p w:rsidR="00571F63" w:rsidRPr="00571F63" w:rsidRDefault="00571F63" w:rsidP="00571F63">
      <w:pPr>
        <w:spacing w:line="360" w:lineRule="auto"/>
        <w:jc w:val="both"/>
        <w:rPr>
          <w:rFonts w:ascii="Arial" w:eastAsiaTheme="minorHAnsi" w:hAnsi="Arial" w:cs="Arial"/>
          <w:b w:val="0"/>
          <w:color w:val="auto"/>
          <w:szCs w:val="24"/>
          <w:lang w:eastAsia="en-US"/>
        </w:rPr>
      </w:pPr>
      <w:r w:rsidRPr="00571F63">
        <w:rPr>
          <w:rFonts w:ascii="Arial" w:eastAsiaTheme="minorHAnsi" w:hAnsi="Arial" w:cs="Arial"/>
          <w:color w:val="auto"/>
          <w:szCs w:val="24"/>
          <w:lang w:eastAsia="en-US"/>
        </w:rPr>
        <w:t>3)</w:t>
      </w:r>
      <w:r w:rsidRPr="00571F63">
        <w:rPr>
          <w:rFonts w:ascii="Arial" w:eastAsiaTheme="minorHAnsi" w:hAnsi="Arial" w:cs="Arial"/>
          <w:b w:val="0"/>
          <w:color w:val="auto"/>
          <w:szCs w:val="24"/>
          <w:lang w:eastAsia="en-US"/>
        </w:rPr>
        <w:t xml:space="preserve"> que consta proyecto de resolución del Director Nacional de Vialidad a dictarse en ejercicio de atribuciones delegadas, por el cual se dispone adjudicar el objeto de llamado, a la empresa BROMBERG y CIA S.A., por un total de U$S 274.045,00 más 5% para gastos de importación, más los mayores costos resultantes;</w:t>
      </w:r>
    </w:p>
    <w:p w:rsidR="00571F63" w:rsidRPr="00571F63" w:rsidRDefault="00571F63" w:rsidP="00571F63">
      <w:pPr>
        <w:spacing w:line="360" w:lineRule="auto"/>
        <w:jc w:val="both"/>
        <w:rPr>
          <w:rFonts w:ascii="Arial" w:eastAsiaTheme="minorHAnsi" w:hAnsi="Arial" w:cs="Arial"/>
          <w:b w:val="0"/>
          <w:color w:val="auto"/>
          <w:szCs w:val="24"/>
          <w:lang w:eastAsia="en-US"/>
        </w:rPr>
      </w:pPr>
      <w:r w:rsidRPr="00571F63">
        <w:rPr>
          <w:rFonts w:ascii="Arial" w:eastAsiaTheme="minorHAnsi" w:hAnsi="Arial" w:cs="Arial"/>
          <w:color w:val="auto"/>
          <w:szCs w:val="24"/>
          <w:lang w:eastAsia="en-US"/>
        </w:rPr>
        <w:lastRenderedPageBreak/>
        <w:t>4)</w:t>
      </w:r>
      <w:r w:rsidRPr="00571F63">
        <w:rPr>
          <w:rFonts w:ascii="Arial" w:eastAsiaTheme="minorHAnsi" w:hAnsi="Arial" w:cs="Arial"/>
          <w:b w:val="0"/>
          <w:color w:val="auto"/>
          <w:szCs w:val="24"/>
          <w:lang w:eastAsia="en-US"/>
        </w:rPr>
        <w:t xml:space="preserve"> que se adjunta Documento Etapas del Gasto N° 000386 de fecha 27/03/2019, con cargo al Inciso 10, U.E. 003, Concepto del Gasto: Inversión, Financiación 1.1, Programa 362, Proy 855, Objeto del Gasto 329, por un total nominal de $ 10.023.100;</w:t>
      </w:r>
    </w:p>
    <w:p w:rsidR="00571F63" w:rsidRPr="00571F63" w:rsidRDefault="00571F63" w:rsidP="00571F63">
      <w:pPr>
        <w:spacing w:line="360" w:lineRule="auto"/>
        <w:jc w:val="both"/>
        <w:rPr>
          <w:rFonts w:ascii="Arial" w:eastAsiaTheme="minorHAnsi" w:hAnsi="Arial" w:cs="Arial"/>
          <w:b w:val="0"/>
          <w:color w:val="auto"/>
          <w:szCs w:val="24"/>
          <w:lang w:eastAsia="en-US"/>
        </w:rPr>
      </w:pPr>
      <w:r w:rsidRPr="00571F63">
        <w:rPr>
          <w:rFonts w:ascii="Arial" w:eastAsiaTheme="minorHAnsi" w:hAnsi="Arial" w:cs="Arial"/>
          <w:color w:val="auto"/>
          <w:szCs w:val="24"/>
          <w:lang w:eastAsia="en-US"/>
        </w:rPr>
        <w:t>CONSIDERANDO: 1)</w:t>
      </w:r>
      <w:r w:rsidRPr="00571F63">
        <w:rPr>
          <w:rFonts w:ascii="Arial" w:eastAsiaTheme="minorHAnsi" w:hAnsi="Arial" w:cs="Arial"/>
          <w:b w:val="0"/>
          <w:color w:val="auto"/>
          <w:szCs w:val="24"/>
          <w:lang w:eastAsia="en-US"/>
        </w:rPr>
        <w:t xml:space="preserve"> que el procedimiento licitatorio se enmarcó en las normas vigentes (artículos 33 y siguientes del TOCAF);</w:t>
      </w:r>
    </w:p>
    <w:p w:rsidR="00571F63" w:rsidRPr="00571F63" w:rsidRDefault="00571F63" w:rsidP="00571F63">
      <w:pPr>
        <w:spacing w:line="360" w:lineRule="auto"/>
        <w:jc w:val="both"/>
        <w:rPr>
          <w:rFonts w:ascii="Arial" w:eastAsiaTheme="minorHAnsi" w:hAnsi="Arial" w:cs="Arial"/>
          <w:b w:val="0"/>
          <w:color w:val="auto"/>
          <w:szCs w:val="24"/>
          <w:lang w:eastAsia="en-US"/>
        </w:rPr>
      </w:pPr>
      <w:r w:rsidRPr="00571F63">
        <w:rPr>
          <w:rFonts w:ascii="Arial" w:eastAsiaTheme="minorHAnsi" w:hAnsi="Arial" w:cs="Arial"/>
          <w:color w:val="auto"/>
          <w:szCs w:val="24"/>
          <w:lang w:eastAsia="en-US"/>
        </w:rPr>
        <w:t>2)</w:t>
      </w:r>
      <w:r w:rsidRPr="00571F63">
        <w:rPr>
          <w:rFonts w:ascii="Arial" w:eastAsiaTheme="minorHAnsi" w:hAnsi="Arial" w:cs="Arial"/>
          <w:b w:val="0"/>
          <w:color w:val="auto"/>
          <w:szCs w:val="24"/>
          <w:lang w:eastAsia="en-US"/>
        </w:rPr>
        <w:t xml:space="preserve"> que el Pliego Particular, en su artículo 5 “Comparación de las ofertas” establece que, a los efectos de la comparación de ofertas, se tendrá en cuenta: Precio: 75 puntos; Plazo de garantía: 10 puntos; Capacitación: 10 puntos y Antecedentes de la empresa: 5 puntos; </w:t>
      </w:r>
    </w:p>
    <w:p w:rsidR="00571F63" w:rsidRPr="00571F63" w:rsidRDefault="00571F63" w:rsidP="00571F63">
      <w:pPr>
        <w:spacing w:line="360" w:lineRule="auto"/>
        <w:jc w:val="both"/>
        <w:rPr>
          <w:rFonts w:ascii="Arial" w:eastAsiaTheme="minorHAnsi" w:hAnsi="Arial" w:cs="Arial"/>
          <w:b w:val="0"/>
          <w:color w:val="auto"/>
          <w:szCs w:val="24"/>
          <w:lang w:eastAsia="en-US"/>
        </w:rPr>
      </w:pPr>
      <w:r w:rsidRPr="00571F63">
        <w:rPr>
          <w:rFonts w:ascii="Arial" w:eastAsiaTheme="minorHAnsi" w:hAnsi="Arial" w:cs="Arial"/>
          <w:color w:val="auto"/>
          <w:szCs w:val="24"/>
          <w:lang w:eastAsia="en-US"/>
        </w:rPr>
        <w:t>3)</w:t>
      </w:r>
      <w:r w:rsidRPr="00571F63">
        <w:rPr>
          <w:rFonts w:ascii="Arial" w:eastAsiaTheme="minorHAnsi" w:hAnsi="Arial" w:cs="Arial"/>
          <w:b w:val="0"/>
          <w:color w:val="auto"/>
          <w:szCs w:val="24"/>
          <w:lang w:eastAsia="en-US"/>
        </w:rPr>
        <w:t xml:space="preserve"> que si bien, se mencionan cuáles son los criterios que la Administración utilizará a efectos de comparar las ofertas, los mismos resultan insuficientes, al no establecer la referida cláusula, cómo se ponderarán aquellas ofertas que no alcancen el máximo de los porcentajes previstos en cada factor, lo cual no se ajusta a lo establecido por el artículo 48 literal C) del TOCAF;</w:t>
      </w:r>
    </w:p>
    <w:p w:rsidR="00571F63" w:rsidRPr="00571F63" w:rsidRDefault="00571F63" w:rsidP="00571F63">
      <w:pPr>
        <w:spacing w:line="360" w:lineRule="auto"/>
        <w:jc w:val="both"/>
        <w:rPr>
          <w:rFonts w:ascii="Arial" w:eastAsiaTheme="minorHAnsi" w:hAnsi="Arial" w:cs="Arial"/>
          <w:b w:val="0"/>
          <w:color w:val="auto"/>
          <w:szCs w:val="24"/>
          <w:lang w:eastAsia="en-US"/>
        </w:rPr>
      </w:pPr>
      <w:r w:rsidRPr="00571F63">
        <w:rPr>
          <w:rFonts w:ascii="Arial" w:eastAsiaTheme="minorHAnsi" w:hAnsi="Arial" w:cs="Arial"/>
          <w:color w:val="auto"/>
          <w:szCs w:val="24"/>
          <w:lang w:eastAsia="en-US"/>
        </w:rPr>
        <w:t>ATENTO:</w:t>
      </w:r>
      <w:r w:rsidRPr="00571F63">
        <w:rPr>
          <w:rFonts w:ascii="Arial" w:eastAsiaTheme="minorHAnsi" w:hAnsi="Arial" w:cs="Arial"/>
          <w:b w:val="0"/>
          <w:color w:val="auto"/>
          <w:szCs w:val="24"/>
          <w:lang w:eastAsia="en-US"/>
        </w:rPr>
        <w:t xml:space="preserve"> a lo precedentemente expuesto y a lo establecido en el artículo 211 literal B) de la Constitución de la República;</w:t>
      </w:r>
    </w:p>
    <w:p w:rsidR="00571F63" w:rsidRPr="00571F63" w:rsidRDefault="00571F63" w:rsidP="00571F63">
      <w:pPr>
        <w:spacing w:line="360" w:lineRule="auto"/>
        <w:jc w:val="center"/>
        <w:rPr>
          <w:rFonts w:ascii="Arial" w:eastAsiaTheme="minorHAnsi" w:hAnsi="Arial" w:cs="Arial"/>
          <w:color w:val="auto"/>
          <w:szCs w:val="24"/>
          <w:lang w:eastAsia="en-US"/>
        </w:rPr>
      </w:pPr>
      <w:r w:rsidRPr="00571F63">
        <w:rPr>
          <w:rFonts w:ascii="Arial" w:eastAsiaTheme="minorHAnsi" w:hAnsi="Arial" w:cs="Arial"/>
          <w:color w:val="auto"/>
          <w:szCs w:val="24"/>
          <w:lang w:eastAsia="en-US"/>
        </w:rPr>
        <w:t>EL TRIBUNAL ACUERDA</w:t>
      </w:r>
    </w:p>
    <w:p w:rsidR="00571F63" w:rsidRPr="00571F63" w:rsidRDefault="00571F63" w:rsidP="00571F63">
      <w:pPr>
        <w:spacing w:line="360" w:lineRule="auto"/>
        <w:jc w:val="both"/>
        <w:rPr>
          <w:rFonts w:ascii="Arial" w:eastAsiaTheme="minorHAnsi" w:hAnsi="Arial" w:cs="Arial"/>
          <w:b w:val="0"/>
          <w:color w:val="auto"/>
          <w:szCs w:val="24"/>
          <w:lang w:eastAsia="en-US"/>
        </w:rPr>
      </w:pPr>
      <w:r w:rsidRPr="00571F63">
        <w:rPr>
          <w:rFonts w:ascii="Arial" w:eastAsiaTheme="minorHAnsi" w:hAnsi="Arial" w:cs="Arial"/>
          <w:color w:val="auto"/>
          <w:szCs w:val="24"/>
          <w:lang w:eastAsia="en-US"/>
        </w:rPr>
        <w:t>1)</w:t>
      </w:r>
      <w:r w:rsidRPr="00571F63">
        <w:rPr>
          <w:rFonts w:ascii="Arial" w:eastAsiaTheme="minorHAnsi" w:hAnsi="Arial" w:cs="Arial"/>
          <w:b w:val="0"/>
          <w:color w:val="auto"/>
          <w:szCs w:val="24"/>
          <w:lang w:eastAsia="en-US"/>
        </w:rPr>
        <w:t xml:space="preserve"> Observar el gasto;</w:t>
      </w:r>
    </w:p>
    <w:p w:rsidR="00571F63" w:rsidRPr="00571F63" w:rsidRDefault="00571F63" w:rsidP="00571F63">
      <w:pPr>
        <w:spacing w:line="360" w:lineRule="auto"/>
        <w:jc w:val="both"/>
        <w:rPr>
          <w:rFonts w:ascii="Arial" w:eastAsiaTheme="minorHAnsi" w:hAnsi="Arial" w:cs="Arial"/>
          <w:b w:val="0"/>
          <w:color w:val="auto"/>
          <w:szCs w:val="24"/>
          <w:lang w:eastAsia="en-US"/>
        </w:rPr>
      </w:pPr>
      <w:r w:rsidRPr="00571F63">
        <w:rPr>
          <w:rFonts w:ascii="Arial" w:eastAsiaTheme="minorHAnsi" w:hAnsi="Arial" w:cs="Arial"/>
          <w:color w:val="auto"/>
          <w:szCs w:val="24"/>
          <w:lang w:eastAsia="en-US"/>
        </w:rPr>
        <w:t>2)</w:t>
      </w:r>
      <w:r w:rsidRPr="00571F63">
        <w:rPr>
          <w:rFonts w:ascii="Arial" w:eastAsiaTheme="minorHAnsi" w:hAnsi="Arial" w:cs="Arial"/>
          <w:b w:val="0"/>
          <w:color w:val="auto"/>
          <w:szCs w:val="24"/>
          <w:lang w:eastAsia="en-US"/>
        </w:rPr>
        <w:t xml:space="preserve"> Comunicar al Contador Auditor;</w:t>
      </w:r>
    </w:p>
    <w:p w:rsidR="00571F63" w:rsidRDefault="00571F63" w:rsidP="00571F63">
      <w:pPr>
        <w:spacing w:line="360" w:lineRule="auto"/>
        <w:rPr>
          <w:rFonts w:ascii="Arial" w:eastAsiaTheme="minorHAnsi" w:hAnsi="Arial" w:cs="Arial"/>
          <w:b w:val="0"/>
          <w:color w:val="auto"/>
          <w:szCs w:val="24"/>
          <w:lang w:eastAsia="en-US"/>
        </w:rPr>
      </w:pPr>
      <w:r w:rsidRPr="00571F63">
        <w:rPr>
          <w:rFonts w:ascii="Arial" w:eastAsiaTheme="minorHAnsi" w:hAnsi="Arial" w:cs="Arial"/>
          <w:color w:val="auto"/>
          <w:szCs w:val="24"/>
          <w:lang w:eastAsia="en-US"/>
        </w:rPr>
        <w:t>3)</w:t>
      </w:r>
      <w:r w:rsidRPr="00571F63">
        <w:rPr>
          <w:rFonts w:ascii="Arial" w:eastAsiaTheme="minorHAnsi" w:hAnsi="Arial" w:cs="Arial"/>
          <w:b w:val="0"/>
          <w:color w:val="auto"/>
          <w:szCs w:val="24"/>
          <w:lang w:eastAsia="en-US"/>
        </w:rPr>
        <w:t xml:space="preserve"> Devolver las actuaciones al MTOP</w:t>
      </w:r>
      <w:r>
        <w:rPr>
          <w:rFonts w:ascii="Arial" w:eastAsiaTheme="minorHAnsi" w:hAnsi="Arial" w:cs="Arial"/>
          <w:b w:val="0"/>
          <w:color w:val="auto"/>
          <w:szCs w:val="24"/>
          <w:lang w:eastAsia="en-US"/>
        </w:rPr>
        <w:t>”</w:t>
      </w:r>
      <w:r w:rsidRPr="00571F63">
        <w:rPr>
          <w:rFonts w:ascii="Arial" w:eastAsiaTheme="minorHAnsi" w:hAnsi="Arial" w:cs="Arial"/>
          <w:b w:val="0"/>
          <w:color w:val="auto"/>
          <w:szCs w:val="24"/>
          <w:lang w:eastAsia="en-US"/>
        </w:rPr>
        <w:t>.-</w:t>
      </w:r>
    </w:p>
    <w:p w:rsidR="00571F63" w:rsidRDefault="00571F63" w:rsidP="00571F63">
      <w:pPr>
        <w:spacing w:line="360" w:lineRule="auto"/>
        <w:rPr>
          <w:rFonts w:ascii="Arial" w:eastAsiaTheme="minorHAnsi" w:hAnsi="Arial" w:cs="Arial"/>
          <w:b w:val="0"/>
          <w:color w:val="auto"/>
          <w:szCs w:val="24"/>
          <w:lang w:eastAsia="en-US"/>
        </w:rPr>
      </w:pPr>
    </w:p>
    <w:p w:rsidR="00571F63" w:rsidRDefault="00571F63" w:rsidP="00571F63">
      <w:pPr>
        <w:spacing w:line="360" w:lineRule="auto"/>
        <w:rPr>
          <w:rFonts w:ascii="Arial" w:eastAsiaTheme="minorHAnsi" w:hAnsi="Arial" w:cs="Arial"/>
          <w:b w:val="0"/>
          <w:color w:val="auto"/>
          <w:szCs w:val="24"/>
          <w:lang w:eastAsia="en-US"/>
        </w:rPr>
      </w:pPr>
    </w:p>
    <w:p w:rsidR="00571F63" w:rsidRDefault="00571F63" w:rsidP="00571F63">
      <w:pPr>
        <w:spacing w:line="360" w:lineRule="auto"/>
        <w:rPr>
          <w:rFonts w:ascii="Arial" w:eastAsiaTheme="minorHAnsi" w:hAnsi="Arial" w:cs="Arial"/>
          <w:b w:val="0"/>
          <w:color w:val="auto"/>
          <w:szCs w:val="24"/>
          <w:lang w:eastAsia="en-US"/>
        </w:rPr>
      </w:pPr>
    </w:p>
    <w:p w:rsidR="00571F63" w:rsidRDefault="00571F63" w:rsidP="00571F63">
      <w:pPr>
        <w:spacing w:line="360" w:lineRule="auto"/>
        <w:rPr>
          <w:rFonts w:ascii="Arial" w:eastAsiaTheme="minorHAnsi" w:hAnsi="Arial" w:cs="Arial"/>
          <w:b w:val="0"/>
          <w:color w:val="auto"/>
          <w:szCs w:val="24"/>
          <w:lang w:eastAsia="en-US"/>
        </w:rPr>
      </w:pPr>
    </w:p>
    <w:p w:rsidR="00571F63" w:rsidRDefault="00571F63" w:rsidP="00571F63">
      <w:pPr>
        <w:spacing w:line="360" w:lineRule="auto"/>
        <w:rPr>
          <w:rFonts w:ascii="Arial" w:eastAsiaTheme="minorHAnsi" w:hAnsi="Arial" w:cs="Arial"/>
          <w:b w:val="0"/>
          <w:color w:val="auto"/>
          <w:szCs w:val="24"/>
          <w:lang w:eastAsia="en-US"/>
        </w:rPr>
      </w:pPr>
    </w:p>
    <w:p w:rsidR="000F307A" w:rsidRPr="006A2B03" w:rsidRDefault="00571F63" w:rsidP="00571F63">
      <w:pPr>
        <w:spacing w:line="360" w:lineRule="auto"/>
        <w:ind w:hanging="567"/>
        <w:rPr>
          <w:lang w:val="es-UY"/>
        </w:rPr>
      </w:pPr>
      <w:r>
        <w:rPr>
          <w:rFonts w:ascii="Arial" w:eastAsiaTheme="minorHAnsi" w:hAnsi="Arial" w:cs="Arial"/>
          <w:b w:val="0"/>
          <w:color w:val="auto"/>
          <w:szCs w:val="24"/>
          <w:lang w:eastAsia="en-US"/>
        </w:rPr>
        <w:t>dc</w:t>
      </w:r>
    </w:p>
    <w:p w:rsidR="000F307A" w:rsidRPr="000F307A" w:rsidRDefault="000F307A" w:rsidP="000F307A">
      <w:pPr>
        <w:tabs>
          <w:tab w:val="num" w:pos="284"/>
        </w:tabs>
        <w:spacing w:line="360" w:lineRule="auto"/>
        <w:jc w:val="both"/>
        <w:rPr>
          <w:rFonts w:ascii="Arial" w:hAnsi="Arial" w:cs="Arial"/>
          <w:b w:val="0"/>
          <w:bCs/>
        </w:rPr>
      </w:pPr>
    </w:p>
    <w:sectPr w:rsidR="000F307A" w:rsidRPr="000F307A" w:rsidSect="00A06259">
      <w:footerReference w:type="default" r:id="rId8"/>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5C8" w:rsidRDefault="005625C8" w:rsidP="005625C8">
      <w:r>
        <w:separator/>
      </w:r>
    </w:p>
  </w:endnote>
  <w:endnote w:type="continuationSeparator" w:id="0">
    <w:p w:rsidR="005625C8" w:rsidRDefault="005625C8" w:rsidP="0056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othicPS">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06143"/>
      <w:docPartObj>
        <w:docPartGallery w:val="Page Numbers (Bottom of Page)"/>
        <w:docPartUnique/>
      </w:docPartObj>
    </w:sdtPr>
    <w:sdtContent>
      <w:p w:rsidR="005625C8" w:rsidRDefault="005625C8">
        <w:pPr>
          <w:pStyle w:val="Piedepgina"/>
          <w:jc w:val="center"/>
        </w:pPr>
        <w:r>
          <w:fldChar w:fldCharType="begin"/>
        </w:r>
        <w:r>
          <w:instrText>PAGE   \* MERGEFORMAT</w:instrText>
        </w:r>
        <w:r>
          <w:fldChar w:fldCharType="separate"/>
        </w:r>
        <w:r w:rsidR="00571F63">
          <w:rPr>
            <w:noProof/>
          </w:rPr>
          <w:t>4</w:t>
        </w:r>
        <w:r>
          <w:fldChar w:fldCharType="end"/>
        </w:r>
      </w:p>
    </w:sdtContent>
  </w:sdt>
  <w:p w:rsidR="005625C8" w:rsidRDefault="005625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5C8" w:rsidRDefault="005625C8" w:rsidP="005625C8">
      <w:r>
        <w:separator/>
      </w:r>
    </w:p>
  </w:footnote>
  <w:footnote w:type="continuationSeparator" w:id="0">
    <w:p w:rsidR="005625C8" w:rsidRDefault="005625C8" w:rsidP="005625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576"/>
    <w:multiLevelType w:val="hybridMultilevel"/>
    <w:tmpl w:val="76680B2A"/>
    <w:lvl w:ilvl="0" w:tplc="B15A7618">
      <w:start w:val="1"/>
      <w:numFmt w:val="decimal"/>
      <w:lvlText w:val="%1)"/>
      <w:lvlJc w:val="left"/>
      <w:pPr>
        <w:tabs>
          <w:tab w:val="num" w:pos="1788"/>
        </w:tabs>
        <w:ind w:left="1788" w:hanging="360"/>
      </w:pPr>
      <w:rPr>
        <w:rFonts w:ascii="Arial" w:eastAsia="Times New Roman" w:hAnsi="Arial" w:cs="Arial"/>
        <w:b/>
      </w:rPr>
    </w:lvl>
    <w:lvl w:ilvl="1" w:tplc="0C0A0019">
      <w:start w:val="1"/>
      <w:numFmt w:val="lowerLetter"/>
      <w:lvlText w:val="%2."/>
      <w:lvlJc w:val="left"/>
      <w:pPr>
        <w:tabs>
          <w:tab w:val="num" w:pos="2508"/>
        </w:tabs>
        <w:ind w:left="2508" w:hanging="360"/>
      </w:pPr>
    </w:lvl>
    <w:lvl w:ilvl="2" w:tplc="0C0A001B">
      <w:start w:val="1"/>
      <w:numFmt w:val="lowerRoman"/>
      <w:lvlText w:val="%3."/>
      <w:lvlJc w:val="right"/>
      <w:pPr>
        <w:tabs>
          <w:tab w:val="num" w:pos="3228"/>
        </w:tabs>
        <w:ind w:left="3228" w:hanging="180"/>
      </w:pPr>
    </w:lvl>
    <w:lvl w:ilvl="3" w:tplc="0C0A000F">
      <w:start w:val="1"/>
      <w:numFmt w:val="decimal"/>
      <w:lvlText w:val="%4."/>
      <w:lvlJc w:val="left"/>
      <w:pPr>
        <w:tabs>
          <w:tab w:val="num" w:pos="3948"/>
        </w:tabs>
        <w:ind w:left="3948" w:hanging="360"/>
      </w:pPr>
    </w:lvl>
    <w:lvl w:ilvl="4" w:tplc="0C0A0019">
      <w:start w:val="1"/>
      <w:numFmt w:val="lowerLetter"/>
      <w:lvlText w:val="%5."/>
      <w:lvlJc w:val="left"/>
      <w:pPr>
        <w:tabs>
          <w:tab w:val="num" w:pos="4668"/>
        </w:tabs>
        <w:ind w:left="4668" w:hanging="360"/>
      </w:pPr>
    </w:lvl>
    <w:lvl w:ilvl="5" w:tplc="0C0A001B">
      <w:start w:val="1"/>
      <w:numFmt w:val="lowerRoman"/>
      <w:lvlText w:val="%6."/>
      <w:lvlJc w:val="right"/>
      <w:pPr>
        <w:tabs>
          <w:tab w:val="num" w:pos="5388"/>
        </w:tabs>
        <w:ind w:left="5388" w:hanging="180"/>
      </w:pPr>
    </w:lvl>
    <w:lvl w:ilvl="6" w:tplc="0C0A000F">
      <w:start w:val="1"/>
      <w:numFmt w:val="decimal"/>
      <w:lvlText w:val="%7."/>
      <w:lvlJc w:val="left"/>
      <w:pPr>
        <w:tabs>
          <w:tab w:val="num" w:pos="6108"/>
        </w:tabs>
        <w:ind w:left="6108" w:hanging="360"/>
      </w:pPr>
    </w:lvl>
    <w:lvl w:ilvl="7" w:tplc="0C0A0019">
      <w:start w:val="1"/>
      <w:numFmt w:val="lowerLetter"/>
      <w:lvlText w:val="%8."/>
      <w:lvlJc w:val="left"/>
      <w:pPr>
        <w:tabs>
          <w:tab w:val="num" w:pos="6828"/>
        </w:tabs>
        <w:ind w:left="6828" w:hanging="360"/>
      </w:pPr>
    </w:lvl>
    <w:lvl w:ilvl="8" w:tplc="0C0A001B">
      <w:start w:val="1"/>
      <w:numFmt w:val="lowerRoman"/>
      <w:lvlText w:val="%9."/>
      <w:lvlJc w:val="right"/>
      <w:pPr>
        <w:tabs>
          <w:tab w:val="num" w:pos="7548"/>
        </w:tabs>
        <w:ind w:left="7548" w:hanging="180"/>
      </w:pPr>
    </w:lvl>
  </w:abstractNum>
  <w:abstractNum w:abstractNumId="1">
    <w:nsid w:val="426E43C0"/>
    <w:multiLevelType w:val="hybridMultilevel"/>
    <w:tmpl w:val="793450BE"/>
    <w:lvl w:ilvl="0" w:tplc="21B0A4FE">
      <w:start w:val="1"/>
      <w:numFmt w:val="upperRoman"/>
      <w:pStyle w:val="Ttulo8"/>
      <w:lvlText w:val="%1."/>
      <w:lvlJc w:val="left"/>
      <w:pPr>
        <w:tabs>
          <w:tab w:val="num" w:pos="1080"/>
        </w:tabs>
        <w:ind w:left="1080" w:hanging="72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AE3"/>
    <w:rsid w:val="0008463C"/>
    <w:rsid w:val="000F307A"/>
    <w:rsid w:val="00307AC8"/>
    <w:rsid w:val="00394AE3"/>
    <w:rsid w:val="004A75DD"/>
    <w:rsid w:val="005625C8"/>
    <w:rsid w:val="00571F63"/>
    <w:rsid w:val="007F563F"/>
    <w:rsid w:val="00A06259"/>
    <w:rsid w:val="00A86E1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bCs/>
        <w:spacing w:val="-3"/>
        <w:sz w:val="24"/>
        <w:szCs w:val="24"/>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AE3"/>
    <w:pPr>
      <w:spacing w:after="0" w:line="240" w:lineRule="auto"/>
    </w:pPr>
    <w:rPr>
      <w:rFonts w:ascii="GothicPS" w:hAnsi="GothicPS" w:cs="Times New Roman"/>
      <w:b/>
      <w:bCs w:val="0"/>
      <w:color w:val="000000"/>
      <w:spacing w:val="0"/>
      <w:szCs w:val="20"/>
      <w:lang w:val="es-ES" w:eastAsia="es-ES"/>
    </w:rPr>
  </w:style>
  <w:style w:type="paragraph" w:styleId="Ttulo2">
    <w:name w:val="heading 2"/>
    <w:basedOn w:val="Normal"/>
    <w:next w:val="Normal"/>
    <w:link w:val="Ttulo2Car"/>
    <w:semiHidden/>
    <w:unhideWhenUsed/>
    <w:qFormat/>
    <w:rsid w:val="00394AE3"/>
    <w:pPr>
      <w:keepNext/>
      <w:jc w:val="center"/>
      <w:outlineLvl w:val="1"/>
    </w:pPr>
    <w:rPr>
      <w:rFonts w:ascii="Arial" w:hAnsi="Arial" w:cs="Arial"/>
      <w:lang w:val="es-ES_tradnl"/>
    </w:rPr>
  </w:style>
  <w:style w:type="paragraph" w:styleId="Ttulo8">
    <w:name w:val="heading 8"/>
    <w:basedOn w:val="Normal"/>
    <w:next w:val="Normal"/>
    <w:link w:val="Ttulo8Car"/>
    <w:unhideWhenUsed/>
    <w:qFormat/>
    <w:rsid w:val="00394AE3"/>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394AE3"/>
    <w:rPr>
      <w:b/>
      <w:bCs w:val="0"/>
      <w:color w:val="000000"/>
      <w:spacing w:val="0"/>
      <w:szCs w:val="20"/>
      <w:lang w:val="es-ES_tradnl" w:eastAsia="es-ES"/>
    </w:rPr>
  </w:style>
  <w:style w:type="character" w:customStyle="1" w:styleId="Ttulo8Car">
    <w:name w:val="Título 8 Car"/>
    <w:basedOn w:val="Fuentedeprrafopredeter"/>
    <w:link w:val="Ttulo8"/>
    <w:rsid w:val="00394AE3"/>
    <w:rPr>
      <w:b/>
      <w:bCs w:val="0"/>
      <w:color w:val="000000"/>
      <w:spacing w:val="0"/>
      <w:szCs w:val="20"/>
      <w:lang w:val="es-ES_tradnl" w:eastAsia="es-ES"/>
    </w:rPr>
  </w:style>
  <w:style w:type="paragraph" w:styleId="Ttulo">
    <w:name w:val="Title"/>
    <w:basedOn w:val="Normal"/>
    <w:link w:val="TtuloCar"/>
    <w:qFormat/>
    <w:rsid w:val="00394AE3"/>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394AE3"/>
    <w:rPr>
      <w:rFonts w:cs="Times New Roman"/>
      <w:b/>
      <w:bCs w:val="0"/>
      <w:spacing w:val="0"/>
      <w:u w:val="single"/>
      <w:lang w:eastAsia="es-ES"/>
    </w:rPr>
  </w:style>
  <w:style w:type="paragraph" w:styleId="Subttulo">
    <w:name w:val="Subtitle"/>
    <w:basedOn w:val="Normal"/>
    <w:link w:val="SubttuloCar"/>
    <w:qFormat/>
    <w:rsid w:val="00394AE3"/>
    <w:pPr>
      <w:spacing w:line="360" w:lineRule="auto"/>
      <w:jc w:val="center"/>
    </w:pPr>
    <w:rPr>
      <w:rFonts w:ascii="Arial" w:hAnsi="Arial" w:cs="Arial"/>
    </w:rPr>
  </w:style>
  <w:style w:type="character" w:customStyle="1" w:styleId="SubttuloCar">
    <w:name w:val="Subtítulo Car"/>
    <w:basedOn w:val="Fuentedeprrafopredeter"/>
    <w:link w:val="Subttulo"/>
    <w:rsid w:val="00394AE3"/>
    <w:rPr>
      <w:b/>
      <w:bCs w:val="0"/>
      <w:color w:val="000000"/>
      <w:spacing w:val="0"/>
      <w:szCs w:val="20"/>
      <w:lang w:val="es-ES" w:eastAsia="es-ES"/>
    </w:rPr>
  </w:style>
  <w:style w:type="paragraph" w:styleId="Textoindependiente2">
    <w:name w:val="Body Text 2"/>
    <w:basedOn w:val="Normal"/>
    <w:link w:val="Textoindependiente2Car"/>
    <w:semiHidden/>
    <w:unhideWhenUsed/>
    <w:rsid w:val="00394AE3"/>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semiHidden/>
    <w:rsid w:val="00394AE3"/>
    <w:rPr>
      <w:color w:val="000000"/>
      <w:spacing w:val="0"/>
      <w:szCs w:val="20"/>
      <w:lang w:val="es-ES_tradnl" w:eastAsia="es-ES"/>
    </w:rPr>
  </w:style>
  <w:style w:type="paragraph" w:styleId="Encabezado">
    <w:name w:val="header"/>
    <w:basedOn w:val="Normal"/>
    <w:link w:val="EncabezadoCar"/>
    <w:uiPriority w:val="99"/>
    <w:unhideWhenUsed/>
    <w:rsid w:val="005625C8"/>
    <w:pPr>
      <w:tabs>
        <w:tab w:val="center" w:pos="4252"/>
        <w:tab w:val="right" w:pos="8504"/>
      </w:tabs>
    </w:pPr>
  </w:style>
  <w:style w:type="character" w:customStyle="1" w:styleId="EncabezadoCar">
    <w:name w:val="Encabezado Car"/>
    <w:basedOn w:val="Fuentedeprrafopredeter"/>
    <w:link w:val="Encabezado"/>
    <w:uiPriority w:val="99"/>
    <w:rsid w:val="005625C8"/>
    <w:rPr>
      <w:rFonts w:ascii="GothicPS" w:hAnsi="GothicPS" w:cs="Times New Roman"/>
      <w:b/>
      <w:bCs w:val="0"/>
      <w:color w:val="000000"/>
      <w:spacing w:val="0"/>
      <w:szCs w:val="20"/>
      <w:lang w:val="es-ES" w:eastAsia="es-ES"/>
    </w:rPr>
  </w:style>
  <w:style w:type="paragraph" w:styleId="Piedepgina">
    <w:name w:val="footer"/>
    <w:basedOn w:val="Normal"/>
    <w:link w:val="PiedepginaCar"/>
    <w:uiPriority w:val="99"/>
    <w:unhideWhenUsed/>
    <w:rsid w:val="005625C8"/>
    <w:pPr>
      <w:tabs>
        <w:tab w:val="center" w:pos="4252"/>
        <w:tab w:val="right" w:pos="8504"/>
      </w:tabs>
    </w:pPr>
  </w:style>
  <w:style w:type="character" w:customStyle="1" w:styleId="PiedepginaCar">
    <w:name w:val="Pie de página Car"/>
    <w:basedOn w:val="Fuentedeprrafopredeter"/>
    <w:link w:val="Piedepgina"/>
    <w:uiPriority w:val="99"/>
    <w:rsid w:val="005625C8"/>
    <w:rPr>
      <w:rFonts w:ascii="GothicPS" w:hAnsi="GothicPS" w:cs="Times New Roman"/>
      <w:b/>
      <w:bCs w:val="0"/>
      <w:color w:val="000000"/>
      <w:spacing w:val="0"/>
      <w:szCs w:val="20"/>
      <w:lang w:val="es-ES" w:eastAsia="es-ES"/>
    </w:rPr>
  </w:style>
  <w:style w:type="paragraph" w:styleId="Prrafodelista">
    <w:name w:val="List Paragraph"/>
    <w:basedOn w:val="Normal"/>
    <w:uiPriority w:val="34"/>
    <w:qFormat/>
    <w:rsid w:val="005625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bCs/>
        <w:spacing w:val="-3"/>
        <w:sz w:val="24"/>
        <w:szCs w:val="24"/>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AE3"/>
    <w:pPr>
      <w:spacing w:after="0" w:line="240" w:lineRule="auto"/>
    </w:pPr>
    <w:rPr>
      <w:rFonts w:ascii="GothicPS" w:hAnsi="GothicPS" w:cs="Times New Roman"/>
      <w:b/>
      <w:bCs w:val="0"/>
      <w:color w:val="000000"/>
      <w:spacing w:val="0"/>
      <w:szCs w:val="20"/>
      <w:lang w:val="es-ES" w:eastAsia="es-ES"/>
    </w:rPr>
  </w:style>
  <w:style w:type="paragraph" w:styleId="Ttulo2">
    <w:name w:val="heading 2"/>
    <w:basedOn w:val="Normal"/>
    <w:next w:val="Normal"/>
    <w:link w:val="Ttulo2Car"/>
    <w:semiHidden/>
    <w:unhideWhenUsed/>
    <w:qFormat/>
    <w:rsid w:val="00394AE3"/>
    <w:pPr>
      <w:keepNext/>
      <w:jc w:val="center"/>
      <w:outlineLvl w:val="1"/>
    </w:pPr>
    <w:rPr>
      <w:rFonts w:ascii="Arial" w:hAnsi="Arial" w:cs="Arial"/>
      <w:lang w:val="es-ES_tradnl"/>
    </w:rPr>
  </w:style>
  <w:style w:type="paragraph" w:styleId="Ttulo8">
    <w:name w:val="heading 8"/>
    <w:basedOn w:val="Normal"/>
    <w:next w:val="Normal"/>
    <w:link w:val="Ttulo8Car"/>
    <w:unhideWhenUsed/>
    <w:qFormat/>
    <w:rsid w:val="00394AE3"/>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394AE3"/>
    <w:rPr>
      <w:b/>
      <w:bCs w:val="0"/>
      <w:color w:val="000000"/>
      <w:spacing w:val="0"/>
      <w:szCs w:val="20"/>
      <w:lang w:val="es-ES_tradnl" w:eastAsia="es-ES"/>
    </w:rPr>
  </w:style>
  <w:style w:type="character" w:customStyle="1" w:styleId="Ttulo8Car">
    <w:name w:val="Título 8 Car"/>
    <w:basedOn w:val="Fuentedeprrafopredeter"/>
    <w:link w:val="Ttulo8"/>
    <w:rsid w:val="00394AE3"/>
    <w:rPr>
      <w:b/>
      <w:bCs w:val="0"/>
      <w:color w:val="000000"/>
      <w:spacing w:val="0"/>
      <w:szCs w:val="20"/>
      <w:lang w:val="es-ES_tradnl" w:eastAsia="es-ES"/>
    </w:rPr>
  </w:style>
  <w:style w:type="paragraph" w:styleId="Ttulo">
    <w:name w:val="Title"/>
    <w:basedOn w:val="Normal"/>
    <w:link w:val="TtuloCar"/>
    <w:qFormat/>
    <w:rsid w:val="00394AE3"/>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394AE3"/>
    <w:rPr>
      <w:rFonts w:cs="Times New Roman"/>
      <w:b/>
      <w:bCs w:val="0"/>
      <w:spacing w:val="0"/>
      <w:u w:val="single"/>
      <w:lang w:eastAsia="es-ES"/>
    </w:rPr>
  </w:style>
  <w:style w:type="paragraph" w:styleId="Subttulo">
    <w:name w:val="Subtitle"/>
    <w:basedOn w:val="Normal"/>
    <w:link w:val="SubttuloCar"/>
    <w:qFormat/>
    <w:rsid w:val="00394AE3"/>
    <w:pPr>
      <w:spacing w:line="360" w:lineRule="auto"/>
      <w:jc w:val="center"/>
    </w:pPr>
    <w:rPr>
      <w:rFonts w:ascii="Arial" w:hAnsi="Arial" w:cs="Arial"/>
    </w:rPr>
  </w:style>
  <w:style w:type="character" w:customStyle="1" w:styleId="SubttuloCar">
    <w:name w:val="Subtítulo Car"/>
    <w:basedOn w:val="Fuentedeprrafopredeter"/>
    <w:link w:val="Subttulo"/>
    <w:rsid w:val="00394AE3"/>
    <w:rPr>
      <w:b/>
      <w:bCs w:val="0"/>
      <w:color w:val="000000"/>
      <w:spacing w:val="0"/>
      <w:szCs w:val="20"/>
      <w:lang w:val="es-ES" w:eastAsia="es-ES"/>
    </w:rPr>
  </w:style>
  <w:style w:type="paragraph" w:styleId="Textoindependiente2">
    <w:name w:val="Body Text 2"/>
    <w:basedOn w:val="Normal"/>
    <w:link w:val="Textoindependiente2Car"/>
    <w:semiHidden/>
    <w:unhideWhenUsed/>
    <w:rsid w:val="00394AE3"/>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semiHidden/>
    <w:rsid w:val="00394AE3"/>
    <w:rPr>
      <w:color w:val="000000"/>
      <w:spacing w:val="0"/>
      <w:szCs w:val="20"/>
      <w:lang w:val="es-ES_tradnl" w:eastAsia="es-ES"/>
    </w:rPr>
  </w:style>
  <w:style w:type="paragraph" w:styleId="Encabezado">
    <w:name w:val="header"/>
    <w:basedOn w:val="Normal"/>
    <w:link w:val="EncabezadoCar"/>
    <w:uiPriority w:val="99"/>
    <w:unhideWhenUsed/>
    <w:rsid w:val="005625C8"/>
    <w:pPr>
      <w:tabs>
        <w:tab w:val="center" w:pos="4252"/>
        <w:tab w:val="right" w:pos="8504"/>
      </w:tabs>
    </w:pPr>
  </w:style>
  <w:style w:type="character" w:customStyle="1" w:styleId="EncabezadoCar">
    <w:name w:val="Encabezado Car"/>
    <w:basedOn w:val="Fuentedeprrafopredeter"/>
    <w:link w:val="Encabezado"/>
    <w:uiPriority w:val="99"/>
    <w:rsid w:val="005625C8"/>
    <w:rPr>
      <w:rFonts w:ascii="GothicPS" w:hAnsi="GothicPS" w:cs="Times New Roman"/>
      <w:b/>
      <w:bCs w:val="0"/>
      <w:color w:val="000000"/>
      <w:spacing w:val="0"/>
      <w:szCs w:val="20"/>
      <w:lang w:val="es-ES" w:eastAsia="es-ES"/>
    </w:rPr>
  </w:style>
  <w:style w:type="paragraph" w:styleId="Piedepgina">
    <w:name w:val="footer"/>
    <w:basedOn w:val="Normal"/>
    <w:link w:val="PiedepginaCar"/>
    <w:uiPriority w:val="99"/>
    <w:unhideWhenUsed/>
    <w:rsid w:val="005625C8"/>
    <w:pPr>
      <w:tabs>
        <w:tab w:val="center" w:pos="4252"/>
        <w:tab w:val="right" w:pos="8504"/>
      </w:tabs>
    </w:pPr>
  </w:style>
  <w:style w:type="character" w:customStyle="1" w:styleId="PiedepginaCar">
    <w:name w:val="Pie de página Car"/>
    <w:basedOn w:val="Fuentedeprrafopredeter"/>
    <w:link w:val="Piedepgina"/>
    <w:uiPriority w:val="99"/>
    <w:rsid w:val="005625C8"/>
    <w:rPr>
      <w:rFonts w:ascii="GothicPS" w:hAnsi="GothicPS" w:cs="Times New Roman"/>
      <w:b/>
      <w:bCs w:val="0"/>
      <w:color w:val="000000"/>
      <w:spacing w:val="0"/>
      <w:szCs w:val="20"/>
      <w:lang w:val="es-ES" w:eastAsia="es-ES"/>
    </w:rPr>
  </w:style>
  <w:style w:type="paragraph" w:styleId="Prrafodelista">
    <w:name w:val="List Paragraph"/>
    <w:basedOn w:val="Normal"/>
    <w:uiPriority w:val="34"/>
    <w:qFormat/>
    <w:rsid w:val="005625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08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895</Words>
  <Characters>4926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2</cp:revision>
  <cp:lastPrinted>2019-05-22T15:05:00Z</cp:lastPrinted>
  <dcterms:created xsi:type="dcterms:W3CDTF">2019-05-22T15:07:00Z</dcterms:created>
  <dcterms:modified xsi:type="dcterms:W3CDTF">2019-05-22T15:07:00Z</dcterms:modified>
</cp:coreProperties>
</file>