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556" w:rsidRPr="003F3A3F" w:rsidRDefault="00757556" w:rsidP="00757556">
      <w:pPr>
        <w:tabs>
          <w:tab w:val="center" w:pos="4253"/>
        </w:tabs>
        <w:suppressAutoHyphens/>
        <w:spacing w:line="480" w:lineRule="auto"/>
        <w:jc w:val="right"/>
        <w:rPr>
          <w:rFonts w:cs="Arial"/>
          <w:b/>
          <w:sz w:val="28"/>
          <w:szCs w:val="28"/>
          <w:lang w:val="es-ES_tradnl"/>
        </w:rPr>
      </w:pPr>
      <w:r w:rsidRPr="003F3A3F">
        <w:rPr>
          <w:rFonts w:cs="Arial"/>
          <w:b/>
          <w:sz w:val="28"/>
          <w:szCs w:val="28"/>
          <w:lang w:val="es-ES_tradnl"/>
        </w:rPr>
        <w:t xml:space="preserve">RES. </w:t>
      </w:r>
      <w:r>
        <w:rPr>
          <w:rFonts w:cs="Arial"/>
          <w:b/>
          <w:sz w:val="28"/>
          <w:szCs w:val="28"/>
          <w:lang w:val="es-ES_tradnl"/>
        </w:rPr>
        <w:t>1128</w:t>
      </w:r>
      <w:r w:rsidRPr="003F3A3F">
        <w:rPr>
          <w:rFonts w:cs="Arial"/>
          <w:b/>
          <w:sz w:val="28"/>
          <w:szCs w:val="28"/>
          <w:lang w:val="es-ES_tradnl"/>
        </w:rPr>
        <w:t>/19</w:t>
      </w:r>
    </w:p>
    <w:p w:rsidR="00757556" w:rsidRPr="000F48AC" w:rsidRDefault="00757556" w:rsidP="00757556">
      <w:pPr>
        <w:tabs>
          <w:tab w:val="center" w:pos="4253"/>
        </w:tabs>
        <w:suppressAutoHyphens/>
        <w:spacing w:line="480" w:lineRule="auto"/>
        <w:jc w:val="center"/>
        <w:rPr>
          <w:rFonts w:cs="Arial"/>
          <w:b/>
          <w:lang w:val="es-ES_tradnl"/>
        </w:rPr>
      </w:pPr>
      <w:r w:rsidRPr="000F48AC">
        <w:rPr>
          <w:rFonts w:cs="Arial"/>
          <w:b/>
          <w:lang w:val="es-ES_tradnl"/>
        </w:rPr>
        <w:t>RESOLUCION ADOPTADA POR EL</w:t>
      </w:r>
    </w:p>
    <w:p w:rsidR="00757556" w:rsidRPr="000F48AC" w:rsidRDefault="00757556" w:rsidP="00757556">
      <w:pPr>
        <w:tabs>
          <w:tab w:val="center" w:pos="4253"/>
        </w:tabs>
        <w:suppressAutoHyphens/>
        <w:spacing w:line="480" w:lineRule="auto"/>
        <w:jc w:val="center"/>
        <w:rPr>
          <w:rFonts w:cs="Arial"/>
          <w:b/>
          <w:lang w:val="es-ES_tradnl"/>
        </w:rPr>
      </w:pPr>
      <w:r w:rsidRPr="000F48AC">
        <w:rPr>
          <w:rFonts w:cs="Arial"/>
          <w:b/>
          <w:lang w:val="es-ES_tradnl"/>
        </w:rPr>
        <w:t>TRIBUNAL DE CUENTAS</w:t>
      </w:r>
    </w:p>
    <w:p w:rsidR="00757556" w:rsidRPr="000F48AC" w:rsidRDefault="00757556" w:rsidP="00757556">
      <w:pPr>
        <w:tabs>
          <w:tab w:val="center" w:pos="4253"/>
        </w:tabs>
        <w:suppressAutoHyphens/>
        <w:spacing w:line="480" w:lineRule="auto"/>
        <w:jc w:val="center"/>
        <w:rPr>
          <w:rFonts w:cs="Arial"/>
          <w:b/>
          <w:lang w:val="es-ES_tradnl"/>
        </w:rPr>
      </w:pPr>
      <w:r w:rsidRPr="000F48AC">
        <w:rPr>
          <w:rFonts w:cs="Arial"/>
          <w:b/>
          <w:lang w:val="es-ES_tradnl"/>
        </w:rPr>
        <w:t xml:space="preserve">EN SESION DE FECHA </w:t>
      </w:r>
      <w:r>
        <w:rPr>
          <w:rFonts w:cs="Arial"/>
          <w:b/>
          <w:lang w:val="es-ES_tradnl"/>
        </w:rPr>
        <w:t>8 DE MAYO DE 2019</w:t>
      </w:r>
    </w:p>
    <w:p w:rsidR="00757556" w:rsidRDefault="00757556" w:rsidP="00757556">
      <w:pPr>
        <w:tabs>
          <w:tab w:val="center" w:pos="4253"/>
        </w:tabs>
        <w:suppressAutoHyphens/>
        <w:spacing w:line="360" w:lineRule="auto"/>
        <w:jc w:val="center"/>
        <w:rPr>
          <w:rFonts w:cs="Arial"/>
          <w:b/>
        </w:rPr>
      </w:pPr>
      <w:r w:rsidRPr="00BB4DEC">
        <w:rPr>
          <w:rFonts w:cs="Arial"/>
          <w:b/>
        </w:rPr>
        <w:t>(E.</w:t>
      </w:r>
      <w:r>
        <w:rPr>
          <w:rFonts w:cs="Arial"/>
          <w:b/>
        </w:rPr>
        <w:t xml:space="preserve"> E. Nº 201</w:t>
      </w:r>
      <w:r>
        <w:rPr>
          <w:rFonts w:cs="Arial"/>
          <w:b/>
        </w:rPr>
        <w:t>8</w:t>
      </w:r>
      <w:r>
        <w:rPr>
          <w:rFonts w:cs="Arial"/>
          <w:b/>
        </w:rPr>
        <w:t>-17-1-000</w:t>
      </w:r>
      <w:r>
        <w:rPr>
          <w:rFonts w:cs="Arial"/>
          <w:b/>
        </w:rPr>
        <w:t>4698</w:t>
      </w:r>
      <w:r>
        <w:rPr>
          <w:rFonts w:cs="Arial"/>
          <w:b/>
        </w:rPr>
        <w:t xml:space="preserve">, </w:t>
      </w:r>
      <w:proofErr w:type="spellStart"/>
      <w:r>
        <w:rPr>
          <w:rFonts w:cs="Arial"/>
          <w:b/>
        </w:rPr>
        <w:t>Ent</w:t>
      </w:r>
      <w:proofErr w:type="spellEnd"/>
      <w:r>
        <w:rPr>
          <w:rFonts w:cs="Arial"/>
          <w:b/>
        </w:rPr>
        <w:t xml:space="preserve">. N° </w:t>
      </w:r>
      <w:r>
        <w:rPr>
          <w:rFonts w:cs="Arial"/>
          <w:b/>
        </w:rPr>
        <w:t>1469</w:t>
      </w:r>
      <w:r>
        <w:rPr>
          <w:rFonts w:cs="Arial"/>
          <w:b/>
        </w:rPr>
        <w:t>/19</w:t>
      </w:r>
      <w:r w:rsidRPr="00BB4DEC">
        <w:rPr>
          <w:rFonts w:cs="Arial"/>
          <w:b/>
        </w:rPr>
        <w:t>)</w:t>
      </w:r>
    </w:p>
    <w:p w:rsidR="00757556" w:rsidRPr="00BB4DEC" w:rsidRDefault="00757556" w:rsidP="00757556">
      <w:pPr>
        <w:tabs>
          <w:tab w:val="center" w:pos="4253"/>
        </w:tabs>
        <w:suppressAutoHyphens/>
        <w:spacing w:line="360" w:lineRule="auto"/>
        <w:jc w:val="center"/>
        <w:rPr>
          <w:rFonts w:cs="Arial"/>
          <w:b/>
        </w:rPr>
      </w:pPr>
    </w:p>
    <w:p w:rsidR="00F0277E" w:rsidRDefault="00F0277E" w:rsidP="00757556">
      <w:pPr>
        <w:spacing w:line="360" w:lineRule="auto"/>
        <w:ind w:firstLine="851"/>
        <w:jc w:val="both"/>
      </w:pPr>
      <w:r>
        <w:rPr>
          <w:b/>
          <w:bCs/>
        </w:rPr>
        <w:t>VISTO</w:t>
      </w:r>
      <w:r w:rsidR="008641D5">
        <w:rPr>
          <w:b/>
          <w:bCs/>
        </w:rPr>
        <w:t>:</w:t>
      </w:r>
      <w:r>
        <w:t xml:space="preserve"> estas actuaciones remitidas por el </w:t>
      </w:r>
      <w:r w:rsidR="00C43612">
        <w:t>Banco de Previsión Social (BPS)</w:t>
      </w:r>
      <w:r w:rsidR="00822078">
        <w:t>, relacio</w:t>
      </w:r>
      <w:r w:rsidR="00C43612">
        <w:t>nadas con la modificación de los convenios suscri</w:t>
      </w:r>
      <w:r w:rsidR="008641D5">
        <w:t>tos</w:t>
      </w:r>
      <w:r w:rsidR="00C43612">
        <w:t xml:space="preserve"> con Instituciones de Intermediación Financiera (IEDES)</w:t>
      </w:r>
      <w:r>
        <w:t xml:space="preserve">; </w:t>
      </w:r>
    </w:p>
    <w:p w:rsidR="00393810" w:rsidRDefault="00F0277E" w:rsidP="00757556">
      <w:pPr>
        <w:tabs>
          <w:tab w:val="left" w:pos="1843"/>
        </w:tabs>
        <w:spacing w:line="360" w:lineRule="auto"/>
        <w:ind w:firstLine="851"/>
        <w:jc w:val="both"/>
        <w:rPr>
          <w:bCs/>
        </w:rPr>
      </w:pPr>
      <w:r>
        <w:rPr>
          <w:b/>
          <w:bCs/>
        </w:rPr>
        <w:t xml:space="preserve">RESULTANDO: 1) </w:t>
      </w:r>
      <w:r>
        <w:rPr>
          <w:bCs/>
        </w:rPr>
        <w:t>que</w:t>
      </w:r>
      <w:r w:rsidR="00D15DF5">
        <w:rPr>
          <w:bCs/>
        </w:rPr>
        <w:t xml:space="preserve"> el BPS suscribió </w:t>
      </w:r>
      <w:r w:rsidR="00A556CE">
        <w:rPr>
          <w:bCs/>
        </w:rPr>
        <w:t xml:space="preserve">sendos </w:t>
      </w:r>
      <w:r w:rsidR="00C43612">
        <w:rPr>
          <w:bCs/>
        </w:rPr>
        <w:t xml:space="preserve">convenios </w:t>
      </w:r>
      <w:r w:rsidR="00D15DF5" w:rsidRPr="00D15DF5">
        <w:rPr>
          <w:bCs/>
        </w:rPr>
        <w:t xml:space="preserve">con Instituciones de Intermediación Financiera </w:t>
      </w:r>
      <w:r w:rsidR="00C43612">
        <w:rPr>
          <w:bCs/>
        </w:rPr>
        <w:t>a los efectos d</w:t>
      </w:r>
      <w:r w:rsidR="00D15DF5">
        <w:rPr>
          <w:bCs/>
        </w:rPr>
        <w:t>e regular lo dispuesto por la L</w:t>
      </w:r>
      <w:r w:rsidR="00C43612">
        <w:rPr>
          <w:bCs/>
        </w:rPr>
        <w:t xml:space="preserve">ey </w:t>
      </w:r>
      <w:r w:rsidR="00D15DF5">
        <w:rPr>
          <w:bCs/>
        </w:rPr>
        <w:t xml:space="preserve">Nº </w:t>
      </w:r>
      <w:r w:rsidR="00C43612">
        <w:rPr>
          <w:bCs/>
        </w:rPr>
        <w:t xml:space="preserve">19.210 de </w:t>
      </w:r>
      <w:r w:rsidR="000E233B">
        <w:rPr>
          <w:bCs/>
        </w:rPr>
        <w:t>29/04/2014 y</w:t>
      </w:r>
      <w:r w:rsidR="00D15DF5">
        <w:rPr>
          <w:bCs/>
        </w:rPr>
        <w:t xml:space="preserve"> </w:t>
      </w:r>
      <w:r w:rsidR="000E233B">
        <w:rPr>
          <w:bCs/>
        </w:rPr>
        <w:t xml:space="preserve">el Decreto </w:t>
      </w:r>
      <w:r w:rsidR="00D15DF5">
        <w:rPr>
          <w:bCs/>
        </w:rPr>
        <w:t xml:space="preserve">Nº </w:t>
      </w:r>
      <w:r w:rsidR="000E233B">
        <w:rPr>
          <w:bCs/>
        </w:rPr>
        <w:t>263/2015 de 28/09/2015</w:t>
      </w:r>
      <w:r w:rsidR="00D15DF5">
        <w:rPr>
          <w:bCs/>
        </w:rPr>
        <w:t>, que tienen por</w:t>
      </w:r>
      <w:r w:rsidR="00684797">
        <w:rPr>
          <w:bCs/>
        </w:rPr>
        <w:t xml:space="preserve"> objeto el pago de jubilaciones y pensiones anteriores al 1/11/2015 y beneficios sociales u otras prestacio</w:t>
      </w:r>
      <w:r w:rsidR="00D15DF5">
        <w:rPr>
          <w:bCs/>
        </w:rPr>
        <w:t>nes anteriores al 1/01/2018, a quienes</w:t>
      </w:r>
      <w:r w:rsidR="00684797">
        <w:rPr>
          <w:bCs/>
        </w:rPr>
        <w:t xml:space="preserve"> voluntariamente hubieran optado por incorporarse al sistema de pagos previsto en la normativa citada</w:t>
      </w:r>
      <w:r w:rsidR="00393810">
        <w:rPr>
          <w:bCs/>
        </w:rPr>
        <w:t xml:space="preserve">; </w:t>
      </w:r>
    </w:p>
    <w:p w:rsidR="00757556" w:rsidRDefault="00F0277E" w:rsidP="00757556">
      <w:pPr>
        <w:tabs>
          <w:tab w:val="left" w:pos="1843"/>
        </w:tabs>
        <w:spacing w:line="360" w:lineRule="auto"/>
        <w:ind w:firstLine="2835"/>
        <w:jc w:val="both"/>
        <w:rPr>
          <w:bCs/>
        </w:rPr>
      </w:pPr>
      <w:r w:rsidRPr="00776C03">
        <w:rPr>
          <w:b/>
          <w:bCs/>
        </w:rPr>
        <w:t>2)</w:t>
      </w:r>
      <w:r>
        <w:rPr>
          <w:bCs/>
        </w:rPr>
        <w:t xml:space="preserve"> </w:t>
      </w:r>
      <w:r w:rsidR="00894D34" w:rsidRPr="00D479E4">
        <w:rPr>
          <w:bCs/>
        </w:rPr>
        <w:t>que</w:t>
      </w:r>
      <w:r w:rsidR="00894D34">
        <w:rPr>
          <w:bCs/>
        </w:rPr>
        <w:t xml:space="preserve"> </w:t>
      </w:r>
      <w:r w:rsidR="00D15DF5">
        <w:rPr>
          <w:bCs/>
        </w:rPr>
        <w:t>el Directorio del BPS por R</w:t>
      </w:r>
      <w:r w:rsidR="00DC75EA">
        <w:rPr>
          <w:bCs/>
        </w:rPr>
        <w:t>esolución de fecha 4/7/18, aprobó la modificación de los convenios celebrados con instituciones emisoras de dinero electrónico</w:t>
      </w:r>
      <w:r w:rsidR="00D15DF5">
        <w:rPr>
          <w:bCs/>
        </w:rPr>
        <w:t>,</w:t>
      </w:r>
      <w:r w:rsidR="00DC75EA">
        <w:rPr>
          <w:bCs/>
        </w:rPr>
        <w:t xml:space="preserve"> y </w:t>
      </w:r>
      <w:r w:rsidR="00894D34">
        <w:rPr>
          <w:bCs/>
        </w:rPr>
        <w:t xml:space="preserve">este Tribunal, por Resolución N° 2433/18 de fecha 25 de julio de 2018, acordó no formular observaciones a </w:t>
      </w:r>
      <w:r w:rsidR="00DC75EA">
        <w:rPr>
          <w:bCs/>
        </w:rPr>
        <w:t>dichas</w:t>
      </w:r>
      <w:r w:rsidR="00894D34">
        <w:rPr>
          <w:bCs/>
        </w:rPr>
        <w:t xml:space="preserve"> modificaciones</w:t>
      </w:r>
      <w:r w:rsidR="00DC75EA">
        <w:rPr>
          <w:bCs/>
        </w:rPr>
        <w:t>,</w:t>
      </w:r>
      <w:r w:rsidR="00894D34">
        <w:rPr>
          <w:bCs/>
        </w:rPr>
        <w:t xml:space="preserve"> cometiendo al contador Delegado en el BPS la in</w:t>
      </w:r>
      <w:r w:rsidR="00D15DF5">
        <w:rPr>
          <w:bCs/>
        </w:rPr>
        <w:t xml:space="preserve">tervención del gasto estimado en la suma de </w:t>
      </w:r>
      <w:r w:rsidR="00894D34">
        <w:rPr>
          <w:bCs/>
        </w:rPr>
        <w:t xml:space="preserve"> $ 59.267.301;</w:t>
      </w:r>
    </w:p>
    <w:p w:rsidR="00757556" w:rsidRDefault="00894D34" w:rsidP="00757556">
      <w:pPr>
        <w:tabs>
          <w:tab w:val="left" w:pos="1843"/>
        </w:tabs>
        <w:spacing w:line="360" w:lineRule="auto"/>
        <w:ind w:firstLine="2835"/>
        <w:jc w:val="both"/>
        <w:rPr>
          <w:bCs/>
        </w:rPr>
      </w:pPr>
      <w:r>
        <w:rPr>
          <w:b/>
          <w:bCs/>
        </w:rPr>
        <w:t>3</w:t>
      </w:r>
      <w:r w:rsidR="008641D5">
        <w:rPr>
          <w:b/>
          <w:bCs/>
        </w:rPr>
        <w:t xml:space="preserve">) </w:t>
      </w:r>
      <w:r w:rsidR="008641D5">
        <w:rPr>
          <w:bCs/>
        </w:rPr>
        <w:t xml:space="preserve">que </w:t>
      </w:r>
      <w:r>
        <w:rPr>
          <w:bCs/>
        </w:rPr>
        <w:t>remitidas</w:t>
      </w:r>
      <w:r w:rsidR="009A1C31">
        <w:rPr>
          <w:bCs/>
        </w:rPr>
        <w:t xml:space="preserve"> posteriormente</w:t>
      </w:r>
      <w:r>
        <w:rPr>
          <w:bCs/>
        </w:rPr>
        <w:t xml:space="preserve"> las nuevas estimaciones</w:t>
      </w:r>
      <w:r w:rsidR="00BE6AA5">
        <w:rPr>
          <w:bCs/>
        </w:rPr>
        <w:t xml:space="preserve"> </w:t>
      </w:r>
      <w:r w:rsidR="00A556CE">
        <w:rPr>
          <w:bCs/>
        </w:rPr>
        <w:t>p</w:t>
      </w:r>
      <w:r w:rsidR="00BE6AA5">
        <w:rPr>
          <w:bCs/>
        </w:rPr>
        <w:t>or lo que resta</w:t>
      </w:r>
      <w:r>
        <w:rPr>
          <w:bCs/>
        </w:rPr>
        <w:t>ba</w:t>
      </w:r>
      <w:r w:rsidR="00BE6AA5">
        <w:rPr>
          <w:bCs/>
        </w:rPr>
        <w:t xml:space="preserve"> del Ejercicio 2018, se </w:t>
      </w:r>
      <w:r w:rsidR="00BA118F">
        <w:rPr>
          <w:bCs/>
        </w:rPr>
        <w:t>cursaron</w:t>
      </w:r>
      <w:r>
        <w:rPr>
          <w:bCs/>
        </w:rPr>
        <w:t xml:space="preserve"> </w:t>
      </w:r>
      <w:r w:rsidR="00A556CE">
        <w:rPr>
          <w:bCs/>
        </w:rPr>
        <w:t>a</w:t>
      </w:r>
      <w:r w:rsidR="00BE6AA5">
        <w:rPr>
          <w:bCs/>
        </w:rPr>
        <w:t xml:space="preserve"> intervención los </w:t>
      </w:r>
      <w:r w:rsidR="0091180E">
        <w:rPr>
          <w:bCs/>
        </w:rPr>
        <w:t xml:space="preserve">ajustes de los </w:t>
      </w:r>
      <w:r w:rsidR="00BE6AA5">
        <w:rPr>
          <w:bCs/>
        </w:rPr>
        <w:t>aumentos correspondientes a</w:t>
      </w:r>
      <w:r w:rsidR="0091180E">
        <w:rPr>
          <w:bCs/>
        </w:rPr>
        <w:t xml:space="preserve"> las firmas</w:t>
      </w:r>
      <w:r w:rsidR="00BE6AA5">
        <w:rPr>
          <w:bCs/>
        </w:rPr>
        <w:t xml:space="preserve"> ECONSTAR SA y a DE ANDA</w:t>
      </w:r>
      <w:r w:rsidR="00A556CE">
        <w:rPr>
          <w:bCs/>
        </w:rPr>
        <w:t>,</w:t>
      </w:r>
      <w:r w:rsidR="00BE6AA5">
        <w:rPr>
          <w:bCs/>
        </w:rPr>
        <w:t xml:space="preserve"> por $ 111.959 y $ 5.050.125 respectivamente</w:t>
      </w:r>
      <w:r w:rsidR="00DC75EA">
        <w:rPr>
          <w:bCs/>
        </w:rPr>
        <w:t>;</w:t>
      </w:r>
      <w:r w:rsidR="009A1C31">
        <w:rPr>
          <w:bCs/>
        </w:rPr>
        <w:t xml:space="preserve"> y este Tribunal por Resolución Nº 3727/18</w:t>
      </w:r>
      <w:r>
        <w:rPr>
          <w:bCs/>
        </w:rPr>
        <w:t xml:space="preserve"> de fecha 5/12/18 acordó </w:t>
      </w:r>
      <w:r w:rsidR="00D15DF5">
        <w:rPr>
          <w:rFonts w:cs="Arial"/>
          <w:lang w:val="es-UY"/>
        </w:rPr>
        <w:t>c</w:t>
      </w:r>
      <w:r>
        <w:rPr>
          <w:rFonts w:cs="Arial"/>
          <w:lang w:val="es-UY"/>
        </w:rPr>
        <w:t>ometer al Contador</w:t>
      </w:r>
      <w:r w:rsidR="009A1C31">
        <w:rPr>
          <w:rFonts w:cs="Arial"/>
          <w:lang w:val="es-UY"/>
        </w:rPr>
        <w:t xml:space="preserve"> Delegado </w:t>
      </w:r>
      <w:r>
        <w:rPr>
          <w:rFonts w:cs="Arial"/>
          <w:lang w:val="es-UY"/>
        </w:rPr>
        <w:t xml:space="preserve"> la intervención del gasto estimado de $ 5.162.084, previo control de su imputación con cargo a grupo adecuado con disponibilidad suficiente; </w:t>
      </w:r>
    </w:p>
    <w:p w:rsidR="00757556" w:rsidRDefault="00894D34" w:rsidP="00757556">
      <w:pPr>
        <w:tabs>
          <w:tab w:val="left" w:pos="1843"/>
        </w:tabs>
        <w:spacing w:line="360" w:lineRule="auto"/>
        <w:ind w:firstLine="2835"/>
        <w:jc w:val="both"/>
        <w:rPr>
          <w:bCs/>
        </w:rPr>
      </w:pPr>
      <w:r w:rsidRPr="0077656C">
        <w:rPr>
          <w:rFonts w:cs="Arial"/>
          <w:b/>
          <w:lang w:val="es-UY"/>
        </w:rPr>
        <w:t>4)</w:t>
      </w:r>
      <w:r w:rsidR="009A1C31">
        <w:rPr>
          <w:rFonts w:cs="Arial"/>
          <w:lang w:val="es-UY"/>
        </w:rPr>
        <w:t xml:space="preserve"> que en la oportunidad se adjunta una</w:t>
      </w:r>
      <w:r>
        <w:rPr>
          <w:rFonts w:cs="Arial"/>
          <w:lang w:val="es-UY"/>
        </w:rPr>
        <w:t xml:space="preserve"> nueva</w:t>
      </w:r>
      <w:r w:rsidR="0077656C">
        <w:rPr>
          <w:rFonts w:cs="Arial"/>
          <w:lang w:val="es-UY"/>
        </w:rPr>
        <w:t xml:space="preserve"> </w:t>
      </w:r>
      <w:r>
        <w:rPr>
          <w:rFonts w:cs="Arial"/>
          <w:lang w:val="es-UY"/>
        </w:rPr>
        <w:t>modificación</w:t>
      </w:r>
      <w:r w:rsidR="00893768">
        <w:rPr>
          <w:rFonts w:cs="Arial"/>
          <w:lang w:val="es-UY"/>
        </w:rPr>
        <w:t xml:space="preserve"> de</w:t>
      </w:r>
      <w:r w:rsidR="009A1C31">
        <w:rPr>
          <w:rFonts w:cs="Arial"/>
          <w:lang w:val="es-UY"/>
        </w:rPr>
        <w:t xml:space="preserve"> los referidos convenios, dando </w:t>
      </w:r>
      <w:r w:rsidR="0077656C">
        <w:rPr>
          <w:rFonts w:cs="Arial"/>
          <w:lang w:val="es-UY"/>
        </w:rPr>
        <w:t xml:space="preserve">nueva redacción a la </w:t>
      </w:r>
      <w:r w:rsidR="009A2320">
        <w:rPr>
          <w:rFonts w:cs="Arial"/>
          <w:lang w:val="es-UY"/>
        </w:rPr>
        <w:t>cláusula</w:t>
      </w:r>
      <w:r w:rsidR="0077656C">
        <w:rPr>
          <w:rFonts w:cs="Arial"/>
          <w:lang w:val="es-UY"/>
        </w:rPr>
        <w:t xml:space="preserve"> segunda </w:t>
      </w:r>
      <w:r w:rsidR="00893768">
        <w:rPr>
          <w:rFonts w:cs="Arial"/>
          <w:lang w:val="es-UY"/>
        </w:rPr>
        <w:t xml:space="preserve">(cuyo </w:t>
      </w:r>
      <w:r w:rsidR="00893768">
        <w:rPr>
          <w:rFonts w:cs="Arial"/>
          <w:lang w:val="es-UY"/>
        </w:rPr>
        <w:lastRenderedPageBreak/>
        <w:t xml:space="preserve">texto fue aprobado </w:t>
      </w:r>
      <w:r w:rsidR="0077656C">
        <w:rPr>
          <w:rFonts w:cs="Arial"/>
          <w:lang w:val="es-UY"/>
        </w:rPr>
        <w:t>el 27/8/18</w:t>
      </w:r>
      <w:r w:rsidR="00893768">
        <w:rPr>
          <w:rFonts w:cs="Arial"/>
          <w:lang w:val="es-UY"/>
        </w:rPr>
        <w:t>):</w:t>
      </w:r>
      <w:r w:rsidR="0077656C">
        <w:rPr>
          <w:rFonts w:cs="Arial"/>
          <w:lang w:val="es-UY"/>
        </w:rPr>
        <w:t xml:space="preserve"> </w:t>
      </w:r>
      <w:r w:rsidR="0077656C" w:rsidRPr="0077656C">
        <w:rPr>
          <w:rFonts w:cs="Arial"/>
          <w:i/>
          <w:lang w:val="es-UY"/>
        </w:rPr>
        <w:t xml:space="preserve">“Por las transacciones de pago de </w:t>
      </w:r>
      <w:r w:rsidR="009A2320" w:rsidRPr="0077656C">
        <w:rPr>
          <w:rFonts w:cs="Arial"/>
          <w:i/>
          <w:lang w:val="es-UY"/>
        </w:rPr>
        <w:t>jubilaciones</w:t>
      </w:r>
      <w:r w:rsidR="0077656C" w:rsidRPr="0077656C">
        <w:rPr>
          <w:rFonts w:cs="Arial"/>
          <w:i/>
          <w:lang w:val="es-UY"/>
        </w:rPr>
        <w:t xml:space="preserve"> y pensiones, anteriores al 1 de noviembre</w:t>
      </w:r>
      <w:r w:rsidR="00757556">
        <w:rPr>
          <w:rFonts w:cs="Arial"/>
          <w:i/>
          <w:lang w:val="es-UY"/>
        </w:rPr>
        <w:t xml:space="preserve"> de 2015,</w:t>
      </w:r>
      <w:r w:rsidR="0077656C" w:rsidRPr="0077656C">
        <w:rPr>
          <w:rFonts w:cs="Arial"/>
          <w:i/>
          <w:lang w:val="es-UY"/>
        </w:rPr>
        <w:t xml:space="preserve"> y beneficios sociales, u otras prestaciones anteriores al 1 de enero de 2018, que voluntariamente hubieran optado </w:t>
      </w:r>
      <w:r w:rsidR="00BA118F">
        <w:rPr>
          <w:rFonts w:cs="Arial"/>
          <w:i/>
          <w:lang w:val="es-UY"/>
        </w:rPr>
        <w:t>por in</w:t>
      </w:r>
      <w:r w:rsidR="0077656C" w:rsidRPr="0077656C">
        <w:rPr>
          <w:rFonts w:cs="Arial"/>
          <w:i/>
          <w:lang w:val="es-UY"/>
        </w:rPr>
        <w:t xml:space="preserve">corporarse al sistema de pago </w:t>
      </w:r>
      <w:r w:rsidR="009A2320" w:rsidRPr="0077656C">
        <w:rPr>
          <w:rFonts w:cs="Arial"/>
          <w:i/>
          <w:lang w:val="es-UY"/>
        </w:rPr>
        <w:t>previsto</w:t>
      </w:r>
      <w:r w:rsidR="0077656C" w:rsidRPr="0077656C">
        <w:rPr>
          <w:rFonts w:cs="Arial"/>
          <w:i/>
          <w:lang w:val="es-UY"/>
        </w:rPr>
        <w:t xml:space="preserve"> en la LIF, el BPS abonará a las instituciones en concepto de comisión, por cada transacción o siguiente: 19,40 UI desde el 1 de marzo de 2019 hasta el 31 de diciembre de 2019, 17,46 UI desde el 1 de enero de 2020 </w:t>
      </w:r>
      <w:r w:rsidR="009A2320" w:rsidRPr="0077656C">
        <w:rPr>
          <w:rFonts w:cs="Arial"/>
          <w:i/>
          <w:lang w:val="es-UY"/>
        </w:rPr>
        <w:t>hasta</w:t>
      </w:r>
      <w:r w:rsidR="0077656C" w:rsidRPr="0077656C">
        <w:rPr>
          <w:rFonts w:cs="Arial"/>
          <w:i/>
          <w:lang w:val="es-UY"/>
        </w:rPr>
        <w:t xml:space="preserve"> el 30 de junio de 2020 y 15,52 UI desde el 1 de julio de 2020 hasta el 31 de diciembre de 2020”</w:t>
      </w:r>
      <w:r w:rsidR="0077656C">
        <w:rPr>
          <w:rFonts w:cs="Arial"/>
          <w:i/>
          <w:lang w:val="es-UY"/>
        </w:rPr>
        <w:t xml:space="preserve">; </w:t>
      </w:r>
    </w:p>
    <w:p w:rsidR="00757556" w:rsidRDefault="0077656C" w:rsidP="00757556">
      <w:pPr>
        <w:tabs>
          <w:tab w:val="left" w:pos="1843"/>
        </w:tabs>
        <w:spacing w:line="360" w:lineRule="auto"/>
        <w:ind w:firstLine="2835"/>
        <w:jc w:val="both"/>
        <w:rPr>
          <w:rFonts w:cs="Arial"/>
          <w:lang w:val="es-UY"/>
        </w:rPr>
      </w:pPr>
      <w:r w:rsidRPr="0077656C">
        <w:rPr>
          <w:rFonts w:cs="Arial"/>
          <w:b/>
          <w:lang w:val="es-UY"/>
        </w:rPr>
        <w:t>5)</w:t>
      </w:r>
      <w:r>
        <w:rPr>
          <w:rFonts w:cs="Arial"/>
          <w:b/>
          <w:lang w:val="es-UY"/>
        </w:rPr>
        <w:t xml:space="preserve"> </w:t>
      </w:r>
      <w:r>
        <w:rPr>
          <w:rFonts w:cs="Arial"/>
          <w:lang w:val="es-UY"/>
        </w:rPr>
        <w:t>que</w:t>
      </w:r>
      <w:r w:rsidR="002075F0">
        <w:rPr>
          <w:rFonts w:cs="Arial"/>
          <w:lang w:val="es-UY"/>
        </w:rPr>
        <w:t xml:space="preserve"> </w:t>
      </w:r>
      <w:r>
        <w:rPr>
          <w:rFonts w:cs="Arial"/>
          <w:lang w:val="es-UY"/>
        </w:rPr>
        <w:t>a</w:t>
      </w:r>
      <w:r w:rsidR="002075F0">
        <w:rPr>
          <w:rFonts w:cs="Arial"/>
          <w:lang w:val="es-UY"/>
        </w:rPr>
        <w:t xml:space="preserve"> </w:t>
      </w:r>
      <w:r>
        <w:rPr>
          <w:rFonts w:cs="Arial"/>
          <w:lang w:val="es-UY"/>
        </w:rPr>
        <w:t>su vez,</w:t>
      </w:r>
      <w:r w:rsidR="00DC75EA">
        <w:rPr>
          <w:rFonts w:cs="Arial"/>
          <w:lang w:val="es-UY"/>
        </w:rPr>
        <w:t xml:space="preserve"> se</w:t>
      </w:r>
      <w:r>
        <w:rPr>
          <w:rFonts w:cs="Arial"/>
          <w:lang w:val="es-UY"/>
        </w:rPr>
        <w:t xml:space="preserve"> agrega</w:t>
      </w:r>
      <w:r w:rsidR="00DC75EA">
        <w:rPr>
          <w:rFonts w:cs="Arial"/>
          <w:lang w:val="es-UY"/>
        </w:rPr>
        <w:t xml:space="preserve"> que, t</w:t>
      </w:r>
      <w:r>
        <w:rPr>
          <w:rFonts w:cs="Arial"/>
          <w:lang w:val="es-UY"/>
        </w:rPr>
        <w:t xml:space="preserve">ranscurrido un año de vigencia de la presente modificación, el BPS podrá </w:t>
      </w:r>
      <w:r w:rsidR="00DC75EA">
        <w:rPr>
          <w:rFonts w:cs="Arial"/>
          <w:lang w:val="es-UY"/>
        </w:rPr>
        <w:t>-</w:t>
      </w:r>
      <w:r>
        <w:rPr>
          <w:rFonts w:cs="Arial"/>
          <w:lang w:val="es-UY"/>
        </w:rPr>
        <w:t>con un preaviso de 120 días</w:t>
      </w:r>
      <w:r w:rsidR="00DC75EA">
        <w:rPr>
          <w:rFonts w:cs="Arial"/>
          <w:lang w:val="es-UY"/>
        </w:rPr>
        <w:t>-</w:t>
      </w:r>
      <w:r w:rsidR="0082013D">
        <w:rPr>
          <w:rFonts w:cs="Arial"/>
          <w:lang w:val="es-UY"/>
        </w:rPr>
        <w:t xml:space="preserve"> </w:t>
      </w:r>
      <w:r>
        <w:rPr>
          <w:rFonts w:cs="Arial"/>
          <w:lang w:val="es-UY"/>
        </w:rPr>
        <w:t xml:space="preserve">comunicar a la otra parte que deja sin efecto la escala de precios </w:t>
      </w:r>
      <w:r w:rsidR="002075F0">
        <w:rPr>
          <w:rFonts w:cs="Arial"/>
          <w:lang w:val="es-UY"/>
        </w:rPr>
        <w:t xml:space="preserve">establecida en la cláusula </w:t>
      </w:r>
      <w:r w:rsidR="00DC75EA">
        <w:rPr>
          <w:rFonts w:cs="Arial"/>
          <w:lang w:val="es-UY"/>
        </w:rPr>
        <w:t>citada en el numeral anterior,</w:t>
      </w:r>
      <w:r w:rsidR="002075F0">
        <w:rPr>
          <w:rFonts w:cs="Arial"/>
          <w:lang w:val="es-UY"/>
        </w:rPr>
        <w:t xml:space="preserve"> abonando en lo sucesivo 7 UI cada cuarenta transacciones</w:t>
      </w:r>
      <w:r w:rsidR="00DC75EA">
        <w:rPr>
          <w:rFonts w:cs="Arial"/>
          <w:lang w:val="es-UY"/>
        </w:rPr>
        <w:t>;</w:t>
      </w:r>
      <w:r w:rsidR="002075F0">
        <w:rPr>
          <w:rFonts w:cs="Arial"/>
          <w:lang w:val="es-UY"/>
        </w:rPr>
        <w:t xml:space="preserve"> </w:t>
      </w:r>
    </w:p>
    <w:p w:rsidR="00A556CE" w:rsidRPr="00A556CE" w:rsidRDefault="002075F0" w:rsidP="00757556">
      <w:pPr>
        <w:tabs>
          <w:tab w:val="left" w:pos="1843"/>
        </w:tabs>
        <w:spacing w:line="360" w:lineRule="auto"/>
        <w:ind w:firstLine="2835"/>
        <w:jc w:val="both"/>
        <w:rPr>
          <w:bCs/>
        </w:rPr>
      </w:pPr>
      <w:r>
        <w:rPr>
          <w:b/>
          <w:bCs/>
        </w:rPr>
        <w:t>6</w:t>
      </w:r>
      <w:r w:rsidR="00163000" w:rsidRPr="00163000">
        <w:rPr>
          <w:b/>
          <w:bCs/>
        </w:rPr>
        <w:t xml:space="preserve">) </w:t>
      </w:r>
      <w:r w:rsidR="00163000">
        <w:rPr>
          <w:bCs/>
        </w:rPr>
        <w:t xml:space="preserve">que </w:t>
      </w:r>
      <w:r>
        <w:rPr>
          <w:bCs/>
        </w:rPr>
        <w:t>consta proyecto de resolución del Directorio del BPS aprobando la modificación de</w:t>
      </w:r>
      <w:r w:rsidR="00893768">
        <w:rPr>
          <w:bCs/>
        </w:rPr>
        <w:t xml:space="preserve"> los convenios, e imputación Nº</w:t>
      </w:r>
      <w:r>
        <w:rPr>
          <w:bCs/>
        </w:rPr>
        <w:t xml:space="preserve"> 1336 por la suma de $ 824.666 (Econstar S.A.)</w:t>
      </w:r>
      <w:r w:rsidR="00893768">
        <w:rPr>
          <w:bCs/>
        </w:rPr>
        <w:t>, Nº</w:t>
      </w:r>
      <w:r w:rsidR="006C360A">
        <w:rPr>
          <w:bCs/>
        </w:rPr>
        <w:t xml:space="preserve"> 13</w:t>
      </w:r>
      <w:r w:rsidR="0080553C">
        <w:rPr>
          <w:bCs/>
        </w:rPr>
        <w:t>80</w:t>
      </w:r>
      <w:r w:rsidR="006C360A">
        <w:rPr>
          <w:bCs/>
        </w:rPr>
        <w:t xml:space="preserve"> por la suma del $ </w:t>
      </w:r>
      <w:r w:rsidR="0080553C">
        <w:rPr>
          <w:bCs/>
        </w:rPr>
        <w:t>109:840.127</w:t>
      </w:r>
      <w:r>
        <w:rPr>
          <w:bCs/>
        </w:rPr>
        <w:t xml:space="preserve"> </w:t>
      </w:r>
      <w:r w:rsidR="006C360A">
        <w:rPr>
          <w:bCs/>
        </w:rPr>
        <w:t xml:space="preserve">(Nummi S.A.), </w:t>
      </w:r>
      <w:r w:rsidR="00893768">
        <w:rPr>
          <w:bCs/>
        </w:rPr>
        <w:t>y Nº</w:t>
      </w:r>
      <w:r>
        <w:rPr>
          <w:bCs/>
        </w:rPr>
        <w:t xml:space="preserve"> 1381 por la suma de $ 2:981.352 (De Anda); </w:t>
      </w:r>
    </w:p>
    <w:p w:rsidR="00757556" w:rsidRDefault="007E7FAB" w:rsidP="00757556">
      <w:pPr>
        <w:tabs>
          <w:tab w:val="left" w:pos="1800"/>
        </w:tabs>
        <w:spacing w:line="360" w:lineRule="auto"/>
        <w:ind w:firstLine="851"/>
        <w:jc w:val="both"/>
        <w:rPr>
          <w:bCs/>
        </w:rPr>
      </w:pPr>
      <w:r>
        <w:rPr>
          <w:b/>
          <w:bCs/>
        </w:rPr>
        <w:t>CONSIDERANDO: 1)</w:t>
      </w:r>
      <w:r w:rsidRPr="00D540F5">
        <w:rPr>
          <w:bCs/>
        </w:rPr>
        <w:t xml:space="preserve"> </w:t>
      </w:r>
      <w:r>
        <w:rPr>
          <w:bCs/>
        </w:rPr>
        <w:t xml:space="preserve">que </w:t>
      </w:r>
      <w:r w:rsidR="00F25367">
        <w:rPr>
          <w:bCs/>
        </w:rPr>
        <w:t>el artículo 24 de la ley Nº</w:t>
      </w:r>
      <w:r w:rsidR="00E83B86">
        <w:rPr>
          <w:bCs/>
        </w:rPr>
        <w:t xml:space="preserve"> 19.210 de fecha 29/4/14, </w:t>
      </w:r>
      <w:r w:rsidR="00F25367">
        <w:rPr>
          <w:bCs/>
        </w:rPr>
        <w:t>en la redacción dad</w:t>
      </w:r>
      <w:r w:rsidR="00F26B2A">
        <w:rPr>
          <w:bCs/>
        </w:rPr>
        <w:t>a por el L</w:t>
      </w:r>
      <w:r w:rsidR="00F25367">
        <w:rPr>
          <w:bCs/>
        </w:rPr>
        <w:t>ey Nº</w:t>
      </w:r>
      <w:r w:rsidR="00F25367" w:rsidRPr="00F25367">
        <w:rPr>
          <w:bCs/>
        </w:rPr>
        <w:t xml:space="preserve"> 19.732 de fecha 28/12/18</w:t>
      </w:r>
      <w:r w:rsidR="00F25367">
        <w:rPr>
          <w:bCs/>
        </w:rPr>
        <w:t xml:space="preserve"> establece</w:t>
      </w:r>
      <w:r w:rsidR="00E83B86">
        <w:rPr>
          <w:bCs/>
        </w:rPr>
        <w:t xml:space="preserve"> que en el caso de los servicios descritos en los artículos 10, 12, </w:t>
      </w:r>
      <w:r w:rsidR="00F25367">
        <w:rPr>
          <w:bCs/>
        </w:rPr>
        <w:t>14, 17 y 19 de dicha norma</w:t>
      </w:r>
      <w:r w:rsidR="00E83B86">
        <w:rPr>
          <w:bCs/>
        </w:rPr>
        <w:t>, la institución que recibe los fondos no podrá cobrar cargo alguno a</w:t>
      </w:r>
      <w:r w:rsidR="00DC75EA">
        <w:rPr>
          <w:bCs/>
        </w:rPr>
        <w:t xml:space="preserve"> </w:t>
      </w:r>
      <w:r w:rsidR="00E83B86">
        <w:rPr>
          <w:bCs/>
        </w:rPr>
        <w:t>ninguna de las partes por la prestación de dichos servicios</w:t>
      </w:r>
      <w:r w:rsidR="006C360A">
        <w:rPr>
          <w:bCs/>
        </w:rPr>
        <w:t>, mientras que en caso de los servicios descri</w:t>
      </w:r>
      <w:r w:rsidR="00DC75EA">
        <w:rPr>
          <w:bCs/>
        </w:rPr>
        <w:t>p</w:t>
      </w:r>
      <w:r w:rsidR="006C360A">
        <w:rPr>
          <w:bCs/>
        </w:rPr>
        <w:t>tos en el artículo 19, el no cobro regirá a partir del 1/1/20</w:t>
      </w:r>
      <w:r w:rsidR="00F25367">
        <w:rPr>
          <w:bCs/>
        </w:rPr>
        <w:t>. En la modificación introducida</w:t>
      </w:r>
      <w:r w:rsidR="00F26B2A">
        <w:rPr>
          <w:bCs/>
        </w:rPr>
        <w:t>,</w:t>
      </w:r>
      <w:r w:rsidR="006C360A" w:rsidRPr="006C360A">
        <w:rPr>
          <w:bCs/>
        </w:rPr>
        <w:t xml:space="preserve"> </w:t>
      </w:r>
      <w:r w:rsidR="00F25367">
        <w:rPr>
          <w:bCs/>
        </w:rPr>
        <w:t>que</w:t>
      </w:r>
      <w:r w:rsidR="00F26B2A">
        <w:rPr>
          <w:bCs/>
        </w:rPr>
        <w:t>daron excluidos de la</w:t>
      </w:r>
      <w:r w:rsidR="00F25367">
        <w:rPr>
          <w:bCs/>
        </w:rPr>
        <w:t xml:space="preserve"> prohibición de cobro,</w:t>
      </w:r>
      <w:r w:rsidR="006C360A" w:rsidRPr="006C360A">
        <w:rPr>
          <w:bCs/>
        </w:rPr>
        <w:t xml:space="preserve"> los servicios previstos en el artículo 15</w:t>
      </w:r>
      <w:proofErr w:type="gramStart"/>
      <w:r w:rsidR="00F26B2A">
        <w:rPr>
          <w:bCs/>
        </w:rPr>
        <w:t xml:space="preserve">: el </w:t>
      </w:r>
      <w:r w:rsidR="006C360A" w:rsidRPr="006C360A">
        <w:rPr>
          <w:bCs/>
        </w:rPr>
        <w:t>pagos de jub</w:t>
      </w:r>
      <w:r w:rsidR="00F26B2A">
        <w:rPr>
          <w:bCs/>
        </w:rPr>
        <w:t xml:space="preserve">ilaciones, </w:t>
      </w:r>
      <w:proofErr w:type="gramEnd"/>
      <w:r w:rsidR="00F26B2A">
        <w:rPr>
          <w:bCs/>
        </w:rPr>
        <w:t xml:space="preserve"> pensiones y retiros</w:t>
      </w:r>
      <w:r w:rsidR="006C360A" w:rsidRPr="006C360A">
        <w:rPr>
          <w:bCs/>
        </w:rPr>
        <w:t xml:space="preserve">; </w:t>
      </w:r>
    </w:p>
    <w:p w:rsidR="00757556" w:rsidRDefault="00757556" w:rsidP="00757556">
      <w:pPr>
        <w:tabs>
          <w:tab w:val="left" w:pos="1800"/>
        </w:tabs>
        <w:spacing w:line="360" w:lineRule="auto"/>
        <w:ind w:firstLine="2977"/>
        <w:jc w:val="both"/>
        <w:rPr>
          <w:b/>
          <w:bCs/>
        </w:rPr>
      </w:pPr>
      <w:r>
        <w:rPr>
          <w:bCs/>
        </w:rPr>
        <w:t xml:space="preserve"> </w:t>
      </w:r>
      <w:r w:rsidR="00DC75EA">
        <w:rPr>
          <w:b/>
          <w:bCs/>
        </w:rPr>
        <w:t>2</w:t>
      </w:r>
      <w:r w:rsidR="006C360A">
        <w:rPr>
          <w:b/>
          <w:bCs/>
        </w:rPr>
        <w:t>)</w:t>
      </w:r>
      <w:r w:rsidR="006C360A" w:rsidRPr="006C360A">
        <w:rPr>
          <w:bCs/>
        </w:rPr>
        <w:t xml:space="preserve"> </w:t>
      </w:r>
      <w:r w:rsidR="00F26B2A">
        <w:rPr>
          <w:bCs/>
        </w:rPr>
        <w:t xml:space="preserve">que el artículo 15 del Decreto Nº </w:t>
      </w:r>
      <w:r w:rsidR="00BA118F" w:rsidRPr="00BA118F">
        <w:rPr>
          <w:bCs/>
        </w:rPr>
        <w:t xml:space="preserve"> 263/2015 del 28/9/15, dispone que:</w:t>
      </w:r>
      <w:r w:rsidR="00BA118F" w:rsidRPr="00BA118F">
        <w:rPr>
          <w:bCs/>
          <w:i/>
        </w:rPr>
        <w:t xml:space="preserve"> “</w:t>
      </w:r>
      <w:r w:rsidR="00DC75EA">
        <w:rPr>
          <w:bCs/>
          <w:i/>
        </w:rPr>
        <w:t>…</w:t>
      </w:r>
      <w:r w:rsidR="00BA118F" w:rsidRPr="00BA118F">
        <w:rPr>
          <w:bCs/>
          <w:i/>
        </w:rPr>
        <w:t xml:space="preserve">las instituciones de intermediación financiera y las </w:t>
      </w:r>
      <w:r w:rsidR="009A2320" w:rsidRPr="00BA118F">
        <w:rPr>
          <w:bCs/>
          <w:i/>
        </w:rPr>
        <w:t>instituciones</w:t>
      </w:r>
      <w:r w:rsidR="00BA118F" w:rsidRPr="00BA118F">
        <w:rPr>
          <w:bCs/>
          <w:i/>
        </w:rPr>
        <w:t xml:space="preserve"> emisoras de dinero electrónico locales que ofrezcan los servicios de pago descritos en los artículos 1 a 5 del presen</w:t>
      </w:r>
      <w:r>
        <w:rPr>
          <w:bCs/>
          <w:i/>
        </w:rPr>
        <w:t>te Decreto,</w:t>
      </w:r>
      <w:r w:rsidR="00BA118F" w:rsidRPr="00BA118F">
        <w:rPr>
          <w:bCs/>
          <w:i/>
        </w:rPr>
        <w:t xml:space="preserve"> tendrán la obligación de brindar los servicios básicos mínimos que se establecen en el </w:t>
      </w:r>
      <w:r w:rsidR="00BA118F" w:rsidRPr="00BA118F">
        <w:rPr>
          <w:bCs/>
          <w:i/>
        </w:rPr>
        <w:lastRenderedPageBreak/>
        <w:t>artículo siguiente a todos los trabajadores, pasivos y beneficiarios que reciban dichos pagos. La institución seleccionada no podrá cobrar cargo alguno a ninguna de las partes por la prestación de tales servicios, con excepción de las pasividades y beneficios referidos en el artículo 3 del presente Decreto, en los que podrá establecer cargos al Instituto de Seguridad Social o Compañía de Seguros”</w:t>
      </w:r>
      <w:r w:rsidR="00BA118F" w:rsidRPr="00BA118F">
        <w:rPr>
          <w:bCs/>
        </w:rPr>
        <w:t xml:space="preserve">;   </w:t>
      </w:r>
    </w:p>
    <w:p w:rsidR="00757556" w:rsidRDefault="00757556" w:rsidP="00757556">
      <w:pPr>
        <w:tabs>
          <w:tab w:val="left" w:pos="1800"/>
        </w:tabs>
        <w:spacing w:line="360" w:lineRule="auto"/>
        <w:ind w:firstLine="2977"/>
        <w:jc w:val="both"/>
        <w:rPr>
          <w:bCs/>
        </w:rPr>
      </w:pPr>
      <w:r>
        <w:rPr>
          <w:b/>
          <w:bCs/>
        </w:rPr>
        <w:t xml:space="preserve"> </w:t>
      </w:r>
      <w:r w:rsidR="00DC75EA">
        <w:rPr>
          <w:b/>
          <w:bCs/>
          <w:lang w:val="es-MX"/>
        </w:rPr>
        <w:t>3</w:t>
      </w:r>
      <w:r w:rsidR="00BA118F" w:rsidRPr="00BA118F">
        <w:rPr>
          <w:b/>
          <w:bCs/>
          <w:lang w:val="es-MX"/>
        </w:rPr>
        <w:t xml:space="preserve">) </w:t>
      </w:r>
      <w:r w:rsidR="006C360A" w:rsidRPr="006C360A">
        <w:rPr>
          <w:bCs/>
        </w:rPr>
        <w:t xml:space="preserve">que </w:t>
      </w:r>
      <w:r w:rsidR="00F26B2A">
        <w:rPr>
          <w:bCs/>
        </w:rPr>
        <w:t xml:space="preserve">en </w:t>
      </w:r>
      <w:r w:rsidR="006C360A">
        <w:rPr>
          <w:bCs/>
        </w:rPr>
        <w:t>consecuencia</w:t>
      </w:r>
      <w:r w:rsidR="00F26B2A">
        <w:rPr>
          <w:bCs/>
        </w:rPr>
        <w:t xml:space="preserve">, se procedió a </w:t>
      </w:r>
      <w:r w:rsidR="006C360A">
        <w:rPr>
          <w:bCs/>
        </w:rPr>
        <w:t>modif</w:t>
      </w:r>
      <w:r w:rsidR="00F26B2A">
        <w:rPr>
          <w:bCs/>
        </w:rPr>
        <w:t xml:space="preserve">icar  </w:t>
      </w:r>
      <w:r w:rsidR="006C360A">
        <w:rPr>
          <w:bCs/>
        </w:rPr>
        <w:t>la cl</w:t>
      </w:r>
      <w:r w:rsidR="00BA118F">
        <w:rPr>
          <w:bCs/>
        </w:rPr>
        <w:t>á</w:t>
      </w:r>
      <w:r w:rsidR="006C360A">
        <w:rPr>
          <w:bCs/>
        </w:rPr>
        <w:t>usula de</w:t>
      </w:r>
      <w:r w:rsidR="0082013D">
        <w:rPr>
          <w:bCs/>
        </w:rPr>
        <w:t xml:space="preserve"> </w:t>
      </w:r>
      <w:r w:rsidR="00F26B2A">
        <w:rPr>
          <w:bCs/>
        </w:rPr>
        <w:t>pago prevista en los convenios suscritos</w:t>
      </w:r>
      <w:r w:rsidR="006C360A">
        <w:rPr>
          <w:bCs/>
        </w:rPr>
        <w:t xml:space="preserve">; </w:t>
      </w:r>
    </w:p>
    <w:p w:rsidR="00E83860" w:rsidRPr="00757556" w:rsidRDefault="00757556" w:rsidP="00757556">
      <w:pPr>
        <w:tabs>
          <w:tab w:val="left" w:pos="1800"/>
        </w:tabs>
        <w:spacing w:line="360" w:lineRule="auto"/>
        <w:ind w:firstLine="2977"/>
        <w:jc w:val="both"/>
        <w:rPr>
          <w:b/>
          <w:bCs/>
        </w:rPr>
      </w:pPr>
      <w:r>
        <w:rPr>
          <w:bCs/>
        </w:rPr>
        <w:t xml:space="preserve"> </w:t>
      </w:r>
      <w:r w:rsidR="00DC75EA">
        <w:rPr>
          <w:b/>
          <w:bCs/>
        </w:rPr>
        <w:t>4</w:t>
      </w:r>
      <w:r w:rsidR="00BA118F">
        <w:rPr>
          <w:b/>
          <w:bCs/>
        </w:rPr>
        <w:t xml:space="preserve">) </w:t>
      </w:r>
      <w:r w:rsidR="00E83860">
        <w:t xml:space="preserve">que </w:t>
      </w:r>
      <w:r w:rsidR="00F41DF1">
        <w:t>el gasto sometido en la oportunidad a consideración de este Tribunal corresponde</w:t>
      </w:r>
      <w:r w:rsidR="00F26B2A">
        <w:t xml:space="preserve"> a las</w:t>
      </w:r>
      <w:r w:rsidR="00CD6D13">
        <w:t xml:space="preserve"> nuevas estimaciones para el </w:t>
      </w:r>
      <w:r w:rsidR="009A2320">
        <w:t>ejercicio</w:t>
      </w:r>
      <w:r w:rsidR="00CD6D13">
        <w:t xml:space="preserve"> 201</w:t>
      </w:r>
      <w:r w:rsidR="006C360A">
        <w:t>9</w:t>
      </w:r>
      <w:r w:rsidR="00CD6D13">
        <w:t xml:space="preserve"> </w:t>
      </w:r>
      <w:r w:rsidR="00A556CE">
        <w:rPr>
          <w:bCs/>
        </w:rPr>
        <w:t>derivados de</w:t>
      </w:r>
      <w:r w:rsidR="00CD6D13">
        <w:t xml:space="preserve"> la</w:t>
      </w:r>
      <w:r w:rsidR="00E97BA9">
        <w:t xml:space="preserve"> modificación de los convenios re</w:t>
      </w:r>
      <w:r w:rsidR="00F26B2A">
        <w:t xml:space="preserve">spectivos </w:t>
      </w:r>
      <w:r w:rsidR="00F41DF1">
        <w:t>(</w:t>
      </w:r>
      <w:r w:rsidR="00F26B2A">
        <w:t xml:space="preserve">asignados a </w:t>
      </w:r>
      <w:r w:rsidR="00F26B2A" w:rsidRPr="00F26B2A">
        <w:t xml:space="preserve"> las empresas </w:t>
      </w:r>
      <w:r w:rsidR="00F26B2A" w:rsidRPr="00F26B2A">
        <w:rPr>
          <w:bCs/>
        </w:rPr>
        <w:t>ECONSTAR S.A., NUMMI S.A. y DE ANDA</w:t>
      </w:r>
      <w:r w:rsidR="00F41DF1">
        <w:rPr>
          <w:bCs/>
        </w:rPr>
        <w:t>)</w:t>
      </w:r>
      <w:r w:rsidR="00F26B2A" w:rsidRPr="00F26B2A">
        <w:rPr>
          <w:bCs/>
        </w:rPr>
        <w:t>,</w:t>
      </w:r>
      <w:r w:rsidR="00E97BA9">
        <w:t xml:space="preserve"> se ajusta a la normativa citada</w:t>
      </w:r>
      <w:r w:rsidR="00E83860">
        <w:t>;</w:t>
      </w:r>
      <w:r w:rsidR="00E83860">
        <w:rPr>
          <w:b/>
        </w:rPr>
        <w:t xml:space="preserve">                          </w:t>
      </w:r>
    </w:p>
    <w:p w:rsidR="00446D5A" w:rsidRDefault="00F0277E" w:rsidP="007F398E">
      <w:pPr>
        <w:spacing w:line="360" w:lineRule="auto"/>
        <w:ind w:firstLine="851"/>
        <w:jc w:val="both"/>
        <w:rPr>
          <w:b/>
          <w:bCs/>
        </w:rPr>
      </w:pPr>
      <w:r>
        <w:rPr>
          <w:b/>
        </w:rPr>
        <w:t>A</w:t>
      </w:r>
      <w:r>
        <w:rPr>
          <w:rFonts w:cs="Arial"/>
          <w:b/>
          <w:bCs/>
        </w:rPr>
        <w:t>TENTO:</w:t>
      </w:r>
      <w:r>
        <w:rPr>
          <w:rFonts w:cs="Arial"/>
        </w:rPr>
        <w:t xml:space="preserve"> a lo expuesto precedentemente y a lo dispuesto por el art. 211 </w:t>
      </w:r>
      <w:r w:rsidR="009A2320">
        <w:rPr>
          <w:rFonts w:cs="Arial"/>
        </w:rPr>
        <w:t>literal</w:t>
      </w:r>
      <w:r>
        <w:rPr>
          <w:rFonts w:cs="Arial"/>
        </w:rPr>
        <w:t xml:space="preserve"> B) de la Constitución</w:t>
      </w:r>
      <w:r w:rsidR="007F398E">
        <w:rPr>
          <w:rFonts w:cs="Arial"/>
        </w:rPr>
        <w:t xml:space="preserve"> de la República;</w:t>
      </w:r>
    </w:p>
    <w:p w:rsidR="00F0277E" w:rsidRPr="007F398E" w:rsidRDefault="00BC48D4" w:rsidP="00F0277E">
      <w:pPr>
        <w:spacing w:line="360" w:lineRule="auto"/>
        <w:ind w:firstLine="708"/>
        <w:jc w:val="center"/>
        <w:rPr>
          <w:b/>
          <w:bCs/>
        </w:rPr>
      </w:pPr>
      <w:r w:rsidRPr="007F398E">
        <w:rPr>
          <w:b/>
          <w:bCs/>
        </w:rPr>
        <w:t>EL TRIBUNAL ACUERDA</w:t>
      </w:r>
    </w:p>
    <w:p w:rsidR="00F0277E" w:rsidRDefault="007F398E" w:rsidP="007F398E">
      <w:pPr>
        <w:spacing w:line="360" w:lineRule="auto"/>
        <w:jc w:val="both"/>
      </w:pPr>
      <w:r w:rsidRPr="007F398E">
        <w:rPr>
          <w:rFonts w:cs="Arial"/>
          <w:b/>
          <w:lang w:val="es-UY"/>
        </w:rPr>
        <w:t>1)</w:t>
      </w:r>
      <w:r>
        <w:rPr>
          <w:rFonts w:cs="Arial"/>
          <w:lang w:val="es-UY"/>
        </w:rPr>
        <w:t xml:space="preserve"> No formular</w:t>
      </w:r>
      <w:r w:rsidR="00F26B2A">
        <w:rPr>
          <w:rFonts w:cs="Arial"/>
          <w:lang w:val="es-UY"/>
        </w:rPr>
        <w:t xml:space="preserve"> observaciones. Dictada la Resolución por el ordenador competente se comete al Contador Delegado ante</w:t>
      </w:r>
      <w:r w:rsidR="00E97BA9">
        <w:rPr>
          <w:rFonts w:cs="Arial"/>
          <w:lang w:val="es-UY"/>
        </w:rPr>
        <w:t xml:space="preserve"> </w:t>
      </w:r>
      <w:r w:rsidR="00A556CE">
        <w:rPr>
          <w:rFonts w:cs="Arial"/>
          <w:lang w:val="es-UY"/>
        </w:rPr>
        <w:t xml:space="preserve">el </w:t>
      </w:r>
      <w:r w:rsidR="00E97BA9">
        <w:rPr>
          <w:rFonts w:cs="Arial"/>
          <w:lang w:val="es-UY"/>
        </w:rPr>
        <w:t xml:space="preserve">BPS la intervención del gasto estimado de $ </w:t>
      </w:r>
      <w:r w:rsidR="00BA118F">
        <w:rPr>
          <w:rFonts w:cs="Arial"/>
          <w:lang w:val="es-UY"/>
        </w:rPr>
        <w:t>11</w:t>
      </w:r>
      <w:r w:rsidR="00E83B86">
        <w:rPr>
          <w:rFonts w:cs="Arial"/>
          <w:lang w:val="es-UY"/>
        </w:rPr>
        <w:t>3:</w:t>
      </w:r>
      <w:r w:rsidR="00BA118F">
        <w:rPr>
          <w:rFonts w:cs="Arial"/>
          <w:lang w:val="es-UY"/>
        </w:rPr>
        <w:t>646.145</w:t>
      </w:r>
      <w:r w:rsidR="00CD6D13">
        <w:rPr>
          <w:rFonts w:cs="Arial"/>
          <w:lang w:val="es-UY"/>
        </w:rPr>
        <w:t>,</w:t>
      </w:r>
      <w:r w:rsidR="00163000">
        <w:rPr>
          <w:rFonts w:cs="Arial"/>
          <w:lang w:val="es-UY"/>
        </w:rPr>
        <w:t xml:space="preserve"> previo control de su imputación con cargo a grupo adecuado con disponibilidad suficiente</w:t>
      </w:r>
      <w:r w:rsidR="00F26B2A">
        <w:rPr>
          <w:rFonts w:cs="Arial"/>
          <w:lang w:val="es-UY"/>
        </w:rPr>
        <w:t xml:space="preserve"> y de que la Resolución dispuesta se ajuste a las condiciones oportunamente remitidas a consideración de este Tribunal </w:t>
      </w:r>
      <w:r w:rsidR="00F26B2A" w:rsidRPr="00F26B2A">
        <w:rPr>
          <w:rFonts w:cs="Arial"/>
        </w:rPr>
        <w:t>(Artículo 8 de la Ordenanza Nº 27 de 22 de mayo de 1968 en la redacción dispuesta por la Resolució</w:t>
      </w:r>
      <w:r>
        <w:rPr>
          <w:rFonts w:cs="Arial"/>
        </w:rPr>
        <w:t>n de fecha 16 de junio de 2010)</w:t>
      </w:r>
      <w:r w:rsidR="00F0277E">
        <w:t>;</w:t>
      </w:r>
    </w:p>
    <w:p w:rsidR="00F0277E" w:rsidRDefault="007F398E" w:rsidP="007F398E">
      <w:pPr>
        <w:spacing w:line="360" w:lineRule="auto"/>
        <w:jc w:val="both"/>
      </w:pPr>
      <w:r>
        <w:rPr>
          <w:b/>
        </w:rPr>
        <w:t xml:space="preserve">2) </w:t>
      </w:r>
      <w:r w:rsidR="00F0277E">
        <w:t xml:space="preserve">Comunicar al Contador </w:t>
      </w:r>
      <w:r w:rsidR="00163000">
        <w:t>Delgado</w:t>
      </w:r>
      <w:r w:rsidR="00F0277E">
        <w:t>;</w:t>
      </w:r>
    </w:p>
    <w:p w:rsidR="00F0277E" w:rsidRDefault="007F398E" w:rsidP="007F398E">
      <w:pPr>
        <w:spacing w:line="360" w:lineRule="auto"/>
      </w:pPr>
      <w:r>
        <w:rPr>
          <w:b/>
        </w:rPr>
        <w:t xml:space="preserve">3) </w:t>
      </w:r>
      <w:r>
        <w:t>Devolver los antecedentes.</w:t>
      </w:r>
      <w:bookmarkStart w:id="0" w:name="_GoBack"/>
      <w:bookmarkEnd w:id="0"/>
    </w:p>
    <w:p w:rsidR="00F0277E" w:rsidRDefault="00F0277E" w:rsidP="00F0277E">
      <w:pPr>
        <w:spacing w:line="360" w:lineRule="auto"/>
        <w:jc w:val="both"/>
      </w:pPr>
    </w:p>
    <w:p w:rsidR="00BA118F" w:rsidRPr="00757556" w:rsidRDefault="00BA118F" w:rsidP="00F0277E">
      <w:pPr>
        <w:spacing w:line="360" w:lineRule="auto"/>
        <w:jc w:val="both"/>
      </w:pPr>
    </w:p>
    <w:p w:rsidR="00F0277E" w:rsidRPr="00757556" w:rsidRDefault="00757556" w:rsidP="00F0277E">
      <w:pPr>
        <w:spacing w:line="360" w:lineRule="auto"/>
        <w:jc w:val="both"/>
      </w:pPr>
      <w:proofErr w:type="gramStart"/>
      <w:r w:rsidRPr="00757556">
        <w:t>lm</w:t>
      </w:r>
      <w:proofErr w:type="gramEnd"/>
    </w:p>
    <w:sectPr w:rsidR="00F0277E" w:rsidRPr="00757556" w:rsidSect="00261020">
      <w:footerReference w:type="default" r:id="rId9"/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1020" w:rsidRDefault="00261020" w:rsidP="00261020">
      <w:r>
        <w:separator/>
      </w:r>
    </w:p>
  </w:endnote>
  <w:endnote w:type="continuationSeparator" w:id="0">
    <w:p w:rsidR="00261020" w:rsidRDefault="00261020" w:rsidP="00261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94365293"/>
      <w:docPartObj>
        <w:docPartGallery w:val="Page Numbers (Bottom of Page)"/>
        <w:docPartUnique/>
      </w:docPartObj>
    </w:sdtPr>
    <w:sdtContent>
      <w:p w:rsidR="00261020" w:rsidRDefault="00261020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398E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1020" w:rsidRDefault="00261020" w:rsidP="00261020">
      <w:r>
        <w:separator/>
      </w:r>
    </w:p>
  </w:footnote>
  <w:footnote w:type="continuationSeparator" w:id="0">
    <w:p w:rsidR="00261020" w:rsidRDefault="00261020" w:rsidP="002610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1D3829"/>
    <w:multiLevelType w:val="hybridMultilevel"/>
    <w:tmpl w:val="EAE29056"/>
    <w:lvl w:ilvl="0" w:tplc="722EC7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77E"/>
    <w:rsid w:val="00007465"/>
    <w:rsid w:val="000E233B"/>
    <w:rsid w:val="00163000"/>
    <w:rsid w:val="00186EF9"/>
    <w:rsid w:val="002030F6"/>
    <w:rsid w:val="002075F0"/>
    <w:rsid w:val="00237087"/>
    <w:rsid w:val="00245937"/>
    <w:rsid w:val="0025486D"/>
    <w:rsid w:val="00261020"/>
    <w:rsid w:val="002B1201"/>
    <w:rsid w:val="003327F0"/>
    <w:rsid w:val="00393810"/>
    <w:rsid w:val="00446D5A"/>
    <w:rsid w:val="00512C1F"/>
    <w:rsid w:val="00684797"/>
    <w:rsid w:val="006C360A"/>
    <w:rsid w:val="00757556"/>
    <w:rsid w:val="00773823"/>
    <w:rsid w:val="0077656C"/>
    <w:rsid w:val="007B6833"/>
    <w:rsid w:val="007E7FAB"/>
    <w:rsid w:val="007F398E"/>
    <w:rsid w:val="0080553C"/>
    <w:rsid w:val="0082013D"/>
    <w:rsid w:val="00822078"/>
    <w:rsid w:val="008641D5"/>
    <w:rsid w:val="00893768"/>
    <w:rsid w:val="00894D34"/>
    <w:rsid w:val="0091180E"/>
    <w:rsid w:val="00981B83"/>
    <w:rsid w:val="0099620F"/>
    <w:rsid w:val="009A1C31"/>
    <w:rsid w:val="009A2320"/>
    <w:rsid w:val="009B261E"/>
    <w:rsid w:val="00A27986"/>
    <w:rsid w:val="00A3797B"/>
    <w:rsid w:val="00A556CE"/>
    <w:rsid w:val="00AE770D"/>
    <w:rsid w:val="00AF5EDE"/>
    <w:rsid w:val="00BA118F"/>
    <w:rsid w:val="00BC48D4"/>
    <w:rsid w:val="00BD2943"/>
    <w:rsid w:val="00BE6AA5"/>
    <w:rsid w:val="00C43612"/>
    <w:rsid w:val="00CD6D13"/>
    <w:rsid w:val="00D15DF5"/>
    <w:rsid w:val="00D30C72"/>
    <w:rsid w:val="00D35CBE"/>
    <w:rsid w:val="00D479E4"/>
    <w:rsid w:val="00DC75EA"/>
    <w:rsid w:val="00E35051"/>
    <w:rsid w:val="00E83860"/>
    <w:rsid w:val="00E83B86"/>
    <w:rsid w:val="00E97BA9"/>
    <w:rsid w:val="00EC0C4A"/>
    <w:rsid w:val="00F0277E"/>
    <w:rsid w:val="00F25367"/>
    <w:rsid w:val="00F26B2A"/>
    <w:rsid w:val="00F41DF1"/>
    <w:rsid w:val="00F61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277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F0277E"/>
    <w:pPr>
      <w:keepNext/>
      <w:spacing w:line="360" w:lineRule="auto"/>
      <w:jc w:val="center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F0277E"/>
    <w:rPr>
      <w:rFonts w:ascii="Arial" w:eastAsia="Times New Roman" w:hAnsi="Arial" w:cs="Times New Roman"/>
      <w:b/>
      <w:bCs/>
      <w:sz w:val="24"/>
      <w:szCs w:val="24"/>
      <w:lang w:eastAsia="es-ES"/>
    </w:rPr>
  </w:style>
  <w:style w:type="paragraph" w:styleId="Sangradetextonormal">
    <w:name w:val="Body Text Indent"/>
    <w:basedOn w:val="Normal"/>
    <w:link w:val="SangradetextonormalCar"/>
    <w:semiHidden/>
    <w:rsid w:val="00E83860"/>
    <w:pPr>
      <w:spacing w:line="360" w:lineRule="auto"/>
      <w:ind w:left="708"/>
      <w:jc w:val="both"/>
    </w:pPr>
    <w:rPr>
      <w:rFonts w:cs="Arial"/>
      <w:szCs w:val="20"/>
      <w:lang w:val="es-MX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E83860"/>
    <w:rPr>
      <w:rFonts w:ascii="Arial" w:eastAsia="Times New Roman" w:hAnsi="Arial" w:cs="Arial"/>
      <w:sz w:val="24"/>
      <w:szCs w:val="20"/>
      <w:lang w:val="es-MX" w:eastAsia="es-ES"/>
    </w:rPr>
  </w:style>
  <w:style w:type="character" w:styleId="Hipervnculo">
    <w:name w:val="Hyperlink"/>
    <w:basedOn w:val="Fuentedeprrafopredeter"/>
    <w:uiPriority w:val="99"/>
    <w:unhideWhenUsed/>
    <w:rsid w:val="00981B83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26102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61020"/>
    <w:rPr>
      <w:rFonts w:ascii="Arial" w:eastAsia="Times New Roman" w:hAnsi="Arial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26102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61020"/>
    <w:rPr>
      <w:rFonts w:ascii="Arial" w:eastAsia="Times New Roman" w:hAnsi="Arial" w:cs="Times New Roman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277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F0277E"/>
    <w:pPr>
      <w:keepNext/>
      <w:spacing w:line="360" w:lineRule="auto"/>
      <w:jc w:val="center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F0277E"/>
    <w:rPr>
      <w:rFonts w:ascii="Arial" w:eastAsia="Times New Roman" w:hAnsi="Arial" w:cs="Times New Roman"/>
      <w:b/>
      <w:bCs/>
      <w:sz w:val="24"/>
      <w:szCs w:val="24"/>
      <w:lang w:eastAsia="es-ES"/>
    </w:rPr>
  </w:style>
  <w:style w:type="paragraph" w:styleId="Sangradetextonormal">
    <w:name w:val="Body Text Indent"/>
    <w:basedOn w:val="Normal"/>
    <w:link w:val="SangradetextonormalCar"/>
    <w:semiHidden/>
    <w:rsid w:val="00E83860"/>
    <w:pPr>
      <w:spacing w:line="360" w:lineRule="auto"/>
      <w:ind w:left="708"/>
      <w:jc w:val="both"/>
    </w:pPr>
    <w:rPr>
      <w:rFonts w:cs="Arial"/>
      <w:szCs w:val="20"/>
      <w:lang w:val="es-MX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E83860"/>
    <w:rPr>
      <w:rFonts w:ascii="Arial" w:eastAsia="Times New Roman" w:hAnsi="Arial" w:cs="Arial"/>
      <w:sz w:val="24"/>
      <w:szCs w:val="20"/>
      <w:lang w:val="es-MX" w:eastAsia="es-ES"/>
    </w:rPr>
  </w:style>
  <w:style w:type="character" w:styleId="Hipervnculo">
    <w:name w:val="Hyperlink"/>
    <w:basedOn w:val="Fuentedeprrafopredeter"/>
    <w:uiPriority w:val="99"/>
    <w:unhideWhenUsed/>
    <w:rsid w:val="00981B83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26102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61020"/>
    <w:rPr>
      <w:rFonts w:ascii="Arial" w:eastAsia="Times New Roman" w:hAnsi="Arial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26102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61020"/>
    <w:rPr>
      <w:rFonts w:ascii="Arial" w:eastAsia="Times New Roman" w:hAnsi="Arial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C0565D-C513-48C7-A335-09C70B598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859</Words>
  <Characters>4730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3</cp:revision>
  <dcterms:created xsi:type="dcterms:W3CDTF">2019-05-10T19:21:00Z</dcterms:created>
  <dcterms:modified xsi:type="dcterms:W3CDTF">2019-05-10T19:32:00Z</dcterms:modified>
</cp:coreProperties>
</file>