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7D" w:rsidRPr="007A7443" w:rsidRDefault="00D11C7D" w:rsidP="00D11C7D">
      <w:pPr>
        <w:tabs>
          <w:tab w:val="center" w:pos="4253"/>
        </w:tabs>
        <w:suppressAutoHyphens/>
        <w:spacing w:line="480" w:lineRule="auto"/>
        <w:jc w:val="right"/>
        <w:rPr>
          <w:rFonts w:ascii="Arial" w:hAnsi="Arial" w:cs="Arial"/>
          <w:b/>
          <w:sz w:val="28"/>
          <w:szCs w:val="28"/>
          <w:lang w:val="es-ES"/>
        </w:rPr>
      </w:pPr>
      <w:bookmarkStart w:id="0" w:name="_GoBack"/>
      <w:bookmarkEnd w:id="0"/>
      <w:r w:rsidRPr="007A7443">
        <w:rPr>
          <w:rFonts w:ascii="Arial" w:hAnsi="Arial" w:cs="Arial"/>
          <w:b/>
          <w:sz w:val="28"/>
          <w:szCs w:val="28"/>
          <w:lang w:val="es-ES"/>
        </w:rPr>
        <w:t xml:space="preserve">RES. </w:t>
      </w:r>
      <w:r w:rsidR="00323ADE">
        <w:rPr>
          <w:rFonts w:ascii="Arial" w:hAnsi="Arial" w:cs="Arial"/>
          <w:b/>
          <w:sz w:val="28"/>
          <w:szCs w:val="28"/>
          <w:lang w:val="es-ES"/>
        </w:rPr>
        <w:t>1216</w:t>
      </w:r>
      <w:r w:rsidRPr="007A7443">
        <w:rPr>
          <w:rFonts w:ascii="Arial" w:hAnsi="Arial" w:cs="Arial"/>
          <w:b/>
          <w:sz w:val="28"/>
          <w:szCs w:val="28"/>
          <w:lang w:val="es-ES"/>
        </w:rPr>
        <w:t>/19</w:t>
      </w:r>
    </w:p>
    <w:p w:rsidR="00D11C7D" w:rsidRPr="000F48AC" w:rsidRDefault="00D11C7D" w:rsidP="00D11C7D">
      <w:pPr>
        <w:tabs>
          <w:tab w:val="center" w:pos="4253"/>
        </w:tabs>
        <w:suppressAutoHyphens/>
        <w:spacing w:line="480" w:lineRule="auto"/>
        <w:jc w:val="center"/>
        <w:rPr>
          <w:rFonts w:ascii="Arial" w:hAnsi="Arial" w:cs="Arial"/>
          <w:b/>
          <w:lang w:val="es-ES_tradnl"/>
        </w:rPr>
      </w:pPr>
      <w:r w:rsidRPr="000F48AC">
        <w:rPr>
          <w:rFonts w:ascii="Arial" w:hAnsi="Arial" w:cs="Arial"/>
          <w:b/>
          <w:lang w:val="es-ES_tradnl"/>
        </w:rPr>
        <w:t>RESOLUCION ADOPTADA POR EL</w:t>
      </w:r>
    </w:p>
    <w:p w:rsidR="00D11C7D" w:rsidRPr="000F48AC" w:rsidRDefault="00D11C7D" w:rsidP="00D11C7D">
      <w:pPr>
        <w:tabs>
          <w:tab w:val="center" w:pos="4253"/>
        </w:tabs>
        <w:suppressAutoHyphens/>
        <w:spacing w:line="480" w:lineRule="auto"/>
        <w:jc w:val="center"/>
        <w:rPr>
          <w:rFonts w:ascii="Arial" w:hAnsi="Arial" w:cs="Arial"/>
          <w:b/>
          <w:lang w:val="es-ES_tradnl"/>
        </w:rPr>
      </w:pPr>
      <w:r w:rsidRPr="000F48AC">
        <w:rPr>
          <w:rFonts w:ascii="Arial" w:hAnsi="Arial" w:cs="Arial"/>
          <w:b/>
          <w:lang w:val="es-ES_tradnl"/>
        </w:rPr>
        <w:t>TRIBUNAL DE CUENTAS</w:t>
      </w:r>
    </w:p>
    <w:p w:rsidR="00D11C7D" w:rsidRPr="000F48AC" w:rsidRDefault="00D11C7D" w:rsidP="00D11C7D">
      <w:pPr>
        <w:tabs>
          <w:tab w:val="center" w:pos="4253"/>
        </w:tabs>
        <w:suppressAutoHyphens/>
        <w:spacing w:line="480" w:lineRule="auto"/>
        <w:jc w:val="center"/>
        <w:rPr>
          <w:rFonts w:ascii="Arial" w:hAnsi="Arial" w:cs="Arial"/>
          <w:b/>
          <w:lang w:val="es-ES_tradnl"/>
        </w:rPr>
      </w:pPr>
      <w:r w:rsidRPr="000F48AC">
        <w:rPr>
          <w:rFonts w:ascii="Arial" w:hAnsi="Arial" w:cs="Arial"/>
          <w:b/>
          <w:lang w:val="es-ES_tradnl"/>
        </w:rPr>
        <w:t xml:space="preserve">EN SESION DE FECHA </w:t>
      </w:r>
      <w:r>
        <w:rPr>
          <w:rFonts w:ascii="Arial" w:hAnsi="Arial" w:cs="Arial"/>
          <w:b/>
          <w:lang w:val="es-ES_tradnl"/>
        </w:rPr>
        <w:t>15 DE MAYO DE 2019</w:t>
      </w:r>
    </w:p>
    <w:p w:rsidR="00D11C7D" w:rsidRDefault="00D11C7D" w:rsidP="00D11C7D">
      <w:pPr>
        <w:tabs>
          <w:tab w:val="center" w:pos="4253"/>
        </w:tabs>
        <w:suppressAutoHyphens/>
        <w:spacing w:line="360" w:lineRule="auto"/>
        <w:jc w:val="center"/>
        <w:rPr>
          <w:rFonts w:ascii="Arial" w:hAnsi="Arial" w:cs="Arial"/>
          <w:b/>
          <w:lang w:val="es-ES"/>
        </w:rPr>
      </w:pPr>
      <w:r w:rsidRPr="00D11C7D">
        <w:rPr>
          <w:rFonts w:ascii="Arial" w:hAnsi="Arial" w:cs="Arial"/>
          <w:b/>
          <w:lang w:val="es-ES"/>
        </w:rPr>
        <w:t>(E. E. Nº 201</w:t>
      </w:r>
      <w:r>
        <w:rPr>
          <w:rFonts w:ascii="Arial" w:hAnsi="Arial" w:cs="Arial"/>
          <w:b/>
          <w:lang w:val="es-ES"/>
        </w:rPr>
        <w:t>9</w:t>
      </w:r>
      <w:r w:rsidRPr="00D11C7D">
        <w:rPr>
          <w:rFonts w:ascii="Arial" w:hAnsi="Arial" w:cs="Arial"/>
          <w:b/>
          <w:lang w:val="es-ES"/>
        </w:rPr>
        <w:t>-17-1-000</w:t>
      </w:r>
      <w:r>
        <w:rPr>
          <w:rFonts w:ascii="Arial" w:hAnsi="Arial" w:cs="Arial"/>
          <w:b/>
          <w:lang w:val="es-ES"/>
        </w:rPr>
        <w:t>1131</w:t>
      </w:r>
      <w:r w:rsidRPr="00D11C7D">
        <w:rPr>
          <w:rFonts w:ascii="Arial" w:hAnsi="Arial" w:cs="Arial"/>
          <w:b/>
          <w:lang w:val="es-ES"/>
        </w:rPr>
        <w:t xml:space="preserve">, </w:t>
      </w:r>
      <w:proofErr w:type="spellStart"/>
      <w:r w:rsidRPr="00D11C7D">
        <w:rPr>
          <w:rFonts w:ascii="Arial" w:hAnsi="Arial" w:cs="Arial"/>
          <w:b/>
          <w:lang w:val="es-ES"/>
        </w:rPr>
        <w:t>Ent</w:t>
      </w:r>
      <w:proofErr w:type="spellEnd"/>
      <w:r w:rsidRPr="00D11C7D">
        <w:rPr>
          <w:rFonts w:ascii="Arial" w:hAnsi="Arial" w:cs="Arial"/>
          <w:b/>
          <w:lang w:val="es-ES"/>
        </w:rPr>
        <w:t xml:space="preserve">. N° </w:t>
      </w:r>
      <w:r>
        <w:rPr>
          <w:rFonts w:ascii="Arial" w:hAnsi="Arial" w:cs="Arial"/>
          <w:b/>
          <w:lang w:val="es-ES"/>
        </w:rPr>
        <w:t>0906</w:t>
      </w:r>
      <w:r w:rsidRPr="00D11C7D">
        <w:rPr>
          <w:rFonts w:ascii="Arial" w:hAnsi="Arial" w:cs="Arial"/>
          <w:b/>
          <w:lang w:val="es-ES"/>
        </w:rPr>
        <w:t>/19)</w:t>
      </w:r>
    </w:p>
    <w:p w:rsidR="00D11C7D" w:rsidRPr="00D11C7D" w:rsidRDefault="00D11C7D" w:rsidP="00D11C7D">
      <w:pPr>
        <w:tabs>
          <w:tab w:val="center" w:pos="4253"/>
        </w:tabs>
        <w:suppressAutoHyphens/>
        <w:spacing w:line="360" w:lineRule="auto"/>
        <w:jc w:val="center"/>
        <w:rPr>
          <w:rFonts w:ascii="Arial" w:hAnsi="Arial" w:cs="Arial"/>
          <w:b/>
          <w:lang w:val="es-ES"/>
        </w:rPr>
      </w:pPr>
    </w:p>
    <w:p w:rsidR="008C44DB" w:rsidRPr="00A012C9" w:rsidRDefault="00A012C9" w:rsidP="00323ADE">
      <w:pPr>
        <w:pStyle w:val="Cuerpo"/>
        <w:spacing w:line="360" w:lineRule="auto"/>
        <w:ind w:firstLine="851"/>
        <w:jc w:val="both"/>
        <w:rPr>
          <w:rFonts w:ascii="Arial" w:hAnsi="Arial" w:cs="Arial"/>
          <w:sz w:val="24"/>
          <w:szCs w:val="24"/>
        </w:rPr>
      </w:pPr>
      <w:r w:rsidRPr="00A012C9">
        <w:rPr>
          <w:rFonts w:ascii="Arial" w:hAnsi="Arial" w:cs="Arial"/>
          <w:b/>
          <w:sz w:val="24"/>
          <w:szCs w:val="24"/>
        </w:rPr>
        <w:t>VISTO</w:t>
      </w:r>
      <w:r w:rsidRPr="00D11C7D">
        <w:rPr>
          <w:rFonts w:ascii="Arial" w:hAnsi="Arial" w:cs="Arial"/>
          <w:b/>
          <w:sz w:val="24"/>
          <w:szCs w:val="24"/>
        </w:rPr>
        <w:t>:</w:t>
      </w:r>
      <w:r>
        <w:rPr>
          <w:rFonts w:ascii="Arial" w:hAnsi="Arial" w:cs="Arial"/>
          <w:sz w:val="24"/>
          <w:szCs w:val="24"/>
        </w:rPr>
        <w:t xml:space="preserve"> </w:t>
      </w:r>
      <w:r w:rsidR="00AF3A8A" w:rsidRPr="00A012C9">
        <w:rPr>
          <w:rFonts w:ascii="Arial" w:hAnsi="Arial" w:cs="Arial"/>
          <w:sz w:val="24"/>
          <w:szCs w:val="24"/>
        </w:rPr>
        <w:t>El pedido de informes cursado por la Presidencia de la Cámara de</w:t>
      </w:r>
      <w:r w:rsidR="00886F6D">
        <w:rPr>
          <w:rFonts w:ascii="Arial" w:hAnsi="Arial" w:cs="Arial"/>
          <w:sz w:val="24"/>
          <w:szCs w:val="24"/>
        </w:rPr>
        <w:t xml:space="preserve"> Senadores a solicitud del Sr. S</w:t>
      </w:r>
      <w:r w:rsidR="00AF3A8A" w:rsidRPr="00A012C9">
        <w:rPr>
          <w:rFonts w:ascii="Arial" w:hAnsi="Arial" w:cs="Arial"/>
          <w:sz w:val="24"/>
          <w:szCs w:val="24"/>
        </w:rPr>
        <w:t>enador José Carlos Cardoso, al am</w:t>
      </w:r>
      <w:r>
        <w:rPr>
          <w:rFonts w:ascii="Arial" w:hAnsi="Arial" w:cs="Arial"/>
          <w:sz w:val="24"/>
          <w:szCs w:val="24"/>
        </w:rPr>
        <w:t>paro de lo dispuesto por el artículo</w:t>
      </w:r>
      <w:r w:rsidR="00AF3A8A" w:rsidRPr="00A012C9">
        <w:rPr>
          <w:rFonts w:ascii="Arial" w:hAnsi="Arial" w:cs="Arial"/>
          <w:sz w:val="24"/>
          <w:szCs w:val="24"/>
        </w:rPr>
        <w:t xml:space="preserve"> 118 de </w:t>
      </w:r>
      <w:r>
        <w:rPr>
          <w:rFonts w:ascii="Arial" w:hAnsi="Arial" w:cs="Arial"/>
          <w:sz w:val="24"/>
          <w:szCs w:val="24"/>
        </w:rPr>
        <w:t>la Constitución de la República;</w:t>
      </w:r>
    </w:p>
    <w:p w:rsidR="008C44DB" w:rsidRPr="00A012C9" w:rsidRDefault="00A012C9" w:rsidP="00323ADE">
      <w:pPr>
        <w:pStyle w:val="Cuerpo"/>
        <w:spacing w:line="360" w:lineRule="auto"/>
        <w:ind w:firstLine="851"/>
        <w:jc w:val="both"/>
        <w:rPr>
          <w:rFonts w:ascii="Arial" w:hAnsi="Arial" w:cs="Arial"/>
          <w:sz w:val="24"/>
          <w:szCs w:val="24"/>
        </w:rPr>
      </w:pPr>
      <w:r w:rsidRPr="00A012C9">
        <w:rPr>
          <w:rFonts w:ascii="Arial" w:hAnsi="Arial" w:cs="Arial"/>
          <w:b/>
          <w:sz w:val="24"/>
          <w:szCs w:val="24"/>
        </w:rPr>
        <w:t>RESULTANDO</w:t>
      </w:r>
      <w:r w:rsidR="00AF3A8A" w:rsidRPr="00D11C7D">
        <w:rPr>
          <w:rFonts w:ascii="Arial" w:hAnsi="Arial" w:cs="Arial"/>
          <w:b/>
          <w:sz w:val="24"/>
          <w:szCs w:val="24"/>
        </w:rPr>
        <w:t>:</w:t>
      </w:r>
      <w:r>
        <w:rPr>
          <w:rFonts w:ascii="Arial" w:hAnsi="Arial" w:cs="Arial"/>
          <w:sz w:val="24"/>
          <w:szCs w:val="24"/>
        </w:rPr>
        <w:t xml:space="preserve"> </w:t>
      </w:r>
      <w:r w:rsidRPr="00D11C7D">
        <w:rPr>
          <w:rFonts w:ascii="Arial" w:hAnsi="Arial" w:cs="Arial"/>
          <w:b/>
          <w:sz w:val="24"/>
          <w:szCs w:val="24"/>
        </w:rPr>
        <w:t>1)</w:t>
      </w:r>
      <w:r>
        <w:rPr>
          <w:rFonts w:ascii="Arial" w:hAnsi="Arial" w:cs="Arial"/>
          <w:sz w:val="24"/>
          <w:szCs w:val="24"/>
        </w:rPr>
        <w:t xml:space="preserve"> que el Sr. Senador </w:t>
      </w:r>
      <w:r w:rsidR="00AF3A8A" w:rsidRPr="00A012C9">
        <w:rPr>
          <w:rFonts w:ascii="Arial" w:hAnsi="Arial" w:cs="Arial"/>
          <w:sz w:val="24"/>
          <w:szCs w:val="24"/>
        </w:rPr>
        <w:t xml:space="preserve">solicita </w:t>
      </w:r>
      <w:r w:rsidR="00C57C89">
        <w:rPr>
          <w:rFonts w:ascii="Arial" w:hAnsi="Arial" w:cs="Arial"/>
          <w:sz w:val="24"/>
          <w:szCs w:val="24"/>
        </w:rPr>
        <w:t xml:space="preserve">a </w:t>
      </w:r>
      <w:r>
        <w:rPr>
          <w:rFonts w:ascii="Arial" w:hAnsi="Arial" w:cs="Arial"/>
          <w:sz w:val="24"/>
          <w:szCs w:val="24"/>
        </w:rPr>
        <w:t xml:space="preserve">este Tribunal emita su opinión respecto de distintos aspectos </w:t>
      </w:r>
      <w:r w:rsidR="00AF3A8A" w:rsidRPr="00A012C9">
        <w:rPr>
          <w:rFonts w:ascii="Arial" w:hAnsi="Arial" w:cs="Arial"/>
          <w:sz w:val="24"/>
          <w:szCs w:val="24"/>
        </w:rPr>
        <w:t>constitucionales</w:t>
      </w:r>
      <w:r w:rsidR="00323ADE">
        <w:rPr>
          <w:rFonts w:ascii="Arial" w:hAnsi="Arial" w:cs="Arial"/>
          <w:sz w:val="24"/>
          <w:szCs w:val="24"/>
        </w:rPr>
        <w:t>, legales</w:t>
      </w:r>
      <w:r>
        <w:rPr>
          <w:rFonts w:ascii="Arial" w:hAnsi="Arial" w:cs="Arial"/>
          <w:sz w:val="24"/>
          <w:szCs w:val="24"/>
        </w:rPr>
        <w:t xml:space="preserve"> y contables, </w:t>
      </w:r>
      <w:r w:rsidR="00AF3A8A" w:rsidRPr="00A012C9">
        <w:rPr>
          <w:rFonts w:ascii="Arial" w:hAnsi="Arial" w:cs="Arial"/>
          <w:sz w:val="24"/>
          <w:szCs w:val="24"/>
        </w:rPr>
        <w:t xml:space="preserve"> atinentes al Fondo de Desarrollo del Interior (FDI)</w:t>
      </w:r>
      <w:r w:rsidR="00036268">
        <w:rPr>
          <w:rFonts w:ascii="Arial" w:hAnsi="Arial" w:cs="Arial"/>
          <w:sz w:val="24"/>
          <w:szCs w:val="24"/>
        </w:rPr>
        <w:t>, creado por el artículo 299 de la Constitución de la República;</w:t>
      </w:r>
    </w:p>
    <w:p w:rsidR="00323ADE" w:rsidRDefault="00170387" w:rsidP="00323ADE">
      <w:pPr>
        <w:pStyle w:val="Cuerpo"/>
        <w:spacing w:line="360" w:lineRule="auto"/>
        <w:ind w:firstLine="2694"/>
        <w:jc w:val="both"/>
        <w:rPr>
          <w:rFonts w:ascii="Arial" w:hAnsi="Arial" w:cs="Arial"/>
          <w:sz w:val="24"/>
          <w:szCs w:val="24"/>
        </w:rPr>
      </w:pPr>
      <w:r w:rsidRPr="00D11C7D">
        <w:rPr>
          <w:rFonts w:ascii="Arial" w:hAnsi="Arial" w:cs="Arial"/>
          <w:b/>
          <w:sz w:val="24"/>
          <w:szCs w:val="24"/>
        </w:rPr>
        <w:t>2)</w:t>
      </w:r>
      <w:r w:rsidR="00323ADE">
        <w:rPr>
          <w:rFonts w:ascii="Arial" w:hAnsi="Arial" w:cs="Arial"/>
          <w:sz w:val="24"/>
          <w:szCs w:val="24"/>
        </w:rPr>
        <w:t xml:space="preserve"> que según se</w:t>
      </w:r>
      <w:r w:rsidR="00A012C9">
        <w:rPr>
          <w:rFonts w:ascii="Arial" w:hAnsi="Arial" w:cs="Arial"/>
          <w:sz w:val="24"/>
          <w:szCs w:val="24"/>
        </w:rPr>
        <w:t xml:space="preserve"> expresa, el requeri</w:t>
      </w:r>
      <w:r w:rsidR="00E362E4">
        <w:rPr>
          <w:rFonts w:ascii="Arial" w:hAnsi="Arial" w:cs="Arial"/>
          <w:sz w:val="24"/>
          <w:szCs w:val="24"/>
        </w:rPr>
        <w:t xml:space="preserve">miento formulado tiene como antecedente </w:t>
      </w:r>
      <w:r w:rsidR="00A012C9">
        <w:rPr>
          <w:rFonts w:ascii="Arial" w:hAnsi="Arial" w:cs="Arial"/>
          <w:sz w:val="24"/>
          <w:szCs w:val="24"/>
        </w:rPr>
        <w:t xml:space="preserve">otro </w:t>
      </w:r>
      <w:r w:rsidR="00AF3A8A" w:rsidRPr="00A012C9">
        <w:rPr>
          <w:rFonts w:ascii="Arial" w:hAnsi="Arial" w:cs="Arial"/>
          <w:sz w:val="24"/>
          <w:szCs w:val="24"/>
        </w:rPr>
        <w:t xml:space="preserve">pedido </w:t>
      </w:r>
      <w:r w:rsidR="00A012C9">
        <w:rPr>
          <w:rFonts w:ascii="Arial" w:hAnsi="Arial" w:cs="Arial"/>
          <w:sz w:val="24"/>
          <w:szCs w:val="24"/>
        </w:rPr>
        <w:t>de información remitido</w:t>
      </w:r>
      <w:r w:rsidR="00AF3A8A" w:rsidRPr="00A012C9">
        <w:rPr>
          <w:rFonts w:ascii="Arial" w:hAnsi="Arial" w:cs="Arial"/>
          <w:sz w:val="24"/>
          <w:szCs w:val="24"/>
        </w:rPr>
        <w:t xml:space="preserve"> </w:t>
      </w:r>
      <w:r w:rsidR="00BE2A3A">
        <w:rPr>
          <w:rFonts w:ascii="Arial" w:hAnsi="Arial" w:cs="Arial"/>
          <w:sz w:val="24"/>
          <w:szCs w:val="24"/>
        </w:rPr>
        <w:t>al Ministerio de Economía y Finanzas</w:t>
      </w:r>
      <w:r w:rsidR="00AF3A8A" w:rsidRPr="00A012C9">
        <w:rPr>
          <w:rFonts w:ascii="Arial" w:hAnsi="Arial" w:cs="Arial"/>
          <w:sz w:val="24"/>
          <w:szCs w:val="24"/>
        </w:rPr>
        <w:t xml:space="preserve">, </w:t>
      </w:r>
      <w:r w:rsidR="00BE2A3A">
        <w:rPr>
          <w:rFonts w:ascii="Arial" w:hAnsi="Arial" w:cs="Arial"/>
          <w:sz w:val="24"/>
          <w:szCs w:val="24"/>
        </w:rPr>
        <w:t xml:space="preserve">a la Oficina de Planeamiento y Presupuesto </w:t>
      </w:r>
      <w:r w:rsidR="00AF3A8A" w:rsidRPr="00A012C9">
        <w:rPr>
          <w:rFonts w:ascii="Arial" w:hAnsi="Arial" w:cs="Arial"/>
          <w:sz w:val="24"/>
          <w:szCs w:val="24"/>
        </w:rPr>
        <w:t>y al Ministerio de Transportes y Obras Públicas, acerc</w:t>
      </w:r>
      <w:r w:rsidR="00A012C9">
        <w:rPr>
          <w:rFonts w:ascii="Arial" w:hAnsi="Arial" w:cs="Arial"/>
          <w:sz w:val="24"/>
          <w:szCs w:val="24"/>
        </w:rPr>
        <w:t>a de</w:t>
      </w:r>
      <w:r w:rsidR="00BE2A3A">
        <w:rPr>
          <w:rFonts w:ascii="Arial" w:hAnsi="Arial" w:cs="Arial"/>
          <w:sz w:val="24"/>
          <w:szCs w:val="24"/>
        </w:rPr>
        <w:t xml:space="preserve"> la forma de calcular el FDI</w:t>
      </w:r>
      <w:r w:rsidR="00A012C9">
        <w:rPr>
          <w:rFonts w:ascii="Arial" w:hAnsi="Arial" w:cs="Arial"/>
          <w:sz w:val="24"/>
          <w:szCs w:val="24"/>
        </w:rPr>
        <w:t>,</w:t>
      </w:r>
      <w:r w:rsidR="00AF3A8A" w:rsidRPr="00A012C9">
        <w:rPr>
          <w:rFonts w:ascii="Arial" w:hAnsi="Arial" w:cs="Arial"/>
          <w:sz w:val="24"/>
          <w:szCs w:val="24"/>
        </w:rPr>
        <w:t xml:space="preserve"> contabilizarlo, ejecutarlo y exponerlo en las ejecuciones presupuestales del G</w:t>
      </w:r>
      <w:r w:rsidR="00BE2A3A">
        <w:rPr>
          <w:rFonts w:ascii="Arial" w:hAnsi="Arial" w:cs="Arial"/>
          <w:sz w:val="24"/>
          <w:szCs w:val="24"/>
        </w:rPr>
        <w:t>obierno Nacional e Intendencias;</w:t>
      </w:r>
    </w:p>
    <w:p w:rsidR="008C44DB" w:rsidRDefault="00A012C9" w:rsidP="00323ADE">
      <w:pPr>
        <w:pStyle w:val="Cuerpo"/>
        <w:spacing w:line="360" w:lineRule="auto"/>
        <w:ind w:firstLine="2694"/>
        <w:jc w:val="both"/>
        <w:rPr>
          <w:rFonts w:ascii="Arial" w:hAnsi="Arial" w:cs="Arial"/>
          <w:sz w:val="24"/>
          <w:szCs w:val="24"/>
        </w:rPr>
      </w:pPr>
      <w:r w:rsidRPr="00D11C7D">
        <w:rPr>
          <w:rFonts w:ascii="Arial" w:hAnsi="Arial" w:cs="Arial"/>
          <w:b/>
          <w:sz w:val="24"/>
          <w:szCs w:val="24"/>
        </w:rPr>
        <w:t>3)</w:t>
      </w:r>
      <w:r>
        <w:rPr>
          <w:rFonts w:ascii="Arial" w:hAnsi="Arial" w:cs="Arial"/>
          <w:sz w:val="24"/>
          <w:szCs w:val="24"/>
        </w:rPr>
        <w:t xml:space="preserve"> </w:t>
      </w:r>
      <w:r w:rsidR="00AF3A8A" w:rsidRPr="00A012C9">
        <w:rPr>
          <w:rFonts w:ascii="Arial" w:hAnsi="Arial" w:cs="Arial"/>
          <w:sz w:val="24"/>
          <w:szCs w:val="24"/>
        </w:rPr>
        <w:t>que</w:t>
      </w:r>
      <w:r w:rsidR="00C57C89">
        <w:rPr>
          <w:rFonts w:ascii="Arial" w:hAnsi="Arial" w:cs="Arial"/>
          <w:sz w:val="24"/>
          <w:szCs w:val="24"/>
        </w:rPr>
        <w:t xml:space="preserve"> en consecuencia,</w:t>
      </w:r>
      <w:r w:rsidR="00BE2A3A">
        <w:rPr>
          <w:rFonts w:ascii="Arial" w:hAnsi="Arial" w:cs="Arial"/>
          <w:sz w:val="24"/>
          <w:szCs w:val="24"/>
        </w:rPr>
        <w:t xml:space="preserve"> “e</w:t>
      </w:r>
      <w:r w:rsidR="00AF3A8A" w:rsidRPr="00A012C9">
        <w:rPr>
          <w:rFonts w:ascii="Arial" w:hAnsi="Arial" w:cs="Arial"/>
          <w:sz w:val="24"/>
          <w:szCs w:val="24"/>
        </w:rPr>
        <w:t xml:space="preserve">n función de las interrogantes planteadas y </w:t>
      </w:r>
      <w:r w:rsidR="00EA7928">
        <w:rPr>
          <w:rFonts w:ascii="Arial" w:hAnsi="Arial" w:cs="Arial"/>
          <w:sz w:val="24"/>
          <w:szCs w:val="24"/>
        </w:rPr>
        <w:t xml:space="preserve">de </w:t>
      </w:r>
      <w:r w:rsidR="00AF3A8A" w:rsidRPr="00A012C9">
        <w:rPr>
          <w:rFonts w:ascii="Arial" w:hAnsi="Arial" w:cs="Arial"/>
          <w:sz w:val="24"/>
          <w:szCs w:val="24"/>
        </w:rPr>
        <w:t>las respues</w:t>
      </w:r>
      <w:r w:rsidR="00BE2A3A">
        <w:rPr>
          <w:rFonts w:ascii="Arial" w:hAnsi="Arial" w:cs="Arial"/>
          <w:sz w:val="24"/>
          <w:szCs w:val="24"/>
        </w:rPr>
        <w:t>tas (muchas de ellas parciales)”</w:t>
      </w:r>
      <w:r w:rsidR="00C57C89">
        <w:rPr>
          <w:rFonts w:ascii="Arial" w:hAnsi="Arial" w:cs="Arial"/>
          <w:sz w:val="24"/>
          <w:szCs w:val="24"/>
        </w:rPr>
        <w:t xml:space="preserve"> </w:t>
      </w:r>
      <w:r w:rsidR="00BE2A3A">
        <w:rPr>
          <w:rFonts w:ascii="Arial" w:hAnsi="Arial" w:cs="Arial"/>
          <w:sz w:val="24"/>
          <w:szCs w:val="24"/>
        </w:rPr>
        <w:t>que recibió y que no se adjuntan</w:t>
      </w:r>
      <w:r w:rsidR="00EA7928">
        <w:rPr>
          <w:rFonts w:ascii="Arial" w:hAnsi="Arial" w:cs="Arial"/>
          <w:sz w:val="24"/>
          <w:szCs w:val="24"/>
        </w:rPr>
        <w:t>,</w:t>
      </w:r>
      <w:r w:rsidR="00C57C89">
        <w:rPr>
          <w:rFonts w:ascii="Arial" w:hAnsi="Arial" w:cs="Arial"/>
          <w:sz w:val="24"/>
          <w:szCs w:val="24"/>
        </w:rPr>
        <w:t xml:space="preserve"> el Sr. Senador formuló el pedido de informes</w:t>
      </w:r>
      <w:r w:rsidR="00EA7928">
        <w:rPr>
          <w:rFonts w:ascii="Arial" w:hAnsi="Arial" w:cs="Arial"/>
          <w:sz w:val="24"/>
          <w:szCs w:val="24"/>
        </w:rPr>
        <w:t xml:space="preserve"> remitido</w:t>
      </w:r>
      <w:r w:rsidR="00C57C89">
        <w:rPr>
          <w:rFonts w:ascii="Arial" w:hAnsi="Arial" w:cs="Arial"/>
          <w:sz w:val="24"/>
          <w:szCs w:val="24"/>
        </w:rPr>
        <w:t>;</w:t>
      </w:r>
    </w:p>
    <w:p w:rsidR="00323ADE" w:rsidRDefault="00BE2A3A" w:rsidP="00323ADE">
      <w:pPr>
        <w:pStyle w:val="Cuerpo"/>
        <w:spacing w:line="360" w:lineRule="auto"/>
        <w:ind w:firstLine="851"/>
        <w:jc w:val="both"/>
        <w:rPr>
          <w:rFonts w:ascii="Arial" w:hAnsi="Arial" w:cs="Arial"/>
          <w:sz w:val="24"/>
          <w:szCs w:val="24"/>
        </w:rPr>
      </w:pPr>
      <w:r w:rsidRPr="00BE2A3A">
        <w:rPr>
          <w:rFonts w:ascii="Arial" w:hAnsi="Arial" w:cs="Arial"/>
          <w:b/>
          <w:sz w:val="24"/>
          <w:szCs w:val="24"/>
        </w:rPr>
        <w:t>CONSIDERANDO</w:t>
      </w:r>
      <w:r w:rsidRPr="00D11C7D">
        <w:rPr>
          <w:rFonts w:ascii="Arial" w:hAnsi="Arial" w:cs="Arial"/>
          <w:b/>
          <w:sz w:val="24"/>
          <w:szCs w:val="24"/>
        </w:rPr>
        <w:t>:</w:t>
      </w:r>
      <w:r w:rsidR="00D11C7D">
        <w:rPr>
          <w:rFonts w:ascii="Arial" w:hAnsi="Arial" w:cs="Arial"/>
          <w:b/>
          <w:sz w:val="24"/>
          <w:szCs w:val="24"/>
        </w:rPr>
        <w:t xml:space="preserve"> </w:t>
      </w:r>
      <w:r w:rsidR="00E362E4" w:rsidRPr="00D11C7D">
        <w:rPr>
          <w:rFonts w:ascii="Arial" w:hAnsi="Arial" w:cs="Arial"/>
          <w:b/>
          <w:sz w:val="24"/>
          <w:szCs w:val="24"/>
        </w:rPr>
        <w:t>1)</w:t>
      </w:r>
      <w:r w:rsidR="00E362E4">
        <w:rPr>
          <w:rFonts w:ascii="Arial" w:hAnsi="Arial" w:cs="Arial"/>
          <w:sz w:val="24"/>
          <w:szCs w:val="24"/>
        </w:rPr>
        <w:t xml:space="preserve"> que el artículo 118 de la Constitución de la República habilita a todos los legisladores a solicitar a este Tribunal “los datos e informes que estime necesarios para llenar su cometido”, y este Tribunal está </w:t>
      </w:r>
      <w:r w:rsidR="00E362E4">
        <w:rPr>
          <w:rFonts w:ascii="Arial" w:hAnsi="Arial" w:cs="Arial"/>
          <w:sz w:val="24"/>
          <w:szCs w:val="24"/>
        </w:rPr>
        <w:lastRenderedPageBreak/>
        <w:t xml:space="preserve">plenamente dispuesto </w:t>
      </w:r>
      <w:r w:rsidR="00E362E4" w:rsidRPr="00E362E4">
        <w:rPr>
          <w:rFonts w:ascii="Arial" w:hAnsi="Arial" w:cs="Arial"/>
          <w:sz w:val="24"/>
          <w:szCs w:val="24"/>
        </w:rPr>
        <w:t>a responder a todo planteamiento o solicitud que se realice en aplicación de la disp</w:t>
      </w:r>
      <w:r w:rsidR="00E362E4">
        <w:rPr>
          <w:rFonts w:ascii="Arial" w:hAnsi="Arial" w:cs="Arial"/>
          <w:sz w:val="24"/>
          <w:szCs w:val="24"/>
        </w:rPr>
        <w:t>osición constitucional referida;</w:t>
      </w:r>
    </w:p>
    <w:p w:rsidR="00323ADE" w:rsidRDefault="00C57C89" w:rsidP="00323ADE">
      <w:pPr>
        <w:pStyle w:val="Cuerpo"/>
        <w:spacing w:line="360" w:lineRule="auto"/>
        <w:ind w:firstLine="3119"/>
        <w:jc w:val="both"/>
        <w:rPr>
          <w:rFonts w:ascii="Arial" w:hAnsi="Arial" w:cs="Arial"/>
          <w:sz w:val="24"/>
          <w:szCs w:val="24"/>
        </w:rPr>
      </w:pPr>
      <w:r w:rsidRPr="00323ADE">
        <w:rPr>
          <w:rFonts w:ascii="Arial" w:hAnsi="Arial" w:cs="Arial"/>
          <w:b/>
          <w:sz w:val="24"/>
          <w:szCs w:val="24"/>
        </w:rPr>
        <w:t>2)</w:t>
      </w:r>
      <w:r>
        <w:rPr>
          <w:rFonts w:ascii="Arial" w:hAnsi="Arial" w:cs="Arial"/>
          <w:sz w:val="24"/>
          <w:szCs w:val="24"/>
        </w:rPr>
        <w:t xml:space="preserve"> que en efecto, así se ha pronunciado recientemente ante un pedido de acceso a la información Pública solicitado por el Senador Pablo Mieres por Resolución 46/19 de 9 de enero de 2019;</w:t>
      </w:r>
    </w:p>
    <w:p w:rsidR="00323ADE" w:rsidRDefault="00C57C89" w:rsidP="00323ADE">
      <w:pPr>
        <w:pStyle w:val="Cuerpo"/>
        <w:spacing w:line="360" w:lineRule="auto"/>
        <w:ind w:firstLine="3119"/>
        <w:jc w:val="both"/>
        <w:rPr>
          <w:rFonts w:ascii="Arial" w:hAnsi="Arial" w:cs="Arial"/>
          <w:sz w:val="24"/>
          <w:szCs w:val="24"/>
        </w:rPr>
      </w:pPr>
      <w:r w:rsidRPr="00323ADE">
        <w:rPr>
          <w:rFonts w:ascii="Arial" w:hAnsi="Arial" w:cs="Arial"/>
          <w:b/>
          <w:sz w:val="24"/>
          <w:szCs w:val="24"/>
        </w:rPr>
        <w:t>3)</w:t>
      </w:r>
      <w:r w:rsidR="000631E1">
        <w:rPr>
          <w:rFonts w:ascii="Arial" w:hAnsi="Arial" w:cs="Arial"/>
          <w:sz w:val="24"/>
          <w:szCs w:val="24"/>
        </w:rPr>
        <w:t xml:space="preserve"> que</w:t>
      </w:r>
      <w:r w:rsidR="00EA7928">
        <w:rPr>
          <w:rFonts w:ascii="Arial" w:hAnsi="Arial" w:cs="Arial"/>
          <w:sz w:val="24"/>
          <w:szCs w:val="24"/>
        </w:rPr>
        <w:t xml:space="preserve"> el</w:t>
      </w:r>
      <w:r w:rsidR="000631E1">
        <w:rPr>
          <w:rFonts w:ascii="Arial" w:hAnsi="Arial" w:cs="Arial"/>
          <w:sz w:val="24"/>
          <w:szCs w:val="24"/>
        </w:rPr>
        <w:t xml:space="preserve"> pedido de informes formulado por el Sr. Senador en esta instancia </w:t>
      </w:r>
      <w:r>
        <w:rPr>
          <w:rFonts w:ascii="Arial" w:hAnsi="Arial" w:cs="Arial"/>
          <w:sz w:val="24"/>
          <w:szCs w:val="24"/>
        </w:rPr>
        <w:t>no refiere a “datos e infomes”</w:t>
      </w:r>
      <w:r w:rsidR="000631E1">
        <w:rPr>
          <w:rFonts w:ascii="Arial" w:hAnsi="Arial" w:cs="Arial"/>
          <w:sz w:val="24"/>
          <w:szCs w:val="24"/>
        </w:rPr>
        <w:t xml:space="preserve">, ya que </w:t>
      </w:r>
      <w:r>
        <w:rPr>
          <w:rFonts w:ascii="Arial" w:hAnsi="Arial" w:cs="Arial"/>
          <w:sz w:val="24"/>
          <w:szCs w:val="24"/>
        </w:rPr>
        <w:t>solicita a este Tribunal</w:t>
      </w:r>
      <w:r w:rsidR="00AF3A8A" w:rsidRPr="00A012C9">
        <w:rPr>
          <w:rFonts w:ascii="Arial" w:hAnsi="Arial" w:cs="Arial"/>
          <w:sz w:val="24"/>
          <w:szCs w:val="24"/>
        </w:rPr>
        <w:t xml:space="preserve"> </w:t>
      </w:r>
      <w:r w:rsidR="000631E1">
        <w:rPr>
          <w:rFonts w:ascii="Arial" w:hAnsi="Arial" w:cs="Arial"/>
          <w:sz w:val="24"/>
          <w:szCs w:val="24"/>
        </w:rPr>
        <w:t xml:space="preserve">se expida </w:t>
      </w:r>
      <w:r w:rsidR="00AF3A8A" w:rsidRPr="00A012C9">
        <w:rPr>
          <w:rFonts w:ascii="Arial" w:hAnsi="Arial" w:cs="Arial"/>
          <w:sz w:val="24"/>
          <w:szCs w:val="24"/>
        </w:rPr>
        <w:t xml:space="preserve">sobre la constitucionalidad y legalidad del recurso creado por el artículo 298 de la Constitución de la República, su naturaleza jurídica, si se trata de un recurso nacional o departamental, </w:t>
      </w:r>
      <w:r w:rsidR="000631E1">
        <w:rPr>
          <w:rFonts w:ascii="Arial" w:hAnsi="Arial" w:cs="Arial"/>
          <w:sz w:val="24"/>
          <w:szCs w:val="24"/>
        </w:rPr>
        <w:t xml:space="preserve">la </w:t>
      </w:r>
      <w:r w:rsidR="00AF3A8A" w:rsidRPr="00A012C9">
        <w:rPr>
          <w:rFonts w:ascii="Arial" w:hAnsi="Arial" w:cs="Arial"/>
          <w:sz w:val="24"/>
          <w:szCs w:val="24"/>
        </w:rPr>
        <w:t xml:space="preserve">forma en que debe exponerse y </w:t>
      </w:r>
      <w:r>
        <w:rPr>
          <w:rFonts w:ascii="Arial" w:hAnsi="Arial" w:cs="Arial"/>
          <w:sz w:val="24"/>
          <w:szCs w:val="24"/>
        </w:rPr>
        <w:t xml:space="preserve">la </w:t>
      </w:r>
      <w:r w:rsidR="00AF3A8A" w:rsidRPr="00A012C9">
        <w:rPr>
          <w:rFonts w:ascii="Arial" w:hAnsi="Arial" w:cs="Arial"/>
          <w:sz w:val="24"/>
          <w:szCs w:val="24"/>
        </w:rPr>
        <w:t>constitucionalidad del sistema de fijación</w:t>
      </w:r>
      <w:r>
        <w:rPr>
          <w:rFonts w:ascii="Arial" w:hAnsi="Arial" w:cs="Arial"/>
          <w:sz w:val="24"/>
          <w:szCs w:val="24"/>
        </w:rPr>
        <w:t>;</w:t>
      </w:r>
    </w:p>
    <w:p w:rsidR="00323ADE" w:rsidRDefault="00C57C89" w:rsidP="00323ADE">
      <w:pPr>
        <w:pStyle w:val="Cuerpo"/>
        <w:spacing w:line="360" w:lineRule="auto"/>
        <w:ind w:firstLine="3119"/>
        <w:jc w:val="both"/>
        <w:rPr>
          <w:rFonts w:ascii="Arial" w:hAnsi="Arial" w:cs="Arial"/>
          <w:sz w:val="24"/>
          <w:szCs w:val="24"/>
        </w:rPr>
      </w:pPr>
      <w:r w:rsidRPr="00323ADE">
        <w:rPr>
          <w:rFonts w:ascii="Arial" w:hAnsi="Arial" w:cs="Arial"/>
          <w:b/>
          <w:sz w:val="24"/>
          <w:szCs w:val="24"/>
        </w:rPr>
        <w:t>4)</w:t>
      </w:r>
      <w:r>
        <w:rPr>
          <w:rFonts w:ascii="Arial" w:hAnsi="Arial" w:cs="Arial"/>
          <w:sz w:val="24"/>
          <w:szCs w:val="24"/>
        </w:rPr>
        <w:t xml:space="preserve"> en consecuencia, refiere a la constitucionalidad de decisiones en algunos casos ya adoptadas por los organismos competentes, y en otros, de decisiones futuras;</w:t>
      </w:r>
    </w:p>
    <w:p w:rsidR="00323ADE" w:rsidRDefault="00C57C89" w:rsidP="00323ADE">
      <w:pPr>
        <w:pStyle w:val="Cuerpo"/>
        <w:spacing w:line="360" w:lineRule="auto"/>
        <w:ind w:firstLine="3119"/>
        <w:jc w:val="both"/>
        <w:rPr>
          <w:rFonts w:ascii="Arial" w:hAnsi="Arial" w:cs="Arial"/>
          <w:sz w:val="24"/>
          <w:szCs w:val="24"/>
        </w:rPr>
      </w:pPr>
      <w:r w:rsidRPr="00323ADE">
        <w:rPr>
          <w:rFonts w:ascii="Arial" w:hAnsi="Arial" w:cs="Arial"/>
          <w:b/>
          <w:sz w:val="24"/>
          <w:szCs w:val="24"/>
        </w:rPr>
        <w:t>5)</w:t>
      </w:r>
      <w:r>
        <w:rPr>
          <w:rFonts w:ascii="Arial" w:hAnsi="Arial" w:cs="Arial"/>
          <w:sz w:val="24"/>
          <w:szCs w:val="24"/>
        </w:rPr>
        <w:t xml:space="preserve"> </w:t>
      </w:r>
      <w:r w:rsidR="000631E1">
        <w:rPr>
          <w:rFonts w:ascii="Arial" w:hAnsi="Arial" w:cs="Arial"/>
          <w:sz w:val="24"/>
          <w:szCs w:val="24"/>
        </w:rPr>
        <w:t>que e</w:t>
      </w:r>
      <w:r w:rsidR="00AF3A8A" w:rsidRPr="00A012C9">
        <w:rPr>
          <w:rFonts w:ascii="Arial" w:hAnsi="Arial" w:cs="Arial"/>
          <w:sz w:val="24"/>
          <w:szCs w:val="24"/>
        </w:rPr>
        <w:t>l Tribunal de Cuen</w:t>
      </w:r>
      <w:r w:rsidR="000631E1">
        <w:rPr>
          <w:rFonts w:ascii="Arial" w:hAnsi="Arial" w:cs="Arial"/>
          <w:sz w:val="24"/>
          <w:szCs w:val="24"/>
        </w:rPr>
        <w:t>tas se expresa a través de sus R</w:t>
      </w:r>
      <w:r w:rsidR="00AF3A8A" w:rsidRPr="00A012C9">
        <w:rPr>
          <w:rFonts w:ascii="Arial" w:hAnsi="Arial" w:cs="Arial"/>
          <w:sz w:val="24"/>
          <w:szCs w:val="24"/>
        </w:rPr>
        <w:t>e</w:t>
      </w:r>
      <w:r w:rsidR="000631E1">
        <w:rPr>
          <w:rFonts w:ascii="Arial" w:hAnsi="Arial" w:cs="Arial"/>
          <w:sz w:val="24"/>
          <w:szCs w:val="24"/>
        </w:rPr>
        <w:t>soluciones, sobre los casos concreto</w:t>
      </w:r>
      <w:r w:rsidR="00AF3A8A" w:rsidRPr="00A012C9">
        <w:rPr>
          <w:rFonts w:ascii="Arial" w:hAnsi="Arial" w:cs="Arial"/>
          <w:sz w:val="24"/>
          <w:szCs w:val="24"/>
        </w:rPr>
        <w:t>s que se ponen a su consideración, en cumplimiento de las normas constitucionales que dieron nacimiento a la Institución y fijaron</w:t>
      </w:r>
      <w:r w:rsidR="000631E1">
        <w:rPr>
          <w:rFonts w:ascii="Arial" w:hAnsi="Arial" w:cs="Arial"/>
          <w:sz w:val="24"/>
          <w:szCs w:val="24"/>
        </w:rPr>
        <w:t xml:space="preserve"> el ámbito de  sus cometidos;</w:t>
      </w:r>
    </w:p>
    <w:p w:rsidR="00323ADE" w:rsidRDefault="000631E1" w:rsidP="00323ADE">
      <w:pPr>
        <w:pStyle w:val="Cuerpo"/>
        <w:spacing w:line="360" w:lineRule="auto"/>
        <w:ind w:firstLine="3119"/>
        <w:jc w:val="both"/>
        <w:rPr>
          <w:rFonts w:ascii="Arial" w:hAnsi="Arial" w:cs="Arial"/>
          <w:sz w:val="24"/>
          <w:szCs w:val="24"/>
        </w:rPr>
      </w:pPr>
      <w:r w:rsidRPr="00323ADE">
        <w:rPr>
          <w:rFonts w:ascii="Arial" w:hAnsi="Arial" w:cs="Arial"/>
          <w:b/>
          <w:sz w:val="24"/>
          <w:szCs w:val="24"/>
        </w:rPr>
        <w:t>6)</w:t>
      </w:r>
      <w:r>
        <w:rPr>
          <w:rFonts w:ascii="Arial" w:hAnsi="Arial" w:cs="Arial"/>
          <w:sz w:val="24"/>
          <w:szCs w:val="24"/>
        </w:rPr>
        <w:t xml:space="preserve"> que en lo que refiere a la materia presupuestal (Presupuestos y Rendiciones de Cuentas) su intervención está constitucionalmente prevista, así como la forma, oportunidad y contenido de sus dictámenes, a lo que se ha dado estricto cumpl</w:t>
      </w:r>
      <w:r w:rsidR="00323ADE">
        <w:rPr>
          <w:rFonts w:ascii="Arial" w:hAnsi="Arial" w:cs="Arial"/>
          <w:sz w:val="24"/>
          <w:szCs w:val="24"/>
        </w:rPr>
        <w:t>imiento</w:t>
      </w:r>
      <w:r>
        <w:rPr>
          <w:rFonts w:ascii="Arial" w:hAnsi="Arial" w:cs="Arial"/>
          <w:sz w:val="24"/>
          <w:szCs w:val="24"/>
        </w:rPr>
        <w:t xml:space="preserve"> en todas las instancias correspondientes;</w:t>
      </w:r>
    </w:p>
    <w:p w:rsidR="008C44DB" w:rsidRPr="00A012C9" w:rsidRDefault="000631E1" w:rsidP="00323ADE">
      <w:pPr>
        <w:pStyle w:val="Cuerpo"/>
        <w:spacing w:line="360" w:lineRule="auto"/>
        <w:ind w:firstLine="3119"/>
        <w:jc w:val="both"/>
        <w:rPr>
          <w:rFonts w:ascii="Arial" w:hAnsi="Arial" w:cs="Arial"/>
          <w:sz w:val="24"/>
          <w:szCs w:val="24"/>
        </w:rPr>
      </w:pPr>
      <w:r w:rsidRPr="00323ADE">
        <w:rPr>
          <w:rFonts w:ascii="Arial" w:hAnsi="Arial" w:cs="Arial"/>
          <w:b/>
          <w:sz w:val="24"/>
          <w:szCs w:val="24"/>
        </w:rPr>
        <w:t>7)</w:t>
      </w:r>
      <w:r w:rsidR="00323ADE">
        <w:rPr>
          <w:rFonts w:ascii="Arial" w:hAnsi="Arial" w:cs="Arial"/>
          <w:sz w:val="24"/>
          <w:szCs w:val="24"/>
        </w:rPr>
        <w:t xml:space="preserve"> que</w:t>
      </w:r>
      <w:r>
        <w:rPr>
          <w:rFonts w:ascii="Arial" w:hAnsi="Arial" w:cs="Arial"/>
          <w:sz w:val="24"/>
          <w:szCs w:val="24"/>
        </w:rPr>
        <w:t xml:space="preserve"> </w:t>
      </w:r>
      <w:r w:rsidR="00323ADE">
        <w:rPr>
          <w:rFonts w:ascii="Arial" w:hAnsi="Arial" w:cs="Arial"/>
          <w:sz w:val="24"/>
          <w:szCs w:val="24"/>
        </w:rPr>
        <w:t xml:space="preserve">es </w:t>
      </w:r>
      <w:r>
        <w:rPr>
          <w:rFonts w:ascii="Arial" w:hAnsi="Arial" w:cs="Arial"/>
          <w:sz w:val="24"/>
          <w:szCs w:val="24"/>
        </w:rPr>
        <w:t xml:space="preserve">deber y responsabilidad de este </w:t>
      </w:r>
      <w:r w:rsidR="00AF3A8A" w:rsidRPr="00A012C9">
        <w:rPr>
          <w:rFonts w:ascii="Arial" w:hAnsi="Arial" w:cs="Arial"/>
          <w:sz w:val="24"/>
          <w:szCs w:val="24"/>
        </w:rPr>
        <w:t>Tribunal de Cuenta</w:t>
      </w:r>
      <w:r>
        <w:rPr>
          <w:rFonts w:ascii="Arial" w:hAnsi="Arial" w:cs="Arial"/>
          <w:sz w:val="24"/>
          <w:szCs w:val="24"/>
        </w:rPr>
        <w:t>s evitar pronunciamientos fuera de</w:t>
      </w:r>
      <w:r w:rsidR="00AF3A8A" w:rsidRPr="00A012C9">
        <w:rPr>
          <w:rFonts w:ascii="Arial" w:hAnsi="Arial" w:cs="Arial"/>
          <w:sz w:val="24"/>
          <w:szCs w:val="24"/>
        </w:rPr>
        <w:t xml:space="preserve"> las instancias constitucionales y legales correspondientes, que puedan significa</w:t>
      </w:r>
      <w:r w:rsidR="00323ADE">
        <w:rPr>
          <w:rFonts w:ascii="Arial" w:hAnsi="Arial" w:cs="Arial"/>
          <w:sz w:val="24"/>
          <w:szCs w:val="24"/>
        </w:rPr>
        <w:t>r un prejuzgamiento;</w:t>
      </w:r>
    </w:p>
    <w:p w:rsidR="008C44DB" w:rsidRPr="00A012C9" w:rsidRDefault="00AF3A8A" w:rsidP="00323ADE">
      <w:pPr>
        <w:pStyle w:val="Cuerpo"/>
        <w:spacing w:line="360" w:lineRule="auto"/>
        <w:ind w:firstLine="851"/>
        <w:jc w:val="both"/>
        <w:rPr>
          <w:rFonts w:ascii="Arial" w:hAnsi="Arial" w:cs="Arial"/>
          <w:sz w:val="24"/>
          <w:szCs w:val="24"/>
        </w:rPr>
      </w:pPr>
      <w:r w:rsidRPr="000631E1">
        <w:rPr>
          <w:rFonts w:ascii="Arial" w:hAnsi="Arial" w:cs="Arial"/>
          <w:b/>
          <w:sz w:val="24"/>
          <w:szCs w:val="24"/>
        </w:rPr>
        <w:t>ATENTO:</w:t>
      </w:r>
      <w:r w:rsidR="00EA7928">
        <w:rPr>
          <w:rFonts w:ascii="Arial" w:hAnsi="Arial" w:cs="Arial"/>
          <w:sz w:val="24"/>
          <w:szCs w:val="24"/>
        </w:rPr>
        <w:t xml:space="preserve"> </w:t>
      </w:r>
      <w:r w:rsidR="00252540">
        <w:rPr>
          <w:rFonts w:ascii="Arial" w:hAnsi="Arial" w:cs="Arial"/>
          <w:sz w:val="24"/>
          <w:szCs w:val="24"/>
        </w:rPr>
        <w:t>a</w:t>
      </w:r>
      <w:r w:rsidRPr="00A012C9">
        <w:rPr>
          <w:rFonts w:ascii="Arial" w:hAnsi="Arial" w:cs="Arial"/>
          <w:sz w:val="24"/>
          <w:szCs w:val="24"/>
        </w:rPr>
        <w:t xml:space="preserve"> lo precedentemente expuesto, y a lo dispu</w:t>
      </w:r>
      <w:r w:rsidR="00EA7928">
        <w:rPr>
          <w:rFonts w:ascii="Arial" w:hAnsi="Arial" w:cs="Arial"/>
          <w:sz w:val="24"/>
          <w:szCs w:val="24"/>
        </w:rPr>
        <w:t>esto por los artículos 209 a 213</w:t>
      </w:r>
      <w:r w:rsidRPr="00A012C9">
        <w:rPr>
          <w:rFonts w:ascii="Arial" w:hAnsi="Arial" w:cs="Arial"/>
          <w:sz w:val="24"/>
          <w:szCs w:val="24"/>
        </w:rPr>
        <w:t xml:space="preserve"> de </w:t>
      </w:r>
      <w:r w:rsidR="00DD4F9A">
        <w:rPr>
          <w:rFonts w:ascii="Arial" w:hAnsi="Arial" w:cs="Arial"/>
          <w:sz w:val="24"/>
          <w:szCs w:val="24"/>
        </w:rPr>
        <w:t>la Constitución de la República;</w:t>
      </w:r>
    </w:p>
    <w:p w:rsidR="008C44DB" w:rsidRPr="00A012C9" w:rsidRDefault="00AF3A8A" w:rsidP="00DD4F9A">
      <w:pPr>
        <w:pStyle w:val="Cuerpo"/>
        <w:spacing w:line="360" w:lineRule="auto"/>
        <w:jc w:val="center"/>
        <w:rPr>
          <w:rFonts w:ascii="Arial" w:hAnsi="Arial" w:cs="Arial"/>
          <w:sz w:val="24"/>
          <w:szCs w:val="24"/>
        </w:rPr>
      </w:pPr>
      <w:r w:rsidRPr="000631E1">
        <w:rPr>
          <w:rFonts w:ascii="Arial" w:hAnsi="Arial" w:cs="Arial"/>
          <w:b/>
          <w:sz w:val="24"/>
          <w:szCs w:val="24"/>
        </w:rPr>
        <w:t>EL TRIBUNAL ACUERDA</w:t>
      </w:r>
    </w:p>
    <w:p w:rsidR="000631E1" w:rsidRDefault="00323ADE" w:rsidP="00323ADE">
      <w:pPr>
        <w:pStyle w:val="Cuerpo"/>
        <w:spacing w:line="360" w:lineRule="auto"/>
        <w:jc w:val="both"/>
        <w:rPr>
          <w:rFonts w:ascii="Arial" w:hAnsi="Arial" w:cs="Arial"/>
          <w:sz w:val="24"/>
          <w:szCs w:val="24"/>
        </w:rPr>
      </w:pPr>
      <w:r w:rsidRPr="00323ADE">
        <w:rPr>
          <w:rFonts w:ascii="Arial" w:hAnsi="Arial" w:cs="Arial"/>
          <w:b/>
          <w:sz w:val="24"/>
          <w:szCs w:val="24"/>
        </w:rPr>
        <w:t>1)</w:t>
      </w:r>
      <w:r>
        <w:rPr>
          <w:rFonts w:ascii="Arial" w:hAnsi="Arial" w:cs="Arial"/>
          <w:sz w:val="24"/>
          <w:szCs w:val="24"/>
        </w:rPr>
        <w:t xml:space="preserve"> </w:t>
      </w:r>
      <w:r w:rsidR="000631E1">
        <w:rPr>
          <w:rFonts w:ascii="Arial" w:hAnsi="Arial" w:cs="Arial"/>
          <w:sz w:val="24"/>
          <w:szCs w:val="24"/>
        </w:rPr>
        <w:t>Pronunciarse en los términos de los Considerandos de la presente Resolución;</w:t>
      </w:r>
    </w:p>
    <w:p w:rsidR="008C44DB" w:rsidRDefault="00323ADE" w:rsidP="00323ADE">
      <w:pPr>
        <w:pStyle w:val="Cuerpo"/>
        <w:spacing w:line="360" w:lineRule="auto"/>
        <w:jc w:val="both"/>
        <w:rPr>
          <w:rFonts w:ascii="Arial" w:hAnsi="Arial" w:cs="Arial"/>
          <w:sz w:val="24"/>
          <w:szCs w:val="24"/>
        </w:rPr>
      </w:pPr>
      <w:r w:rsidRPr="00323ADE">
        <w:rPr>
          <w:rFonts w:ascii="Arial" w:hAnsi="Arial" w:cs="Arial"/>
          <w:b/>
          <w:sz w:val="24"/>
          <w:szCs w:val="24"/>
        </w:rPr>
        <w:t>2)</w:t>
      </w:r>
      <w:r>
        <w:rPr>
          <w:rFonts w:ascii="Arial" w:hAnsi="Arial" w:cs="Arial"/>
          <w:sz w:val="24"/>
          <w:szCs w:val="24"/>
        </w:rPr>
        <w:t xml:space="preserve"> </w:t>
      </w:r>
      <w:r w:rsidR="000631E1">
        <w:rPr>
          <w:rFonts w:ascii="Arial" w:hAnsi="Arial" w:cs="Arial"/>
          <w:sz w:val="24"/>
          <w:szCs w:val="24"/>
        </w:rPr>
        <w:t>Oficiar a la Presidencia de la Cámara de Senadores.</w:t>
      </w:r>
    </w:p>
    <w:p w:rsidR="00323ADE" w:rsidRDefault="00323ADE" w:rsidP="00323ADE">
      <w:pPr>
        <w:pStyle w:val="Cuerpo"/>
        <w:spacing w:line="360" w:lineRule="auto"/>
        <w:jc w:val="both"/>
        <w:rPr>
          <w:rFonts w:ascii="Arial" w:hAnsi="Arial" w:cs="Arial"/>
          <w:sz w:val="24"/>
          <w:szCs w:val="24"/>
        </w:rPr>
      </w:pPr>
    </w:p>
    <w:p w:rsidR="00323ADE" w:rsidRDefault="00323ADE" w:rsidP="00323ADE">
      <w:pPr>
        <w:pStyle w:val="Cuerpo"/>
        <w:spacing w:line="360" w:lineRule="auto"/>
        <w:jc w:val="both"/>
        <w:rPr>
          <w:rFonts w:ascii="Arial" w:hAnsi="Arial" w:cs="Arial"/>
          <w:sz w:val="24"/>
          <w:szCs w:val="24"/>
        </w:rPr>
      </w:pPr>
    </w:p>
    <w:p w:rsidR="00323ADE" w:rsidRDefault="00323ADE" w:rsidP="00323ADE">
      <w:pPr>
        <w:pStyle w:val="Cuerpo"/>
        <w:spacing w:line="360" w:lineRule="auto"/>
        <w:jc w:val="both"/>
        <w:rPr>
          <w:rFonts w:ascii="Arial" w:hAnsi="Arial" w:cs="Arial"/>
          <w:sz w:val="24"/>
          <w:szCs w:val="24"/>
        </w:rPr>
      </w:pPr>
    </w:p>
    <w:p w:rsidR="00323ADE" w:rsidRDefault="00323ADE" w:rsidP="00323ADE">
      <w:pPr>
        <w:pStyle w:val="Cuerpo"/>
        <w:spacing w:line="360" w:lineRule="auto"/>
        <w:jc w:val="both"/>
        <w:rPr>
          <w:rFonts w:ascii="Arial" w:hAnsi="Arial" w:cs="Arial"/>
          <w:sz w:val="24"/>
          <w:szCs w:val="24"/>
        </w:rPr>
      </w:pPr>
    </w:p>
    <w:p w:rsidR="00323ADE" w:rsidRDefault="00323ADE" w:rsidP="00323ADE">
      <w:pPr>
        <w:pStyle w:val="Cuerpo"/>
        <w:spacing w:line="360" w:lineRule="auto"/>
        <w:jc w:val="both"/>
        <w:rPr>
          <w:rFonts w:ascii="Arial" w:hAnsi="Arial" w:cs="Arial"/>
          <w:sz w:val="24"/>
          <w:szCs w:val="24"/>
        </w:rPr>
      </w:pPr>
    </w:p>
    <w:p w:rsidR="00323ADE" w:rsidRDefault="00323ADE" w:rsidP="00323ADE">
      <w:pPr>
        <w:pStyle w:val="Cuerpo"/>
        <w:spacing w:line="360" w:lineRule="auto"/>
        <w:jc w:val="both"/>
        <w:rPr>
          <w:rFonts w:ascii="Arial" w:hAnsi="Arial" w:cs="Arial"/>
          <w:sz w:val="24"/>
          <w:szCs w:val="24"/>
        </w:rPr>
      </w:pPr>
    </w:p>
    <w:p w:rsidR="00323ADE" w:rsidRDefault="00323ADE" w:rsidP="00323ADE">
      <w:pPr>
        <w:pStyle w:val="Cuerpo"/>
        <w:spacing w:line="360" w:lineRule="auto"/>
        <w:jc w:val="both"/>
        <w:rPr>
          <w:rFonts w:ascii="Arial" w:hAnsi="Arial" w:cs="Arial"/>
          <w:sz w:val="24"/>
          <w:szCs w:val="24"/>
        </w:rPr>
      </w:pPr>
    </w:p>
    <w:p w:rsidR="00AD2DA3" w:rsidRPr="00AD2DA3" w:rsidRDefault="00323ADE" w:rsidP="00AD2DA3">
      <w:pPr>
        <w:pStyle w:val="Ttulo1"/>
        <w:ind w:right="-1"/>
        <w:rPr>
          <w:color w:val="000000"/>
          <w:lang w:val="es-ES_tradnl" w:eastAsia="es-UY"/>
        </w:rPr>
      </w:pPr>
      <w:r w:rsidRPr="00AD2DA3">
        <w:rPr>
          <w:rFonts w:eastAsia="Arial Unicode MS"/>
          <w:color w:val="000000"/>
          <w:szCs w:val="24"/>
          <w:bdr w:val="nil"/>
          <w:lang w:val="es-ES_tradnl" w:eastAsia="es-UY"/>
        </w:rPr>
        <w:t>CONSTANCIA DE FUNDAMENTO DE VOTO DISCORDE DEL MINISTRO               ING. MIGUEL AUMENTO:</w:t>
      </w:r>
      <w:r w:rsidRPr="00AD2DA3">
        <w:rPr>
          <w:rFonts w:eastAsia="Arial Unicode MS"/>
          <w:b w:val="0"/>
          <w:color w:val="000000"/>
          <w:szCs w:val="24"/>
          <w:bdr w:val="nil"/>
          <w:lang w:val="es-ES_tradnl" w:eastAsia="es-UY"/>
        </w:rPr>
        <w:t xml:space="preserve"> “</w:t>
      </w:r>
      <w:r w:rsidR="00AD2DA3" w:rsidRPr="00AD2DA3">
        <w:rPr>
          <w:rFonts w:eastAsia="Arial Unicode MS"/>
          <w:b w:val="0"/>
          <w:color w:val="000000"/>
          <w:szCs w:val="24"/>
          <w:bdr w:val="nil"/>
          <w:lang w:val="es-ES_tradnl" w:eastAsia="es-UY"/>
        </w:rPr>
        <w:t>He votado en forma discorde la Resolución recaída en el Asunto de referencia, por las raz</w:t>
      </w:r>
      <w:r w:rsidR="00252540">
        <w:rPr>
          <w:rFonts w:eastAsia="Arial Unicode MS"/>
          <w:b w:val="0"/>
          <w:color w:val="000000"/>
          <w:szCs w:val="24"/>
          <w:bdr w:val="nil"/>
          <w:lang w:val="es-ES_tradnl" w:eastAsia="es-UY"/>
        </w:rPr>
        <w:t>ones que se dirán seguidamente.</w:t>
      </w:r>
    </w:p>
    <w:p w:rsidR="00AD2DA3" w:rsidRDefault="00AD2DA3" w:rsidP="00AD2DA3">
      <w:pPr>
        <w:spacing w:line="360" w:lineRule="auto"/>
        <w:jc w:val="both"/>
        <w:rPr>
          <w:rFonts w:ascii="Arial" w:hAnsi="Arial" w:cs="Arial"/>
          <w:color w:val="000000"/>
          <w:lang w:val="es-ES_tradnl" w:eastAsia="es-UY"/>
        </w:rPr>
      </w:pPr>
      <w:r w:rsidRPr="00AD2DA3">
        <w:rPr>
          <w:rFonts w:ascii="Arial" w:hAnsi="Arial" w:cs="Arial"/>
          <w:color w:val="000000"/>
          <w:lang w:val="es-ES_tradnl" w:eastAsia="es-UY"/>
        </w:rPr>
        <w:t xml:space="preserve">En efecto, la Constitución de la República a través de su Artículo 118, confiere al Legislador la potestad de pedir </w:t>
      </w:r>
      <w:r w:rsidRPr="00AD2DA3">
        <w:rPr>
          <w:rFonts w:ascii="Arial" w:hAnsi="Arial" w:cs="Arial"/>
          <w:b/>
          <w:color w:val="000000"/>
          <w:lang w:val="es-ES_tradnl" w:eastAsia="es-UY"/>
        </w:rPr>
        <w:t>“los datos e informes que estime necesarios para llenar su cometido”</w:t>
      </w:r>
      <w:r w:rsidRPr="00AD2DA3">
        <w:rPr>
          <w:rFonts w:ascii="Arial" w:hAnsi="Arial" w:cs="Arial"/>
          <w:color w:val="000000"/>
          <w:lang w:val="es-ES_tradnl" w:eastAsia="es-UY"/>
        </w:rPr>
        <w:t>. Naturalmente, el Legislador no solo legisla, también controla el accionar gubernamental. Dicha potestad solo se ve restringida -a texto expreso- por la lista taxativa de órganos a los que puede dirigir la solicitud (Inciso 1 de dicho Artículo) y por lo que resulte objeto relacionado con la materia y competencia jurisdiccionales del Poder Judicial y del Tribunal de lo Contencioso Administrativo (Inciso 2 del Artículo precitado). Adicionalmente, la facultad del Legislador que emana de dicha norma constitucional podría verse limitada por otras de rango legal que no resulten finalmente contradictorias con el Artículo 118 de la Constitución. Pero no verifico que sean aplicables para este caso concreto. Tampoco puede soslayarse lo consignado por el Artículo 332 de la Carta.</w:t>
      </w:r>
    </w:p>
    <w:p w:rsidR="00252540" w:rsidRPr="00AD2DA3" w:rsidRDefault="00252540" w:rsidP="00AD2DA3">
      <w:pPr>
        <w:spacing w:line="360" w:lineRule="auto"/>
        <w:jc w:val="both"/>
        <w:rPr>
          <w:rFonts w:ascii="Arial" w:hAnsi="Arial" w:cs="Arial"/>
          <w:color w:val="000000"/>
          <w:lang w:val="es-ES_tradnl" w:eastAsia="es-UY"/>
        </w:rPr>
      </w:pPr>
    </w:p>
    <w:p w:rsidR="00AD2DA3" w:rsidRPr="00AD2DA3" w:rsidRDefault="00AD2DA3" w:rsidP="00AD2DA3">
      <w:pPr>
        <w:spacing w:line="360" w:lineRule="auto"/>
        <w:jc w:val="both"/>
        <w:rPr>
          <w:rFonts w:ascii="Arial" w:hAnsi="Arial" w:cs="Arial"/>
          <w:color w:val="000000"/>
          <w:lang w:val="es-ES_tradnl" w:eastAsia="es-UY"/>
        </w:rPr>
      </w:pPr>
      <w:r w:rsidRPr="00AD2DA3">
        <w:rPr>
          <w:rFonts w:ascii="Arial" w:hAnsi="Arial" w:cs="Arial"/>
          <w:color w:val="000000"/>
          <w:lang w:val="es-ES_tradnl" w:eastAsia="es-UY"/>
        </w:rPr>
        <w:t>A su vez, cabe señalar que el texto enfatizado en el párrafo anterior, resulta en una expresión sumamente amplia, desde la cual no puedo concluir que todo lo puntualizado en los Considerandos 3) y 4) de la Resolución del Tribunal de Cuentas colide con el sentido que hace al A</w:t>
      </w:r>
      <w:r w:rsidR="00252540">
        <w:rPr>
          <w:rFonts w:ascii="Arial" w:hAnsi="Arial" w:cs="Arial"/>
          <w:color w:val="000000"/>
          <w:lang w:val="es-ES_tradnl" w:eastAsia="es-UY"/>
        </w:rPr>
        <w:t>rtículo 118 de la Constitución.</w:t>
      </w:r>
    </w:p>
    <w:p w:rsidR="00AD2DA3" w:rsidRPr="00AD2DA3" w:rsidRDefault="00AD2DA3" w:rsidP="00AD2DA3">
      <w:pPr>
        <w:spacing w:line="360" w:lineRule="auto"/>
        <w:jc w:val="both"/>
        <w:rPr>
          <w:rFonts w:ascii="Arial" w:hAnsi="Arial" w:cs="Arial"/>
          <w:color w:val="000000"/>
          <w:lang w:val="es-ES_tradnl" w:eastAsia="es-UY"/>
        </w:rPr>
      </w:pPr>
      <w:r w:rsidRPr="00AD2DA3">
        <w:rPr>
          <w:rFonts w:ascii="Arial" w:hAnsi="Arial" w:cs="Arial"/>
          <w:color w:val="000000"/>
          <w:lang w:val="es-ES_tradnl" w:eastAsia="es-UY"/>
        </w:rPr>
        <w:t>Lo que es evidente es que el Sr. Senador Cardoso solicita a este Tribunal con fecha 26 de febrero de 2019, a través de la Presidencia de la Cámara de Senadores, opinión sobre cuatro aspectos atinentes al Fondo de Desarrollo del Interior (FDI).  La única, a mi juicio, que podría considerarse como una solicitud de pronunciamiento sobre la constitucionalidad de las decisiones, refiere a lo especificado como Consulta Nro. 4 (constitucionalidad sobre el sistema de fijación de acuerdo al Artículo 298 de la Carta). Y como ya se dijo aquí, no está claro para mí que dicha consulta no encuadre en la fa</w:t>
      </w:r>
      <w:r w:rsidR="00252540">
        <w:rPr>
          <w:rFonts w:ascii="Arial" w:hAnsi="Arial" w:cs="Arial"/>
          <w:color w:val="000000"/>
          <w:lang w:val="es-ES_tradnl" w:eastAsia="es-UY"/>
        </w:rPr>
        <w:t>cultad conferida al Legislador.</w:t>
      </w:r>
    </w:p>
    <w:p w:rsidR="00AD2DA3" w:rsidRPr="00AD2DA3" w:rsidRDefault="00AD2DA3" w:rsidP="00AD2DA3">
      <w:pPr>
        <w:spacing w:line="360" w:lineRule="auto"/>
        <w:jc w:val="both"/>
        <w:rPr>
          <w:rFonts w:ascii="Arial" w:hAnsi="Arial" w:cs="Arial"/>
          <w:color w:val="000000"/>
          <w:lang w:val="es-ES_tradnl" w:eastAsia="es-UY"/>
        </w:rPr>
      </w:pPr>
      <w:r w:rsidRPr="00AD2DA3">
        <w:rPr>
          <w:rFonts w:ascii="Arial" w:hAnsi="Arial" w:cs="Arial"/>
          <w:color w:val="000000"/>
          <w:lang w:val="es-ES_tradnl" w:eastAsia="es-UY"/>
        </w:rPr>
        <w:t>En cuanto a lo sostenido en el Considerando 7), en el sentido que el Tribunal de Cuentas debe evitar pronunciamientos que puedan significar un prejuzgamiento, he optado finalmente por no referirme a ello para este caso concreto, al menos no en esta oportunidad.</w:t>
      </w:r>
    </w:p>
    <w:p w:rsidR="00AD2DA3" w:rsidRDefault="00AD2DA3" w:rsidP="00AD2DA3">
      <w:pPr>
        <w:spacing w:line="360" w:lineRule="auto"/>
        <w:jc w:val="both"/>
        <w:rPr>
          <w:rFonts w:ascii="Arial" w:hAnsi="Arial" w:cs="Arial"/>
          <w:color w:val="000000"/>
          <w:lang w:val="es-ES_tradnl" w:eastAsia="es-UY"/>
        </w:rPr>
      </w:pPr>
      <w:r w:rsidRPr="00AD2DA3">
        <w:rPr>
          <w:rFonts w:ascii="Arial" w:hAnsi="Arial" w:cs="Arial"/>
          <w:color w:val="000000"/>
          <w:lang w:val="es-ES_tradnl" w:eastAsia="es-UY"/>
        </w:rPr>
        <w:t>Por todo lo expuesto, he votado en forma discorde la Reso</w:t>
      </w:r>
      <w:r>
        <w:rPr>
          <w:rFonts w:ascii="Arial" w:hAnsi="Arial" w:cs="Arial"/>
          <w:color w:val="000000"/>
          <w:lang w:val="es-ES_tradnl" w:eastAsia="es-UY"/>
        </w:rPr>
        <w:t>lución de este expediente.”</w:t>
      </w:r>
    </w:p>
    <w:p w:rsidR="00AD2DA3" w:rsidRDefault="00AD2DA3" w:rsidP="00AD2DA3">
      <w:pPr>
        <w:spacing w:line="360" w:lineRule="auto"/>
        <w:jc w:val="both"/>
        <w:rPr>
          <w:rFonts w:ascii="Arial" w:hAnsi="Arial" w:cs="Arial"/>
          <w:color w:val="000000"/>
          <w:lang w:val="es-ES_tradnl" w:eastAsia="es-UY"/>
        </w:rPr>
      </w:pPr>
    </w:p>
    <w:p w:rsidR="00AD2DA3" w:rsidRDefault="00AD2DA3" w:rsidP="00AD2DA3">
      <w:pPr>
        <w:spacing w:line="360" w:lineRule="auto"/>
        <w:jc w:val="both"/>
        <w:rPr>
          <w:rFonts w:ascii="Arial" w:hAnsi="Arial" w:cs="Arial"/>
          <w:lang w:val="es-ES"/>
        </w:rPr>
      </w:pPr>
      <w:r w:rsidRPr="00AD2DA3">
        <w:rPr>
          <w:rFonts w:ascii="Arial" w:hAnsi="Arial" w:cs="Arial"/>
          <w:b/>
          <w:lang w:val="es-ES"/>
        </w:rPr>
        <w:t xml:space="preserve">CONSTANCIA DE FUNDAMENTO DE VOTO DISCORDE DEL MINISTRO               ING. RUPERTO LONG: </w:t>
      </w:r>
      <w:r w:rsidRPr="00AD2DA3">
        <w:rPr>
          <w:rFonts w:ascii="Arial" w:hAnsi="Arial" w:cs="Arial"/>
          <w:lang w:val="es-ES"/>
        </w:rPr>
        <w:t>“Voto discorde por entender que el Tribunal de Cuentas debió responder en forma específica la solicitud formulada p</w:t>
      </w:r>
      <w:r w:rsidR="00524EF4">
        <w:rPr>
          <w:rFonts w:ascii="Arial" w:hAnsi="Arial" w:cs="Arial"/>
          <w:lang w:val="es-ES"/>
        </w:rPr>
        <w:t>or el senador José Carlos Cardos</w:t>
      </w:r>
      <w:r w:rsidRPr="00AD2DA3">
        <w:rPr>
          <w:rFonts w:ascii="Arial" w:hAnsi="Arial" w:cs="Arial"/>
          <w:lang w:val="es-ES"/>
        </w:rPr>
        <w:t>o al amparo de lo dispuesto por el art. 118 de la Constitución de la República.</w:t>
      </w:r>
      <w:r>
        <w:rPr>
          <w:rFonts w:ascii="Arial" w:hAnsi="Arial" w:cs="Arial"/>
          <w:lang w:val="es-ES"/>
        </w:rPr>
        <w:t>”</w:t>
      </w:r>
    </w:p>
    <w:p w:rsidR="00AD2DA3" w:rsidRDefault="00AD2DA3" w:rsidP="00AD2DA3">
      <w:pPr>
        <w:spacing w:line="360" w:lineRule="auto"/>
        <w:jc w:val="both"/>
        <w:rPr>
          <w:rFonts w:ascii="Arial" w:hAnsi="Arial" w:cs="Arial"/>
          <w:lang w:val="es-ES"/>
        </w:rPr>
      </w:pPr>
    </w:p>
    <w:p w:rsidR="00252540" w:rsidRDefault="00252540" w:rsidP="00AD2DA3">
      <w:pPr>
        <w:spacing w:line="360" w:lineRule="auto"/>
        <w:jc w:val="both"/>
        <w:rPr>
          <w:rFonts w:ascii="Arial" w:hAnsi="Arial" w:cs="Arial"/>
          <w:lang w:val="es-ES"/>
        </w:rPr>
      </w:pPr>
    </w:p>
    <w:p w:rsidR="00252540" w:rsidRDefault="00252540" w:rsidP="00AD2DA3">
      <w:pPr>
        <w:spacing w:line="360" w:lineRule="auto"/>
        <w:jc w:val="both"/>
        <w:rPr>
          <w:rFonts w:ascii="Arial" w:hAnsi="Arial" w:cs="Arial"/>
          <w:lang w:val="es-ES"/>
        </w:rPr>
      </w:pPr>
    </w:p>
    <w:p w:rsidR="009E4696" w:rsidRPr="009E4696" w:rsidRDefault="00AD2DA3" w:rsidP="009E4696">
      <w:pPr>
        <w:spacing w:line="360" w:lineRule="auto"/>
        <w:jc w:val="both"/>
        <w:rPr>
          <w:rFonts w:ascii="Arial" w:hAnsi="Arial" w:cs="Arial"/>
          <w:lang w:val="es-ES"/>
        </w:rPr>
      </w:pPr>
      <w:r w:rsidRPr="00AD2DA3">
        <w:rPr>
          <w:rFonts w:ascii="Arial" w:hAnsi="Arial" w:cs="Arial"/>
          <w:b/>
          <w:lang w:val="es-ES"/>
        </w:rPr>
        <w:t xml:space="preserve">CONSTANCIA DE FUNDAMENTO DE VOTO DISCORDE DEL MINISTRO DR. </w:t>
      </w:r>
      <w:r w:rsidRPr="009E4696">
        <w:rPr>
          <w:rFonts w:ascii="Arial" w:hAnsi="Arial" w:cs="Arial"/>
          <w:b/>
          <w:lang w:val="es-ES"/>
        </w:rPr>
        <w:t xml:space="preserve">ALVARO EZCURRA: </w:t>
      </w:r>
      <w:r w:rsidRPr="009E4696">
        <w:rPr>
          <w:rFonts w:ascii="Arial" w:hAnsi="Arial" w:cs="Arial"/>
          <w:lang w:val="es-ES"/>
        </w:rPr>
        <w:t>“</w:t>
      </w:r>
      <w:r w:rsidR="009E4696" w:rsidRPr="009E4696">
        <w:rPr>
          <w:rFonts w:ascii="Arial" w:hAnsi="Arial" w:cs="Arial"/>
          <w:lang w:val="es-ES"/>
        </w:rPr>
        <w:t>Oportunamente el Senador José Carlos Cardoso, al amparo de lo dispuesto por el artículo 118 de la Constitución de la República solicita se informe por parte de este Tribunal aspectos relacionados con el Fondo de Desarrollo del Interior.</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Por votación de la mayoría del Cuerpo, se resolvió devolver el pedido de informes argumentando que el pedido no se trata de “datos e informes” tal como lo establece el artículo citado sino que se solicita por parte del Senador Cardoso que el Tribunal se expida sobre la constitucionalidad y legalidad del recurso creado por el artículo 298 de la Constitución de la República, su naturaleza jurídica, si se trata de un recurso nacional o departamental, forma en que debe exponerse y constitucionalidad del sistema de fijación  y que, en consecuencia “de lo que se trata es de pronunciamientos acerca de la legalidad y constitucionalidad de decisiones en algunos casos ya tomados por los organismos correspondientes y en otros casos de decisiones futuras”.</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Resuelve en definitiva que el Tribunal de Cuentas se expresa través de sus resoluciones sobre casos concretos que se ponen a su “consideración</w:t>
      </w:r>
      <w:r>
        <w:rPr>
          <w:rFonts w:ascii="Arial" w:hAnsi="Arial" w:cs="Arial"/>
          <w:lang w:val="es-ES"/>
        </w:rPr>
        <w:t>” y que debe… “</w:t>
      </w:r>
      <w:r w:rsidRPr="009E4696">
        <w:rPr>
          <w:rFonts w:ascii="Arial" w:hAnsi="Arial" w:cs="Arial"/>
          <w:lang w:val="es-ES"/>
        </w:rPr>
        <w:t>evitar pronunciamientos ajenos a las instancias constitucionales y legales correspondientes que puedan significar un prejuzgamiento”.</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Asimismo se fundamentó dicha Resolución en forma verbal en el ámbito de la Sesión Ordinaria del Tribunal de Cuentas sosteniéndose por algún Ministro que no tenía conocimiento de artículo alguno que estableciera la competencia del Cuerpo en materia de “asesoramiento” e inclusive que existía un acuerdo en el Congreso de Intendentes respecto a la forma de calcular las transferencias a l</w:t>
      </w:r>
      <w:r w:rsidR="00252540">
        <w:rPr>
          <w:rFonts w:ascii="Arial" w:hAnsi="Arial" w:cs="Arial"/>
          <w:lang w:val="es-ES"/>
        </w:rPr>
        <w:t>os Gobiernos Departamentales.</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Siempre en el m</w:t>
      </w:r>
      <w:r w:rsidR="00252540">
        <w:rPr>
          <w:rFonts w:ascii="Arial" w:hAnsi="Arial" w:cs="Arial"/>
          <w:lang w:val="es-ES"/>
        </w:rPr>
        <w:t>á</w:t>
      </w:r>
      <w:r w:rsidRPr="009E4696">
        <w:rPr>
          <w:rFonts w:ascii="Arial" w:hAnsi="Arial" w:cs="Arial"/>
          <w:lang w:val="es-ES"/>
        </w:rPr>
        <w:t>s profundo respeto a las opiniones divergentes con las de quien suscribe, debo decir que no puedo estar más alejado de la opinión de la mayoría, agregando especialmente que, una vez más, y quizás en forma definitiva por su tenor, la Resolución adoptada viola el mandato constitucional que informa el artículo 118 de la Constitución de la República.</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Comenzando con lo que considero más obvio: al momento de emitir su dictamen, el Tribunal de Cuentas no puede ni debe poner en consideración “acuerdos políticos” que</w:t>
      </w:r>
      <w:r w:rsidR="00524EF4">
        <w:rPr>
          <w:rFonts w:ascii="Arial" w:hAnsi="Arial" w:cs="Arial"/>
          <w:lang w:val="es-ES"/>
        </w:rPr>
        <w:t xml:space="preserve"> </w:t>
      </w:r>
      <w:r w:rsidRPr="009E4696">
        <w:rPr>
          <w:rFonts w:ascii="Arial" w:hAnsi="Arial" w:cs="Arial"/>
          <w:lang w:val="es-ES"/>
        </w:rPr>
        <w:t xml:space="preserve">nada tienen que ver con el o los fundamentos de su </w:t>
      </w:r>
      <w:r w:rsidR="00524EF4" w:rsidRPr="009E4696">
        <w:rPr>
          <w:rFonts w:ascii="Arial" w:hAnsi="Arial" w:cs="Arial"/>
          <w:lang w:val="es-ES"/>
        </w:rPr>
        <w:t>dictamen</w:t>
      </w:r>
      <w:r w:rsidRPr="009E4696">
        <w:rPr>
          <w:rFonts w:ascii="Arial" w:hAnsi="Arial" w:cs="Arial"/>
          <w:lang w:val="es-ES"/>
        </w:rPr>
        <w:t>, y en segundo lugar que considero que sí es competencia de este Cuerpo ejercer la función de asesoramiento de todos los Organismos del Estado y  también ejercerla  respecto de los ot</w:t>
      </w:r>
      <w:r w:rsidR="00524EF4">
        <w:rPr>
          <w:rFonts w:ascii="Arial" w:hAnsi="Arial" w:cs="Arial"/>
          <w:lang w:val="es-ES"/>
        </w:rPr>
        <w:t>ros Poderes del Estado,</w:t>
      </w:r>
      <w:r w:rsidRPr="009E4696">
        <w:rPr>
          <w:rFonts w:ascii="Arial" w:hAnsi="Arial" w:cs="Arial"/>
          <w:lang w:val="es-ES"/>
        </w:rPr>
        <w:t xml:space="preserve"> el Poder Judicial y especialmente del Parlamento Nacional quien por otra parte “completa” la competencia </w:t>
      </w:r>
      <w:r>
        <w:rPr>
          <w:rFonts w:ascii="Arial" w:hAnsi="Arial" w:cs="Arial"/>
          <w:lang w:val="es-ES"/>
        </w:rPr>
        <w:t>propia de control del Tribunal.</w:t>
      </w:r>
      <w:r w:rsidRPr="009E4696">
        <w:rPr>
          <w:rFonts w:ascii="Arial" w:hAnsi="Arial" w:cs="Arial"/>
          <w:lang w:val="es-ES"/>
        </w:rPr>
        <w:t xml:space="preserve"> La función asesora que desempeñamos se deduce de la simple lectura de normas constitucionales y legales que así lo establecen:</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 xml:space="preserve">Sin que la presente relación </w:t>
      </w:r>
      <w:r w:rsidR="00252540">
        <w:rPr>
          <w:rFonts w:ascii="Arial" w:hAnsi="Arial" w:cs="Arial"/>
          <w:lang w:val="es-ES"/>
        </w:rPr>
        <w:t>agote los ejemplos al respecto:</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A</w:t>
      </w:r>
      <w:r>
        <w:rPr>
          <w:rFonts w:ascii="Arial" w:hAnsi="Arial" w:cs="Arial"/>
          <w:lang w:val="es-ES"/>
        </w:rPr>
        <w:t>rtículo 301 de la Constitución</w:t>
      </w:r>
      <w:r w:rsidRPr="009E4696">
        <w:rPr>
          <w:rFonts w:ascii="Arial" w:hAnsi="Arial" w:cs="Arial"/>
          <w:lang w:val="es-ES"/>
        </w:rPr>
        <w:t>: “Los Gobiernos Departamentales no podrán emitir títulos de Deuda Pública Departamental ni concertar préstamos ni empréstitos con organismos internacionales o instituciones o gobiernos extranjeros sino a propuesta del Intendente, aprobada por la Junta Departamental</w:t>
      </w:r>
      <w:r w:rsidRPr="009E4696">
        <w:rPr>
          <w:rFonts w:ascii="Arial" w:hAnsi="Arial" w:cs="Arial"/>
          <w:b/>
          <w:u w:val="single"/>
          <w:lang w:val="es-ES"/>
        </w:rPr>
        <w:t xml:space="preserve">, previo informe del Tribunal de </w:t>
      </w:r>
      <w:proofErr w:type="gramStart"/>
      <w:r w:rsidRPr="009E4696">
        <w:rPr>
          <w:rFonts w:ascii="Arial" w:hAnsi="Arial" w:cs="Arial"/>
          <w:b/>
          <w:u w:val="single"/>
          <w:lang w:val="es-ES"/>
        </w:rPr>
        <w:t>Cuentas …</w:t>
      </w:r>
      <w:proofErr w:type="gramEnd"/>
      <w:r w:rsidRPr="009E4696">
        <w:rPr>
          <w:rFonts w:ascii="Arial" w:hAnsi="Arial" w:cs="Arial"/>
          <w:b/>
          <w:u w:val="single"/>
          <w:lang w:val="es-ES"/>
        </w:rPr>
        <w:t>…</w:t>
      </w:r>
      <w:r>
        <w:rPr>
          <w:rFonts w:ascii="Arial" w:hAnsi="Arial" w:cs="Arial"/>
          <w:lang w:val="es-ES"/>
        </w:rPr>
        <w:t>”</w:t>
      </w:r>
      <w:r w:rsidRPr="009E4696">
        <w:rPr>
          <w:rFonts w:ascii="Arial" w:hAnsi="Arial" w:cs="Arial"/>
          <w:lang w:val="es-ES"/>
        </w:rPr>
        <w:t>. Y en su inciso segundo: “Para contratar otro tipo de préstamos se requerirá la iniciativa del Intendente y</w:t>
      </w:r>
      <w:r>
        <w:rPr>
          <w:rFonts w:ascii="Arial" w:hAnsi="Arial" w:cs="Arial"/>
          <w:lang w:val="es-ES"/>
        </w:rPr>
        <w:t xml:space="preserve"> </w:t>
      </w:r>
      <w:r w:rsidRPr="009E4696">
        <w:rPr>
          <w:rFonts w:ascii="Arial" w:hAnsi="Arial" w:cs="Arial"/>
          <w:lang w:val="es-ES"/>
        </w:rPr>
        <w:t>la aprobación de la mayoría absoluta de votos del total de componentes de la Junta Departamental</w:t>
      </w:r>
      <w:r w:rsidRPr="009E4696">
        <w:rPr>
          <w:rFonts w:ascii="Arial" w:hAnsi="Arial" w:cs="Arial"/>
          <w:b/>
          <w:lang w:val="es-ES"/>
        </w:rPr>
        <w:t>, previo informe del Tribunal de Cuentas….”.</w:t>
      </w:r>
      <w:r w:rsidRPr="009E4696">
        <w:rPr>
          <w:rFonts w:ascii="Arial" w:hAnsi="Arial" w:cs="Arial"/>
          <w:lang w:val="es-ES"/>
        </w:rPr>
        <w:t xml:space="preserve"> Clarísima función de asesoramiento.</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 xml:space="preserve">Artículo 273 </w:t>
      </w:r>
      <w:proofErr w:type="spellStart"/>
      <w:r w:rsidRPr="009E4696">
        <w:rPr>
          <w:rFonts w:ascii="Arial" w:hAnsi="Arial" w:cs="Arial"/>
          <w:lang w:val="es-ES"/>
        </w:rPr>
        <w:t>nal</w:t>
      </w:r>
      <w:proofErr w:type="spellEnd"/>
      <w:r w:rsidRPr="009E4696">
        <w:rPr>
          <w:rFonts w:ascii="Arial" w:hAnsi="Arial" w:cs="Arial"/>
          <w:lang w:val="es-ES"/>
        </w:rPr>
        <w:t xml:space="preserve"> 4) de la Carta: “La junta Departamental ejercerá las funciones legislativas y de contralor en el Gobierno Departamental…..” “Además de las que la ley determine serán atribuciones de las Juntas Departamentales……4°) Requerir la intervención del Tribunal de Cuentas</w:t>
      </w:r>
      <w:r w:rsidRPr="009E4696">
        <w:rPr>
          <w:rFonts w:ascii="Arial" w:hAnsi="Arial" w:cs="Arial"/>
          <w:b/>
          <w:lang w:val="es-ES"/>
        </w:rPr>
        <w:t xml:space="preserve"> para informarse</w:t>
      </w:r>
      <w:r w:rsidRPr="009E4696">
        <w:rPr>
          <w:rFonts w:ascii="Arial" w:hAnsi="Arial" w:cs="Arial"/>
          <w:lang w:val="es-ES"/>
        </w:rPr>
        <w:t xml:space="preserve"> sobre cuestiones relativas a la Hacienda Pública o a la Administración Departamental”</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 xml:space="preserve"> </w:t>
      </w:r>
      <w:r>
        <w:rPr>
          <w:rFonts w:ascii="Arial" w:hAnsi="Arial" w:cs="Arial"/>
          <w:lang w:val="es-ES"/>
        </w:rPr>
        <w:t>Artículo 112 del T.O.C.A.F.</w:t>
      </w:r>
      <w:r w:rsidRPr="009E4696">
        <w:rPr>
          <w:rFonts w:ascii="Arial" w:hAnsi="Arial" w:cs="Arial"/>
          <w:lang w:val="es-ES"/>
        </w:rPr>
        <w:t>: “El Tribunal de Cuentas evacuará las consultas que le formulen por escrito los Organismos Públicos……….” y especialmente para el caso que nos ocupa:</w:t>
      </w:r>
    </w:p>
    <w:p w:rsidR="009E4696" w:rsidRPr="009E4696" w:rsidRDefault="009E4696" w:rsidP="009E4696">
      <w:pPr>
        <w:spacing w:line="360" w:lineRule="auto"/>
        <w:jc w:val="both"/>
        <w:rPr>
          <w:rFonts w:ascii="Arial" w:hAnsi="Arial" w:cs="Arial"/>
          <w:lang w:val="es-ES"/>
        </w:rPr>
      </w:pPr>
      <w:r>
        <w:rPr>
          <w:rFonts w:ascii="Arial" w:hAnsi="Arial" w:cs="Arial"/>
          <w:lang w:val="es-ES"/>
        </w:rPr>
        <w:t>Artículo 118</w:t>
      </w:r>
      <w:r w:rsidRPr="009E4696">
        <w:rPr>
          <w:rFonts w:ascii="Arial" w:hAnsi="Arial" w:cs="Arial"/>
          <w:lang w:val="es-ES"/>
        </w:rPr>
        <w:t>: “Todo legislador puede pedir a los Ministros de Estado, a la Suprema Corte de Justicia, a la Corte Electoral, al Tribunal de lo Contencioso Administrativo y al Tribunal de cuentas, los datos e informes que estime necesarios para llenar su cometido”.</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 xml:space="preserve">Todas estas normas y </w:t>
      </w:r>
      <w:proofErr w:type="gramStart"/>
      <w:r w:rsidRPr="009E4696">
        <w:rPr>
          <w:rFonts w:ascii="Arial" w:hAnsi="Arial" w:cs="Arial"/>
          <w:lang w:val="es-ES"/>
        </w:rPr>
        <w:t>otras sobre</w:t>
      </w:r>
      <w:proofErr w:type="gramEnd"/>
      <w:r w:rsidRPr="009E4696">
        <w:rPr>
          <w:rFonts w:ascii="Arial" w:hAnsi="Arial" w:cs="Arial"/>
          <w:lang w:val="es-ES"/>
        </w:rPr>
        <w:t xml:space="preserve"> las que no viene al caso abundar marcan la función asesora del Tribunal de Cuentas.</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 xml:space="preserve">Sin embargo resulta curioso que, </w:t>
      </w:r>
      <w:proofErr w:type="spellStart"/>
      <w:r w:rsidRPr="009E4696">
        <w:rPr>
          <w:rFonts w:ascii="Arial" w:hAnsi="Arial" w:cs="Arial"/>
          <w:lang w:val="es-ES"/>
        </w:rPr>
        <w:t>aún</w:t>
      </w:r>
      <w:proofErr w:type="spellEnd"/>
      <w:r w:rsidRPr="009E4696">
        <w:rPr>
          <w:rFonts w:ascii="Arial" w:hAnsi="Arial" w:cs="Arial"/>
          <w:lang w:val="es-ES"/>
        </w:rPr>
        <w:t xml:space="preserve"> habiendo asesorado claramente en otras instancias cercanas en el tiempo, tanto al Poder Judicial como al Poder Legislativo, hoy se sostenga por la mayoría que ello no corresponde fundándose en  evasivos considerandos que establecen “que el Tribunal de Cuentas se expresa a través de sus Resoluciones…” (Considerando 5) y que “….debe evitar prejuzgamientos”. (Considerando 7)</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 xml:space="preserve">En efecto, solicitado informe por la Juez Letrado de Primera Instancia de Mercedes de Primer Turno respecto al expediente “Denuncia IUE </w:t>
      </w:r>
      <w:r w:rsidR="00524EF4">
        <w:rPr>
          <w:rFonts w:ascii="Arial" w:hAnsi="Arial" w:cs="Arial"/>
          <w:lang w:val="es-ES"/>
        </w:rPr>
        <w:t xml:space="preserve">                 </w:t>
      </w:r>
      <w:r w:rsidRPr="009E4696">
        <w:rPr>
          <w:rFonts w:ascii="Arial" w:hAnsi="Arial" w:cs="Arial"/>
          <w:lang w:val="es-ES"/>
        </w:rPr>
        <w:t xml:space="preserve">380-2316/2017” (Caso </w:t>
      </w:r>
      <w:proofErr w:type="spellStart"/>
      <w:r w:rsidRPr="009E4696">
        <w:rPr>
          <w:rFonts w:ascii="Arial" w:hAnsi="Arial" w:cs="Arial"/>
          <w:lang w:val="es-ES"/>
        </w:rPr>
        <w:t>Bascou</w:t>
      </w:r>
      <w:proofErr w:type="spellEnd"/>
      <w:r w:rsidRPr="009E4696">
        <w:rPr>
          <w:rFonts w:ascii="Arial" w:hAnsi="Arial" w:cs="Arial"/>
          <w:lang w:val="es-ES"/>
        </w:rPr>
        <w:t>) este Cuerpo contestó en los siguientes términos:”….este Tribunal considera que si bien en los hechos las dos situaciones no son idénticas, sí son similares” Y agrega más adelante: “Por lo tanto desde el punto de vista sustancial, los elementos a considerar son los mismos”.</w:t>
      </w:r>
      <w:r w:rsidR="00524EF4">
        <w:rPr>
          <w:rFonts w:ascii="Arial" w:hAnsi="Arial" w:cs="Arial"/>
          <w:lang w:val="es-ES"/>
        </w:rPr>
        <w:t xml:space="preserve"> </w:t>
      </w:r>
      <w:r w:rsidRPr="009E4696">
        <w:rPr>
          <w:rFonts w:ascii="Arial" w:hAnsi="Arial" w:cs="Arial"/>
          <w:lang w:val="es-ES"/>
        </w:rPr>
        <w:t>El Oficio respectivo fue aprobado por la unanimidad de los integrantes del Cuerpo y resulta un asesoramiento evidente.</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 xml:space="preserve">Y en caso del informe solicitado por el Senador </w:t>
      </w:r>
      <w:proofErr w:type="spellStart"/>
      <w:r w:rsidRPr="009E4696">
        <w:rPr>
          <w:rFonts w:ascii="Arial" w:hAnsi="Arial" w:cs="Arial"/>
          <w:lang w:val="es-ES"/>
        </w:rPr>
        <w:t>Mieres</w:t>
      </w:r>
      <w:proofErr w:type="spellEnd"/>
      <w:r w:rsidRPr="009E4696">
        <w:rPr>
          <w:rFonts w:ascii="Arial" w:hAnsi="Arial" w:cs="Arial"/>
          <w:lang w:val="es-ES"/>
        </w:rPr>
        <w:t xml:space="preserve"> respecto al costo del </w:t>
      </w:r>
      <w:proofErr w:type="spellStart"/>
      <w:r w:rsidRPr="009E4696">
        <w:rPr>
          <w:rFonts w:ascii="Arial" w:hAnsi="Arial" w:cs="Arial"/>
          <w:lang w:val="es-ES"/>
        </w:rPr>
        <w:t>Antel</w:t>
      </w:r>
      <w:proofErr w:type="spellEnd"/>
      <w:r w:rsidRPr="009E4696">
        <w:rPr>
          <w:rFonts w:ascii="Arial" w:hAnsi="Arial" w:cs="Arial"/>
          <w:lang w:val="es-ES"/>
        </w:rPr>
        <w:t xml:space="preserve"> Arena: el Cuerpo no se limitó solamente a remitir cifras sino que realizó aclaraciones respecto a las mismas tales como que el IVA no constituye un costo para ANTEL, explicando lar razones por la cuales no correspondía exponerlo,  o que el monto de las contrataciones realizadas con una subsidiara tampoco se incluyeron por tratarse de operaciones inter compañías. Es decir, el Tribunal de Cuentas no se limitó a emitir su informe liso y llano del costo respectivo sino que se tomó el trabajo de asesorar  al Señor Senador sobre las razones por las cuales no se incluían ciertos rubros. Emitió su opinión y los fundamentos en los que se sostuvo, en lo que a mi criterio constituye otro clar</w:t>
      </w:r>
      <w:r w:rsidR="00252540">
        <w:rPr>
          <w:rFonts w:ascii="Arial" w:hAnsi="Arial" w:cs="Arial"/>
          <w:lang w:val="es-ES"/>
        </w:rPr>
        <w:t>o ejercicio de asesoramiento.</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Finalmente, para quien sustenta su voto en la opinión de que el Tribunal no puede dictaminar respecto a la constitucionalidad o inconstitucionalidad de una norma, debo decir que además de que los hechos contradicen tal conclusión, (lo hace desde siem</w:t>
      </w:r>
      <w:r>
        <w:rPr>
          <w:rFonts w:ascii="Arial" w:hAnsi="Arial" w:cs="Arial"/>
          <w:lang w:val="es-ES"/>
        </w:rPr>
        <w:t>p</w:t>
      </w:r>
      <w:r w:rsidRPr="009E4696">
        <w:rPr>
          <w:rFonts w:ascii="Arial" w:hAnsi="Arial" w:cs="Arial"/>
          <w:lang w:val="es-ES"/>
        </w:rPr>
        <w:t>re en toda la materia de su competencia y con nula oposición) quien así opina incurre en el error de considerar que la opinión  emitida a través de sus resoluciones  (el dictamen propiamente dicho, es decir la opinión fundada sobre un punto determinado) constituye una “declaratoria de inconstitucionalidad”, declaratoria  que, como es obvio, resulta de competencia privativa de la Suprema Corte de Justicia, por lo que entiendo se confunde notoriament</w:t>
      </w:r>
      <w:r w:rsidR="00252540">
        <w:rPr>
          <w:rFonts w:ascii="Arial" w:hAnsi="Arial" w:cs="Arial"/>
          <w:lang w:val="es-ES"/>
        </w:rPr>
        <w:t>e el alcance de aquél dictamen.</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En resumen: el Señor Senador Cardoso solicita al amparo del artículo 118 de la Constitución se le informe : 1) Cual es la naturaleza jurídica del recurso creado por el artículo 298 numeral 2 de la Constitución de la República, 2) Que se le indique  si se trata de un recurso departamental o un recurso nacional y el tratamiento contable y presupuestal que debiera hacerse del mismo, 3)  Cómo debe exponerse el producido de ese recurso , básicamente si deben exponerse como inversiones nacionales o de cada departamento y 4) Se exprese el Tribunal respecto a la constitucionalidad del sistema de fijación del Fondo de Desarrollo del Interior (FDI).</w:t>
      </w:r>
    </w:p>
    <w:p w:rsidR="009E4696" w:rsidRPr="009E4696" w:rsidRDefault="009E4696" w:rsidP="009E4696">
      <w:pPr>
        <w:spacing w:line="360" w:lineRule="auto"/>
        <w:jc w:val="both"/>
        <w:rPr>
          <w:rFonts w:ascii="Arial" w:hAnsi="Arial" w:cs="Arial"/>
          <w:lang w:val="es-ES"/>
        </w:rPr>
      </w:pPr>
      <w:r w:rsidRPr="009E4696">
        <w:rPr>
          <w:rFonts w:ascii="Arial" w:hAnsi="Arial" w:cs="Arial"/>
          <w:lang w:val="es-ES"/>
        </w:rPr>
        <w:t>El contenido del pedido de informe formulado por el Senador Cardoso esta íntegramente conformado por materia de competencia de este Tribunal de Cuentas, y su dictamen al respecto, dentro de las obligaciones que mandata la Constitución de la República a los integrantes de este Cuerpo, razón por la cual concluyo que se debió haber contestado punto por punto y en su totalidad, de acuerdo además, con el proyecto de resolución elevado oportunamente a Sala por la División Jurídica del Tribunal.</w:t>
      </w:r>
      <w:r>
        <w:rPr>
          <w:rFonts w:ascii="Arial" w:hAnsi="Arial" w:cs="Arial"/>
          <w:lang w:val="es-ES"/>
        </w:rPr>
        <w:t>”</w:t>
      </w:r>
    </w:p>
    <w:p w:rsidR="00AD2DA3" w:rsidRPr="009E4696" w:rsidRDefault="00AD2DA3" w:rsidP="009E4696">
      <w:pPr>
        <w:spacing w:line="360" w:lineRule="auto"/>
        <w:jc w:val="both"/>
        <w:rPr>
          <w:rFonts w:ascii="Arial" w:hAnsi="Arial" w:cs="Arial"/>
          <w:lang w:val="es-ES"/>
        </w:rPr>
      </w:pPr>
    </w:p>
    <w:p w:rsidR="008C44DB" w:rsidRPr="009E4696" w:rsidRDefault="00323ADE" w:rsidP="009E4696">
      <w:pPr>
        <w:pStyle w:val="Cuerpo"/>
        <w:spacing w:line="360" w:lineRule="auto"/>
        <w:jc w:val="both"/>
        <w:rPr>
          <w:rFonts w:ascii="Arial" w:hAnsi="Arial" w:cs="Arial"/>
          <w:sz w:val="24"/>
          <w:szCs w:val="24"/>
        </w:rPr>
      </w:pPr>
      <w:proofErr w:type="gramStart"/>
      <w:r w:rsidRPr="009E4696">
        <w:rPr>
          <w:rFonts w:ascii="Arial" w:hAnsi="Arial" w:cs="Arial"/>
          <w:sz w:val="24"/>
          <w:szCs w:val="24"/>
        </w:rPr>
        <w:t>lm</w:t>
      </w:r>
      <w:proofErr w:type="gramEnd"/>
    </w:p>
    <w:sectPr w:rsidR="008C44DB" w:rsidRPr="009E4696" w:rsidSect="00A86781">
      <w:footerReference w:type="default" r:id="rId8"/>
      <w:pgSz w:w="11906" w:h="16838" w:code="9"/>
      <w:pgMar w:top="3402" w:right="1701" w:bottom="1134" w:left="1701" w:header="709" w:footer="851" w:gutter="0"/>
      <w:paperSrc w:first="4" w:other="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49B" w:rsidRDefault="00C1549B">
      <w:r>
        <w:separator/>
      </w:r>
    </w:p>
  </w:endnote>
  <w:endnote w:type="continuationSeparator" w:id="0">
    <w:p w:rsidR="00C1549B" w:rsidRDefault="00C1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206753"/>
      <w:docPartObj>
        <w:docPartGallery w:val="Page Numbers (Bottom of Page)"/>
        <w:docPartUnique/>
      </w:docPartObj>
    </w:sdtPr>
    <w:sdtEndPr/>
    <w:sdtContent>
      <w:p w:rsidR="00323ADE" w:rsidRDefault="00323ADE">
        <w:pPr>
          <w:pStyle w:val="Piedepgina"/>
          <w:jc w:val="center"/>
        </w:pPr>
      </w:p>
      <w:p w:rsidR="00DD4F9A" w:rsidRDefault="00DD4F9A">
        <w:pPr>
          <w:pStyle w:val="Piedepgina"/>
          <w:jc w:val="center"/>
        </w:pPr>
        <w:r>
          <w:fldChar w:fldCharType="begin"/>
        </w:r>
        <w:r>
          <w:instrText>PAGE   \* MERGEFORMAT</w:instrText>
        </w:r>
        <w:r>
          <w:fldChar w:fldCharType="separate"/>
        </w:r>
        <w:r w:rsidR="008604BB" w:rsidRPr="008604BB">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49B" w:rsidRDefault="00C1549B">
      <w:r>
        <w:separator/>
      </w:r>
    </w:p>
  </w:footnote>
  <w:footnote w:type="continuationSeparator" w:id="0">
    <w:p w:rsidR="00C1549B" w:rsidRDefault="00C15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065F8"/>
    <w:multiLevelType w:val="hybridMultilevel"/>
    <w:tmpl w:val="3E22EB22"/>
    <w:lvl w:ilvl="0" w:tplc="1F986ECA">
      <w:start w:val="1"/>
      <w:numFmt w:val="decimal"/>
      <w:lvlText w:val="%1)"/>
      <w:lvlJc w:val="left"/>
      <w:pPr>
        <w:ind w:left="630" w:hanging="360"/>
      </w:pPr>
      <w:rPr>
        <w:rFonts w:ascii="Arial" w:eastAsia="Arial Unicode MS" w:hAnsi="Arial" w:cs="Arial"/>
      </w:rPr>
    </w:lvl>
    <w:lvl w:ilvl="1" w:tplc="380A0019" w:tentative="1">
      <w:start w:val="1"/>
      <w:numFmt w:val="lowerLetter"/>
      <w:lvlText w:val="%2."/>
      <w:lvlJc w:val="left"/>
      <w:pPr>
        <w:ind w:left="1350" w:hanging="360"/>
      </w:pPr>
    </w:lvl>
    <w:lvl w:ilvl="2" w:tplc="380A001B" w:tentative="1">
      <w:start w:val="1"/>
      <w:numFmt w:val="lowerRoman"/>
      <w:lvlText w:val="%3."/>
      <w:lvlJc w:val="right"/>
      <w:pPr>
        <w:ind w:left="2070" w:hanging="180"/>
      </w:pPr>
    </w:lvl>
    <w:lvl w:ilvl="3" w:tplc="380A000F" w:tentative="1">
      <w:start w:val="1"/>
      <w:numFmt w:val="decimal"/>
      <w:lvlText w:val="%4."/>
      <w:lvlJc w:val="left"/>
      <w:pPr>
        <w:ind w:left="2790" w:hanging="360"/>
      </w:pPr>
    </w:lvl>
    <w:lvl w:ilvl="4" w:tplc="380A0019" w:tentative="1">
      <w:start w:val="1"/>
      <w:numFmt w:val="lowerLetter"/>
      <w:lvlText w:val="%5."/>
      <w:lvlJc w:val="left"/>
      <w:pPr>
        <w:ind w:left="3510" w:hanging="360"/>
      </w:pPr>
    </w:lvl>
    <w:lvl w:ilvl="5" w:tplc="380A001B" w:tentative="1">
      <w:start w:val="1"/>
      <w:numFmt w:val="lowerRoman"/>
      <w:lvlText w:val="%6."/>
      <w:lvlJc w:val="right"/>
      <w:pPr>
        <w:ind w:left="4230" w:hanging="180"/>
      </w:pPr>
    </w:lvl>
    <w:lvl w:ilvl="6" w:tplc="380A000F" w:tentative="1">
      <w:start w:val="1"/>
      <w:numFmt w:val="decimal"/>
      <w:lvlText w:val="%7."/>
      <w:lvlJc w:val="left"/>
      <w:pPr>
        <w:ind w:left="4950" w:hanging="360"/>
      </w:pPr>
    </w:lvl>
    <w:lvl w:ilvl="7" w:tplc="380A0019" w:tentative="1">
      <w:start w:val="1"/>
      <w:numFmt w:val="lowerLetter"/>
      <w:lvlText w:val="%8."/>
      <w:lvlJc w:val="left"/>
      <w:pPr>
        <w:ind w:left="5670" w:hanging="360"/>
      </w:pPr>
    </w:lvl>
    <w:lvl w:ilvl="8" w:tplc="380A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4DB"/>
    <w:rsid w:val="00036268"/>
    <w:rsid w:val="000631E1"/>
    <w:rsid w:val="0010167B"/>
    <w:rsid w:val="00170387"/>
    <w:rsid w:val="00244455"/>
    <w:rsid w:val="00252540"/>
    <w:rsid w:val="00323ADE"/>
    <w:rsid w:val="00524EF4"/>
    <w:rsid w:val="008604BB"/>
    <w:rsid w:val="008722C3"/>
    <w:rsid w:val="00886F6D"/>
    <w:rsid w:val="008C44DB"/>
    <w:rsid w:val="009E4696"/>
    <w:rsid w:val="00A012C9"/>
    <w:rsid w:val="00A86781"/>
    <w:rsid w:val="00AD2DA3"/>
    <w:rsid w:val="00AF3A8A"/>
    <w:rsid w:val="00BD21FC"/>
    <w:rsid w:val="00BE2A3A"/>
    <w:rsid w:val="00C1549B"/>
    <w:rsid w:val="00C57C89"/>
    <w:rsid w:val="00D11C7D"/>
    <w:rsid w:val="00DD4F9A"/>
    <w:rsid w:val="00E362E4"/>
    <w:rsid w:val="00EA792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UY" w:eastAsia="es-UY"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ar"/>
    <w:qFormat/>
    <w:rsid w:val="00AD2DA3"/>
    <w:pPr>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outlineLvl w:val="0"/>
    </w:pPr>
    <w:rPr>
      <w:rFonts w:ascii="Arial" w:eastAsia="Times New Roman" w:hAnsi="Arial" w:cs="Arial"/>
      <w:b/>
      <w:szCs w:val="20"/>
      <w:bdr w:val="none" w:sz="0" w:space="0" w:color="auto"/>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rPr>
  </w:style>
  <w:style w:type="paragraph" w:styleId="Encabezado">
    <w:name w:val="header"/>
    <w:basedOn w:val="Normal"/>
    <w:link w:val="EncabezadoCar"/>
    <w:uiPriority w:val="99"/>
    <w:unhideWhenUsed/>
    <w:rsid w:val="00DD4F9A"/>
    <w:pPr>
      <w:tabs>
        <w:tab w:val="center" w:pos="4252"/>
        <w:tab w:val="right" w:pos="8504"/>
      </w:tabs>
    </w:pPr>
  </w:style>
  <w:style w:type="character" w:customStyle="1" w:styleId="EncabezadoCar">
    <w:name w:val="Encabezado Car"/>
    <w:basedOn w:val="Fuentedeprrafopredeter"/>
    <w:link w:val="Encabezado"/>
    <w:uiPriority w:val="99"/>
    <w:rsid w:val="00DD4F9A"/>
    <w:rPr>
      <w:sz w:val="24"/>
      <w:szCs w:val="24"/>
      <w:lang w:val="en-US" w:eastAsia="en-US"/>
    </w:rPr>
  </w:style>
  <w:style w:type="paragraph" w:styleId="Piedepgina">
    <w:name w:val="footer"/>
    <w:basedOn w:val="Normal"/>
    <w:link w:val="PiedepginaCar"/>
    <w:uiPriority w:val="99"/>
    <w:unhideWhenUsed/>
    <w:rsid w:val="00DD4F9A"/>
    <w:pPr>
      <w:tabs>
        <w:tab w:val="center" w:pos="4252"/>
        <w:tab w:val="right" w:pos="8504"/>
      </w:tabs>
    </w:pPr>
  </w:style>
  <w:style w:type="character" w:customStyle="1" w:styleId="PiedepginaCar">
    <w:name w:val="Pie de página Car"/>
    <w:basedOn w:val="Fuentedeprrafopredeter"/>
    <w:link w:val="Piedepgina"/>
    <w:uiPriority w:val="99"/>
    <w:rsid w:val="00DD4F9A"/>
    <w:rPr>
      <w:sz w:val="24"/>
      <w:szCs w:val="24"/>
      <w:lang w:val="en-US" w:eastAsia="en-US"/>
    </w:rPr>
  </w:style>
  <w:style w:type="character" w:customStyle="1" w:styleId="Ttulo1Car">
    <w:name w:val="Título 1 Car"/>
    <w:basedOn w:val="Fuentedeprrafopredeter"/>
    <w:link w:val="Ttulo1"/>
    <w:rsid w:val="00AD2DA3"/>
    <w:rPr>
      <w:rFonts w:ascii="Arial" w:eastAsia="Times New Roman" w:hAnsi="Arial" w:cs="Arial"/>
      <w:b/>
      <w:sz w:val="24"/>
      <w:bdr w:val="none" w:sz="0" w:space="0" w:color="auto"/>
      <w:lang w:val="es-MX" w:eastAsia="es-ES"/>
    </w:rPr>
  </w:style>
  <w:style w:type="paragraph" w:styleId="Textodeglobo">
    <w:name w:val="Balloon Text"/>
    <w:basedOn w:val="Normal"/>
    <w:link w:val="TextodegloboCar"/>
    <w:uiPriority w:val="99"/>
    <w:semiHidden/>
    <w:unhideWhenUsed/>
    <w:rsid w:val="00A86781"/>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78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UY" w:eastAsia="es-UY"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ar"/>
    <w:qFormat/>
    <w:rsid w:val="00AD2DA3"/>
    <w:pPr>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outlineLvl w:val="0"/>
    </w:pPr>
    <w:rPr>
      <w:rFonts w:ascii="Arial" w:eastAsia="Times New Roman" w:hAnsi="Arial" w:cs="Arial"/>
      <w:b/>
      <w:szCs w:val="20"/>
      <w:bdr w:val="none" w:sz="0" w:space="0" w:color="auto"/>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rPr>
  </w:style>
  <w:style w:type="paragraph" w:styleId="Encabezado">
    <w:name w:val="header"/>
    <w:basedOn w:val="Normal"/>
    <w:link w:val="EncabezadoCar"/>
    <w:uiPriority w:val="99"/>
    <w:unhideWhenUsed/>
    <w:rsid w:val="00DD4F9A"/>
    <w:pPr>
      <w:tabs>
        <w:tab w:val="center" w:pos="4252"/>
        <w:tab w:val="right" w:pos="8504"/>
      </w:tabs>
    </w:pPr>
  </w:style>
  <w:style w:type="character" w:customStyle="1" w:styleId="EncabezadoCar">
    <w:name w:val="Encabezado Car"/>
    <w:basedOn w:val="Fuentedeprrafopredeter"/>
    <w:link w:val="Encabezado"/>
    <w:uiPriority w:val="99"/>
    <w:rsid w:val="00DD4F9A"/>
    <w:rPr>
      <w:sz w:val="24"/>
      <w:szCs w:val="24"/>
      <w:lang w:val="en-US" w:eastAsia="en-US"/>
    </w:rPr>
  </w:style>
  <w:style w:type="paragraph" w:styleId="Piedepgina">
    <w:name w:val="footer"/>
    <w:basedOn w:val="Normal"/>
    <w:link w:val="PiedepginaCar"/>
    <w:uiPriority w:val="99"/>
    <w:unhideWhenUsed/>
    <w:rsid w:val="00DD4F9A"/>
    <w:pPr>
      <w:tabs>
        <w:tab w:val="center" w:pos="4252"/>
        <w:tab w:val="right" w:pos="8504"/>
      </w:tabs>
    </w:pPr>
  </w:style>
  <w:style w:type="character" w:customStyle="1" w:styleId="PiedepginaCar">
    <w:name w:val="Pie de página Car"/>
    <w:basedOn w:val="Fuentedeprrafopredeter"/>
    <w:link w:val="Piedepgina"/>
    <w:uiPriority w:val="99"/>
    <w:rsid w:val="00DD4F9A"/>
    <w:rPr>
      <w:sz w:val="24"/>
      <w:szCs w:val="24"/>
      <w:lang w:val="en-US" w:eastAsia="en-US"/>
    </w:rPr>
  </w:style>
  <w:style w:type="character" w:customStyle="1" w:styleId="Ttulo1Car">
    <w:name w:val="Título 1 Car"/>
    <w:basedOn w:val="Fuentedeprrafopredeter"/>
    <w:link w:val="Ttulo1"/>
    <w:rsid w:val="00AD2DA3"/>
    <w:rPr>
      <w:rFonts w:ascii="Arial" w:eastAsia="Times New Roman" w:hAnsi="Arial" w:cs="Arial"/>
      <w:b/>
      <w:sz w:val="24"/>
      <w:bdr w:val="none" w:sz="0" w:space="0" w:color="auto"/>
      <w:lang w:val="es-MX" w:eastAsia="es-ES"/>
    </w:rPr>
  </w:style>
  <w:style w:type="paragraph" w:styleId="Textodeglobo">
    <w:name w:val="Balloon Text"/>
    <w:basedOn w:val="Normal"/>
    <w:link w:val="TextodegloboCar"/>
    <w:uiPriority w:val="99"/>
    <w:semiHidden/>
    <w:unhideWhenUsed/>
    <w:rsid w:val="00A86781"/>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78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117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2198</Words>
  <Characters>12095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Tribunal1</dc:creator>
  <cp:lastModifiedBy>Tribunal1</cp:lastModifiedBy>
  <cp:revision>10</cp:revision>
  <cp:lastPrinted>2019-05-21T17:28:00Z</cp:lastPrinted>
  <dcterms:created xsi:type="dcterms:W3CDTF">2019-05-21T15:42:00Z</dcterms:created>
  <dcterms:modified xsi:type="dcterms:W3CDTF">2019-05-31T19:16:00Z</dcterms:modified>
</cp:coreProperties>
</file>