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27" w:rsidRPr="003F3A3F" w:rsidRDefault="003D6E27" w:rsidP="003D6E27">
      <w:pPr>
        <w:tabs>
          <w:tab w:val="center" w:pos="4253"/>
        </w:tabs>
        <w:suppressAutoHyphens/>
        <w:spacing w:line="480" w:lineRule="auto"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3F3A3F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1147</w:t>
      </w:r>
      <w:r w:rsidRPr="003F3A3F">
        <w:rPr>
          <w:rFonts w:cs="Arial"/>
          <w:b/>
          <w:sz w:val="28"/>
          <w:szCs w:val="28"/>
          <w:lang w:val="es-ES_tradnl"/>
        </w:rPr>
        <w:t>/19</w:t>
      </w:r>
    </w:p>
    <w:p w:rsidR="003D6E27" w:rsidRPr="000F48AC" w:rsidRDefault="003D6E27" w:rsidP="003D6E27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3D6E27" w:rsidRPr="000F48AC" w:rsidRDefault="003D6E27" w:rsidP="003D6E27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3D6E27" w:rsidRPr="000F48AC" w:rsidRDefault="003D6E27" w:rsidP="003D6E27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8 DE MAYO DE 2019</w:t>
      </w:r>
    </w:p>
    <w:p w:rsidR="003D6E27" w:rsidRDefault="003D6E27" w:rsidP="003D6E27">
      <w:pPr>
        <w:tabs>
          <w:tab w:val="center" w:pos="4253"/>
        </w:tabs>
        <w:suppressAutoHyphens/>
        <w:jc w:val="center"/>
        <w:rPr>
          <w:rFonts w:cs="Arial"/>
          <w:b/>
        </w:rPr>
      </w:pPr>
      <w:r w:rsidRPr="00BB4DEC">
        <w:rPr>
          <w:rFonts w:cs="Arial"/>
          <w:b/>
        </w:rPr>
        <w:t>(E.</w:t>
      </w:r>
      <w:r>
        <w:rPr>
          <w:rFonts w:cs="Arial"/>
          <w:b/>
        </w:rPr>
        <w:t xml:space="preserve"> E. Nº 2018-17-1-0005551, </w:t>
      </w:r>
      <w:proofErr w:type="spellStart"/>
      <w:r>
        <w:rPr>
          <w:rFonts w:cs="Arial"/>
          <w:b/>
        </w:rPr>
        <w:t>Ent</w:t>
      </w:r>
      <w:proofErr w:type="spellEnd"/>
      <w:r>
        <w:rPr>
          <w:rFonts w:cs="Arial"/>
          <w:b/>
        </w:rPr>
        <w:t>. N° 4278/18</w:t>
      </w:r>
      <w:r w:rsidRPr="00BB4DEC">
        <w:rPr>
          <w:rFonts w:cs="Arial"/>
          <w:b/>
        </w:rPr>
        <w:t>)</w:t>
      </w:r>
    </w:p>
    <w:p w:rsidR="003D6E27" w:rsidRPr="00BB4DEC" w:rsidRDefault="003D6E27" w:rsidP="003D6E27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930ACD" w:rsidRDefault="00930ACD" w:rsidP="003D6E27">
      <w:pPr>
        <w:ind w:firstLine="851"/>
        <w:jc w:val="both"/>
      </w:pPr>
      <w:r>
        <w:rPr>
          <w:b/>
          <w:bCs/>
        </w:rPr>
        <w:t>VISTO:</w:t>
      </w:r>
      <w:r w:rsidR="009D31D1">
        <w:rPr>
          <w:bCs/>
        </w:rPr>
        <w:t xml:space="preserve"> el Oficio Nº 085/2018 de fecha 30 de agosto de 2018 remitido por la Presidencia de la Adminis</w:t>
      </w:r>
      <w:r>
        <w:t>tración Nacional de Correos (ANC),</w:t>
      </w:r>
      <w:r w:rsidR="005423C9">
        <w:t xml:space="preserve"> adjuntando la </w:t>
      </w:r>
      <w:r w:rsidR="009D31D1">
        <w:t>resolución</w:t>
      </w:r>
      <w:r>
        <w:t xml:space="preserve"> </w:t>
      </w:r>
      <w:r w:rsidR="009D31D1">
        <w:t>del Directorio de dicha Administra</w:t>
      </w:r>
      <w:r w:rsidR="005423C9">
        <w:t>ción que aprobó</w:t>
      </w:r>
      <w:r w:rsidR="009D31D1">
        <w:t xml:space="preserve"> </w:t>
      </w:r>
      <w:r>
        <w:t>el Reglamento para el uso y administración de  tarjetas corporativas;</w:t>
      </w:r>
    </w:p>
    <w:p w:rsidR="00930ACD" w:rsidRDefault="00930ACD" w:rsidP="002B6DF9">
      <w:pPr>
        <w:ind w:firstLine="851"/>
        <w:jc w:val="both"/>
      </w:pPr>
      <w:r>
        <w:rPr>
          <w:b/>
          <w:bCs/>
        </w:rPr>
        <w:t xml:space="preserve">RESULTANDO: 1) </w:t>
      </w:r>
      <w:r>
        <w:t>que en cumplimiento de lo establecido en el numeral 4 de la Ordenanza N° 90 de 2/5/2018 dictada por el Tribunal de Cuentas, la ANC remite Reglamento para el uso y administración de tarjetas corporativas, aprobada por Resolución de su Directorio Nº 231/2018 del 25/5/18;</w:t>
      </w:r>
    </w:p>
    <w:p w:rsidR="00212D95" w:rsidRDefault="00930ACD" w:rsidP="002B6DF9">
      <w:pPr>
        <w:ind w:firstLine="2835"/>
        <w:jc w:val="both"/>
      </w:pPr>
      <w:r>
        <w:rPr>
          <w:b/>
          <w:bCs/>
        </w:rPr>
        <w:t xml:space="preserve">2) </w:t>
      </w:r>
      <w:r>
        <w:t xml:space="preserve">que </w:t>
      </w:r>
      <w:r w:rsidR="005423C9">
        <w:t>el referido</w:t>
      </w:r>
      <w:r w:rsidR="00212D95">
        <w:t xml:space="preserve"> Reglamento es de aplicación al personal que haya sido designado por el Directorio de la ANC para ser titular de una tarjeta institucional, cumpliendo los requisitos </w:t>
      </w:r>
      <w:r w:rsidR="00E96339">
        <w:t>establecidos</w:t>
      </w:r>
      <w:r w:rsidR="00212D95">
        <w:t xml:space="preserve"> por el BROU y </w:t>
      </w:r>
      <w:r w:rsidR="005423C9" w:rsidRPr="005423C9">
        <w:rPr>
          <w:i/>
        </w:rPr>
        <w:t>“</w:t>
      </w:r>
      <w:r w:rsidR="00212D95" w:rsidRPr="005423C9">
        <w:rPr>
          <w:i/>
        </w:rPr>
        <w:t xml:space="preserve">para </w:t>
      </w:r>
      <w:r w:rsidR="005423C9" w:rsidRPr="005423C9">
        <w:rPr>
          <w:i/>
        </w:rPr>
        <w:t xml:space="preserve">su </w:t>
      </w:r>
      <w:r w:rsidR="00212D95" w:rsidRPr="005423C9">
        <w:rPr>
          <w:i/>
        </w:rPr>
        <w:t xml:space="preserve">uso </w:t>
      </w:r>
      <w:r w:rsidR="00E96339" w:rsidRPr="005423C9">
        <w:rPr>
          <w:i/>
        </w:rPr>
        <w:t>estrictamente</w:t>
      </w:r>
      <w:r w:rsidR="00212D95" w:rsidRPr="005423C9">
        <w:rPr>
          <w:i/>
        </w:rPr>
        <w:t xml:space="preserve"> enmarcado dentro del </w:t>
      </w:r>
      <w:r w:rsidR="00E96339" w:rsidRPr="005423C9">
        <w:rPr>
          <w:i/>
        </w:rPr>
        <w:t>vínculo</w:t>
      </w:r>
      <w:r w:rsidR="00212D95" w:rsidRPr="005423C9">
        <w:rPr>
          <w:i/>
        </w:rPr>
        <w:t xml:space="preserve"> </w:t>
      </w:r>
      <w:r w:rsidR="00E96339" w:rsidRPr="005423C9">
        <w:rPr>
          <w:i/>
        </w:rPr>
        <w:t>funcional</w:t>
      </w:r>
      <w:r w:rsidR="00212D95" w:rsidRPr="005423C9">
        <w:rPr>
          <w:i/>
        </w:rPr>
        <w:t xml:space="preserve"> con el Organismo</w:t>
      </w:r>
      <w:r w:rsidR="005423C9">
        <w:t>”</w:t>
      </w:r>
      <w:r w:rsidR="00212D95">
        <w:t>;</w:t>
      </w:r>
    </w:p>
    <w:p w:rsidR="002B6DF9" w:rsidRDefault="00930ACD" w:rsidP="002B6DF9">
      <w:pPr>
        <w:ind w:firstLine="2835"/>
        <w:jc w:val="both"/>
      </w:pPr>
      <w:r>
        <w:rPr>
          <w:b/>
          <w:bCs/>
        </w:rPr>
        <w:t xml:space="preserve">3) </w:t>
      </w:r>
      <w:r w:rsidR="005423C9">
        <w:t xml:space="preserve">que el Reglamento </w:t>
      </w:r>
      <w:r w:rsidR="00212D95">
        <w:t xml:space="preserve">establece que serán </w:t>
      </w:r>
      <w:r w:rsidR="00E96339">
        <w:t>responsables</w:t>
      </w:r>
      <w:r w:rsidR="00212D95">
        <w:t xml:space="preserve">: los funcionarios titulares de las tarjetas </w:t>
      </w:r>
      <w:r w:rsidR="00E96339">
        <w:t>institucionales</w:t>
      </w:r>
      <w:r w:rsidR="00212D95">
        <w:t xml:space="preserve">, el Departamento de </w:t>
      </w:r>
      <w:r w:rsidR="00E96339">
        <w:t>Tesorería</w:t>
      </w:r>
      <w:r w:rsidR="00212D95">
        <w:t xml:space="preserve"> en su </w:t>
      </w:r>
      <w:r w:rsidR="00E96339">
        <w:t>calidad</w:t>
      </w:r>
      <w:r w:rsidR="00212D95">
        <w:t xml:space="preserve"> de custodia, los </w:t>
      </w:r>
      <w:r w:rsidR="00E96339">
        <w:t>ordenadores</w:t>
      </w:r>
      <w:r w:rsidR="005423C9">
        <w:t xml:space="preserve"> de g</w:t>
      </w:r>
      <w:r w:rsidR="002B6DF9">
        <w:t>astos -</w:t>
      </w:r>
      <w:r w:rsidR="00212D95">
        <w:t xml:space="preserve">debidamente </w:t>
      </w:r>
      <w:r w:rsidR="00E96339">
        <w:t>acreditados</w:t>
      </w:r>
      <w:r w:rsidR="00212D95">
        <w:t xml:space="preserve"> por escrito- y la </w:t>
      </w:r>
      <w:r w:rsidR="00E96339">
        <w:t>G</w:t>
      </w:r>
      <w:r w:rsidR="00212D95">
        <w:t xml:space="preserve">erencia de </w:t>
      </w:r>
      <w:r w:rsidR="00E96339">
        <w:t>División</w:t>
      </w:r>
      <w:r w:rsidR="00212D95">
        <w:t xml:space="preserve"> Contaduría en los aspectos </w:t>
      </w:r>
      <w:r w:rsidR="00E96339">
        <w:t>vinculados</w:t>
      </w:r>
      <w:r w:rsidR="00212D95">
        <w:t xml:space="preserve"> al contralor de gas</w:t>
      </w:r>
      <w:r w:rsidR="00E96339">
        <w:t>t</w:t>
      </w:r>
      <w:r w:rsidR="00212D95">
        <w:t>os</w:t>
      </w:r>
      <w:r w:rsidR="005423C9">
        <w:t xml:space="preserve"> (Numeral 3)</w:t>
      </w:r>
      <w:r w:rsidR="00212D95">
        <w:t>;</w:t>
      </w:r>
    </w:p>
    <w:p w:rsidR="00507D65" w:rsidRDefault="00212D95" w:rsidP="002B6DF9">
      <w:pPr>
        <w:ind w:firstLine="2835"/>
        <w:jc w:val="both"/>
      </w:pPr>
      <w:r w:rsidRPr="00E96339">
        <w:rPr>
          <w:b/>
        </w:rPr>
        <w:t>4)</w:t>
      </w:r>
      <w:r w:rsidR="005423C9">
        <w:t xml:space="preserve"> que se prevé que </w:t>
      </w:r>
      <w:r>
        <w:t xml:space="preserve">los gastos </w:t>
      </w:r>
      <w:r w:rsidR="00E96339">
        <w:t>amparados</w:t>
      </w:r>
      <w:r>
        <w:t xml:space="preserve"> por el </w:t>
      </w:r>
      <w:r w:rsidR="004D1D6E">
        <w:t>R</w:t>
      </w:r>
      <w:r w:rsidR="002B6DF9">
        <w:t>eglamento</w:t>
      </w:r>
      <w:r>
        <w:t xml:space="preserve"> son: a) pasajes </w:t>
      </w:r>
      <w:r w:rsidR="00E96339">
        <w:t>nacionales</w:t>
      </w:r>
      <w:r>
        <w:t xml:space="preserve"> o internacionales, tasas e impuestos y costo adicional de pasajes emitidos con motivos estrictamente funcionales, </w:t>
      </w:r>
      <w:r>
        <w:lastRenderedPageBreak/>
        <w:t xml:space="preserve">para dar cumplimiento o seguimiento a </w:t>
      </w:r>
      <w:r w:rsidR="00E96339">
        <w:t>alg</w:t>
      </w:r>
      <w:r w:rsidR="002B6DF9">
        <w:t>u</w:t>
      </w:r>
      <w:r w:rsidR="00E96339">
        <w:t>n</w:t>
      </w:r>
      <w:r w:rsidR="002B6DF9">
        <w:t>a</w:t>
      </w:r>
      <w:r w:rsidR="00E96339">
        <w:t xml:space="preserve"> </w:t>
      </w:r>
      <w:r>
        <w:t>tare</w:t>
      </w:r>
      <w:r w:rsidR="00E96339">
        <w:t>a</w:t>
      </w:r>
      <w:r>
        <w:t xml:space="preserve"> </w:t>
      </w:r>
      <w:r w:rsidR="002B6DF9">
        <w:t>específica</w:t>
      </w:r>
      <w:r>
        <w:t xml:space="preserve"> (avión, micro u otro tipo de </w:t>
      </w:r>
      <w:r w:rsidR="00E96339">
        <w:t>transportes</w:t>
      </w:r>
      <w:r>
        <w:t xml:space="preserve">) siempre que puedan abonarse por dicho </w:t>
      </w:r>
      <w:r w:rsidR="00E96339">
        <w:t>medio</w:t>
      </w:r>
      <w:r>
        <w:t xml:space="preserve"> y </w:t>
      </w:r>
      <w:r w:rsidR="00E96339">
        <w:t>compensándose</w:t>
      </w:r>
      <w:r>
        <w:t xml:space="preserve"> -en caso de corresponder- con los viáticos percibidos para ese fin</w:t>
      </w:r>
      <w:r w:rsidR="00667D55">
        <w:t>;</w:t>
      </w:r>
      <w:r>
        <w:t xml:space="preserve"> b)</w:t>
      </w:r>
      <w:r w:rsidR="00667D55">
        <w:t xml:space="preserve"> </w:t>
      </w:r>
      <w:r>
        <w:t xml:space="preserve">gastos de </w:t>
      </w:r>
      <w:r w:rsidR="00E96339">
        <w:t>alojamiento</w:t>
      </w:r>
      <w:r>
        <w:t xml:space="preserve">, comidas, refrigerios y demás gastos necesarios para una </w:t>
      </w:r>
      <w:r w:rsidR="00E96339">
        <w:t>correcta</w:t>
      </w:r>
      <w:r>
        <w:t xml:space="preserve"> </w:t>
      </w:r>
      <w:r w:rsidR="00E96339">
        <w:t>estadía</w:t>
      </w:r>
      <w:r>
        <w:t>, en caso de viaje</w:t>
      </w:r>
      <w:r w:rsidR="00507D65">
        <w:t xml:space="preserve">, siempre que deban abonarse por </w:t>
      </w:r>
      <w:r w:rsidR="00E96339">
        <w:t>dicho</w:t>
      </w:r>
      <w:r w:rsidR="00507D65">
        <w:t xml:space="preserve"> medio y </w:t>
      </w:r>
      <w:r w:rsidR="00E96339">
        <w:t>compensándose</w:t>
      </w:r>
      <w:r w:rsidR="00507D65">
        <w:t xml:space="preserve"> -en caso de corresponder- con los viáticos percibidos para ese fin</w:t>
      </w:r>
      <w:r w:rsidR="00667D55">
        <w:t>;</w:t>
      </w:r>
      <w:r w:rsidR="00507D65">
        <w:t xml:space="preserve"> c) </w:t>
      </w:r>
      <w:r w:rsidR="00E96339">
        <w:t>comunicaciones</w:t>
      </w:r>
      <w:r w:rsidR="00507D65">
        <w:t xml:space="preserve"> telefónicas, faxes y demás servicios relacionados con la tarea encomendada, los cuales se compensar</w:t>
      </w:r>
      <w:r w:rsidR="004D1D6E">
        <w:t>á</w:t>
      </w:r>
      <w:r w:rsidR="00507D65">
        <w:t xml:space="preserve">n </w:t>
      </w:r>
      <w:r w:rsidR="00667D55">
        <w:t>-</w:t>
      </w:r>
      <w:r w:rsidR="00507D65">
        <w:t>en caso de corresponder- con los viáticos percibidos para ese fin</w:t>
      </w:r>
      <w:r w:rsidR="00667D55">
        <w:t>;</w:t>
      </w:r>
      <w:r w:rsidR="00507D65">
        <w:t xml:space="preserve"> d) gastos de traslado, los cuales se compensar</w:t>
      </w:r>
      <w:r w:rsidR="00E96339">
        <w:t>á</w:t>
      </w:r>
      <w:r w:rsidR="00507D65">
        <w:t xml:space="preserve">n </w:t>
      </w:r>
      <w:r w:rsidR="00667D55">
        <w:t>-</w:t>
      </w:r>
      <w:r w:rsidR="00507D65">
        <w:t>en caso de corresponder- con los viáticos percibidos para ese fin</w:t>
      </w:r>
      <w:r w:rsidR="00667D55">
        <w:t>;</w:t>
      </w:r>
      <w:r w:rsidR="00507D65">
        <w:t xml:space="preserve"> e) cobertura </w:t>
      </w:r>
      <w:r w:rsidR="00E96339">
        <w:t>médico</w:t>
      </w:r>
      <w:r w:rsidR="00507D65">
        <w:t xml:space="preserve"> </w:t>
      </w:r>
      <w:r w:rsidR="00383156">
        <w:t xml:space="preserve">- </w:t>
      </w:r>
      <w:r w:rsidR="00507D65">
        <w:t xml:space="preserve">asistencial y gastos de atención medica que deba afrontar mientras dure la tarea </w:t>
      </w:r>
      <w:r w:rsidR="00E96339">
        <w:t>encomendada</w:t>
      </w:r>
      <w:r w:rsidR="00667D55">
        <w:t>;</w:t>
      </w:r>
      <w:r w:rsidR="00507D65">
        <w:t xml:space="preserve"> f)</w:t>
      </w:r>
      <w:r w:rsidR="00087775">
        <w:t xml:space="preserve"> </w:t>
      </w:r>
      <w:r w:rsidR="00507D65">
        <w:t>almuerzo o cenas de trabajo, tendi</w:t>
      </w:r>
      <w:r w:rsidR="00E96339">
        <w:t>en</w:t>
      </w:r>
      <w:r w:rsidR="00507D65">
        <w:t>tes a tr</w:t>
      </w:r>
      <w:r w:rsidR="00E96339">
        <w:t>a</w:t>
      </w:r>
      <w:r w:rsidR="00507D65">
        <w:t>ta</w:t>
      </w:r>
      <w:r w:rsidR="00E96339">
        <w:t>r</w:t>
      </w:r>
      <w:r w:rsidR="00507D65">
        <w:t xml:space="preserve"> tema</w:t>
      </w:r>
      <w:r w:rsidR="00E96339">
        <w:t>s</w:t>
      </w:r>
      <w:r w:rsidR="00507D65">
        <w:t xml:space="preserve"> laborales y/o cierre de negocios con clientes, proveedores o representantes de </w:t>
      </w:r>
      <w:r w:rsidR="00E96339">
        <w:t>instituciones</w:t>
      </w:r>
      <w:r w:rsidR="00507D65">
        <w:t xml:space="preserve"> </w:t>
      </w:r>
      <w:r w:rsidR="00E96339">
        <w:t>extranjeras</w:t>
      </w:r>
      <w:r w:rsidR="00507D65">
        <w:t>, tanto en el país como en el exterior</w:t>
      </w:r>
      <w:r w:rsidR="00667D55">
        <w:t>;</w:t>
      </w:r>
      <w:r w:rsidR="00507D65">
        <w:t xml:space="preserve"> g)</w:t>
      </w:r>
      <w:r w:rsidR="00087775">
        <w:t xml:space="preserve"> </w:t>
      </w:r>
      <w:r w:rsidR="00507D65">
        <w:t>atenciones o cortesías inst</w:t>
      </w:r>
      <w:r w:rsidR="00E96339">
        <w:t>i</w:t>
      </w:r>
      <w:r w:rsidR="00507D65">
        <w:t>tucionales inherentes a la invest</w:t>
      </w:r>
      <w:r w:rsidR="00E96339">
        <w:t>i</w:t>
      </w:r>
      <w:r w:rsidR="00507D65">
        <w:t>d</w:t>
      </w:r>
      <w:r w:rsidR="00E96339">
        <w:t>u</w:t>
      </w:r>
      <w:r w:rsidR="00507D65">
        <w:t>ra y re</w:t>
      </w:r>
      <w:r w:rsidR="00E96339">
        <w:t>s</w:t>
      </w:r>
      <w:r w:rsidR="00507D65">
        <w:t>pon</w:t>
      </w:r>
      <w:r w:rsidR="00E96339">
        <w:t>s</w:t>
      </w:r>
      <w:r w:rsidR="00507D65">
        <w:t>abilidad de quien la obsequie y de su destinatario, en un marco estrictamente institucional</w:t>
      </w:r>
      <w:r w:rsidR="00667D55">
        <w:t>;</w:t>
      </w:r>
      <w:r w:rsidR="00507D65">
        <w:t xml:space="preserve"> h) otros gastos que por razones de necesidad imprevisibles deban cubrirse tanto dentro como fuera  del </w:t>
      </w:r>
      <w:r w:rsidR="009F2528">
        <w:t>país</w:t>
      </w:r>
      <w:r w:rsidR="00507D65">
        <w:t xml:space="preserve">, en ocasión de </w:t>
      </w:r>
      <w:r w:rsidR="009F2528">
        <w:t>determinadas</w:t>
      </w:r>
      <w:r w:rsidR="00507D65">
        <w:t xml:space="preserve"> tareas y que no correspondan al concepto de viáticos</w:t>
      </w:r>
      <w:r w:rsidR="00667D55">
        <w:t>;</w:t>
      </w:r>
      <w:r w:rsidR="00507D65">
        <w:t xml:space="preserve"> i) otros gastos que prevean como único medio de </w:t>
      </w:r>
      <w:r w:rsidR="009F2528">
        <w:t>pago</w:t>
      </w:r>
      <w:r w:rsidR="00507D65">
        <w:t xml:space="preserve"> a la </w:t>
      </w:r>
      <w:r w:rsidR="009F2528">
        <w:t>tarjeta</w:t>
      </w:r>
      <w:r w:rsidR="00507D65">
        <w:t xml:space="preserve"> de crédito;</w:t>
      </w:r>
    </w:p>
    <w:p w:rsidR="00BE4F6D" w:rsidRDefault="00507D65" w:rsidP="00BE4F6D">
      <w:pPr>
        <w:ind w:firstLine="2835"/>
        <w:jc w:val="both"/>
      </w:pPr>
      <w:r w:rsidRPr="009F2528">
        <w:rPr>
          <w:b/>
        </w:rPr>
        <w:t>5)</w:t>
      </w:r>
      <w:r w:rsidR="005423C9">
        <w:t xml:space="preserve"> que se estipula que</w:t>
      </w:r>
      <w:r>
        <w:t xml:space="preserve"> los gastos realizados con </w:t>
      </w:r>
      <w:r w:rsidR="009F2528">
        <w:t>tarjeta</w:t>
      </w:r>
      <w:r>
        <w:t xml:space="preserve"> de crédito </w:t>
      </w:r>
      <w:r w:rsidR="009F2528">
        <w:t>corporativa</w:t>
      </w:r>
      <w:r>
        <w:t xml:space="preserve"> tiene</w:t>
      </w:r>
      <w:r w:rsidR="00087775">
        <w:t>n</w:t>
      </w:r>
      <w:r>
        <w:t xml:space="preserve"> el mismo </w:t>
      </w:r>
      <w:r w:rsidR="009F2528">
        <w:t>tratamiento</w:t>
      </w:r>
      <w:r>
        <w:t xml:space="preserve"> que cualquier otro gasto de la ANC, cumpliendo con los requisitos </w:t>
      </w:r>
      <w:r w:rsidR="009F2528">
        <w:t>establecidos</w:t>
      </w:r>
      <w:r>
        <w:t xml:space="preserve"> en el </w:t>
      </w:r>
      <w:r w:rsidR="009F2528">
        <w:t>artículo</w:t>
      </w:r>
      <w:r>
        <w:t xml:space="preserve"> 23 del TOCAF, siendo autorizados por el Ordenador competente e </w:t>
      </w:r>
      <w:r w:rsidR="009F2528">
        <w:t>intervenido</w:t>
      </w:r>
      <w:r>
        <w:t xml:space="preserve"> preventivamente por el </w:t>
      </w:r>
      <w:r w:rsidR="009F2528">
        <w:t>Tribunal</w:t>
      </w:r>
      <w:r>
        <w:t xml:space="preserve"> de Cuentas. Los comprobantes de gastos re</w:t>
      </w:r>
      <w:r w:rsidR="009F2528">
        <w:t>a</w:t>
      </w:r>
      <w:r>
        <w:t>l</w:t>
      </w:r>
      <w:r w:rsidR="009F2528">
        <w:t>i</w:t>
      </w:r>
      <w:r>
        <w:t>zados con tarjeta de crédito corporativa</w:t>
      </w:r>
      <w:r w:rsidR="00751C52">
        <w:t xml:space="preserve"> deberán ser presentados </w:t>
      </w:r>
      <w:r w:rsidR="009F2528">
        <w:t>debidamente</w:t>
      </w:r>
      <w:r w:rsidR="00751C52">
        <w:t xml:space="preserve"> conformados ante la </w:t>
      </w:r>
      <w:r w:rsidR="009F2528">
        <w:t>G</w:t>
      </w:r>
      <w:r w:rsidR="00751C52">
        <w:t xml:space="preserve">erencia de </w:t>
      </w:r>
      <w:r w:rsidR="009F2528">
        <w:t>División</w:t>
      </w:r>
      <w:r w:rsidR="00751C52">
        <w:t xml:space="preserve"> </w:t>
      </w:r>
      <w:r w:rsidR="009F2528">
        <w:t>Contaduría</w:t>
      </w:r>
      <w:r w:rsidR="00667D55">
        <w:t>,</w:t>
      </w:r>
      <w:r w:rsidR="00751C52">
        <w:t xml:space="preserve"> a los efectos de su contabilización y posterior pago mediante </w:t>
      </w:r>
      <w:r w:rsidR="009F2528">
        <w:t>débito</w:t>
      </w:r>
      <w:r w:rsidR="00751C52">
        <w:t xml:space="preserve"> bancario</w:t>
      </w:r>
      <w:r w:rsidR="005423C9">
        <w:t xml:space="preserve"> (Numeral 4)</w:t>
      </w:r>
      <w:r w:rsidR="00751C52">
        <w:t>;</w:t>
      </w:r>
    </w:p>
    <w:p w:rsidR="00751C52" w:rsidRDefault="00751C52" w:rsidP="00BE4F6D">
      <w:pPr>
        <w:ind w:firstLine="2835"/>
        <w:jc w:val="both"/>
      </w:pPr>
      <w:r w:rsidRPr="009F2528">
        <w:rPr>
          <w:b/>
        </w:rPr>
        <w:t>6)</w:t>
      </w:r>
      <w:r w:rsidR="005423C9">
        <w:t xml:space="preserve"> que </w:t>
      </w:r>
      <w:r>
        <w:t xml:space="preserve">para </w:t>
      </w:r>
      <w:r w:rsidR="009F2528">
        <w:t>realizar</w:t>
      </w:r>
      <w:r>
        <w:t xml:space="preserve"> el gasto </w:t>
      </w:r>
      <w:r w:rsidR="009F2528">
        <w:t>mediante</w:t>
      </w:r>
      <w:r>
        <w:t xml:space="preserve"> la </w:t>
      </w:r>
      <w:r w:rsidR="009F2528">
        <w:t>tarjeta</w:t>
      </w:r>
      <w:r>
        <w:t xml:space="preserve"> </w:t>
      </w:r>
      <w:r w:rsidR="009F2528">
        <w:t>corporativa</w:t>
      </w:r>
      <w:r w:rsidR="005423C9">
        <w:t>, se deberá seguir el siguiente procedimiento</w:t>
      </w:r>
      <w:r>
        <w:t xml:space="preserve">: a) plantear al </w:t>
      </w:r>
      <w:r w:rsidR="00087775">
        <w:t>O</w:t>
      </w:r>
      <w:r w:rsidR="009F2528">
        <w:t>rdenador</w:t>
      </w:r>
      <w:r>
        <w:t xml:space="preserve"> de</w:t>
      </w:r>
      <w:r w:rsidR="00087775">
        <w:t>l</w:t>
      </w:r>
      <w:r>
        <w:t xml:space="preserve"> gasto la necesidad de abonar un gasto con </w:t>
      </w:r>
      <w:r w:rsidR="009F2528">
        <w:t>tarjeta</w:t>
      </w:r>
      <w:r>
        <w:t xml:space="preserve"> de crédito</w:t>
      </w:r>
      <w:r w:rsidR="00667D55">
        <w:t>;</w:t>
      </w:r>
      <w:r>
        <w:t xml:space="preserve"> b) coordinar con el Departamento de </w:t>
      </w:r>
      <w:r w:rsidR="009F2528">
        <w:t>Tesorería</w:t>
      </w:r>
      <w:r>
        <w:t xml:space="preserve"> (quien tiene la custodia de las t</w:t>
      </w:r>
      <w:r w:rsidR="009F2528">
        <w:t>ar</w:t>
      </w:r>
      <w:r>
        <w:t>j</w:t>
      </w:r>
      <w:r w:rsidR="009F2528">
        <w:t>e</w:t>
      </w:r>
      <w:r>
        <w:t xml:space="preserve">tas de crédito </w:t>
      </w:r>
      <w:r w:rsidR="009F2528">
        <w:t>corporativa</w:t>
      </w:r>
      <w:r>
        <w:t xml:space="preserve">) para el pago del gasto en </w:t>
      </w:r>
      <w:r w:rsidR="009F2528">
        <w:t>cuestión</w:t>
      </w:r>
      <w:r w:rsidR="00667D55">
        <w:t>;</w:t>
      </w:r>
      <w:r>
        <w:t xml:space="preserve"> c) dar aviso del pago al </w:t>
      </w:r>
      <w:r w:rsidR="00087775">
        <w:t>O</w:t>
      </w:r>
      <w:r>
        <w:t>rden</w:t>
      </w:r>
      <w:r w:rsidR="009F2528">
        <w:t>a</w:t>
      </w:r>
      <w:r>
        <w:t xml:space="preserve">dor de gasto y a la Gerencia de </w:t>
      </w:r>
      <w:r w:rsidR="009F2528">
        <w:t>D</w:t>
      </w:r>
      <w:r>
        <w:t>ivisión Cont</w:t>
      </w:r>
      <w:r w:rsidR="009F2528">
        <w:t>aduría quien velará</w:t>
      </w:r>
      <w:r>
        <w:t xml:space="preserve"> por la re</w:t>
      </w:r>
      <w:r w:rsidR="009F2528">
        <w:t>ce</w:t>
      </w:r>
      <w:r>
        <w:t>p</w:t>
      </w:r>
      <w:r w:rsidR="009F2528">
        <w:t>ció</w:t>
      </w:r>
      <w:r>
        <w:t>n del comprob</w:t>
      </w:r>
      <w:r w:rsidR="009F2528">
        <w:t>a</w:t>
      </w:r>
      <w:r>
        <w:t>nte del gasto, debidam</w:t>
      </w:r>
      <w:r w:rsidR="009F2528">
        <w:t>e</w:t>
      </w:r>
      <w:r>
        <w:t>nte conformado y aut</w:t>
      </w:r>
      <w:r w:rsidR="009F2528">
        <w:t>oriza</w:t>
      </w:r>
      <w:r>
        <w:t>do</w:t>
      </w:r>
      <w:r w:rsidR="00667D55">
        <w:t>;</w:t>
      </w:r>
      <w:r>
        <w:t xml:space="preserve"> d)</w:t>
      </w:r>
      <w:r w:rsidR="009F2528">
        <w:t xml:space="preserve"> </w:t>
      </w:r>
      <w:r>
        <w:t>liquidar el gasto contab</w:t>
      </w:r>
      <w:r w:rsidR="009F2528">
        <w:t>l</w:t>
      </w:r>
      <w:r>
        <w:t>e y presupuesta</w:t>
      </w:r>
      <w:r w:rsidR="00087775">
        <w:t>lmente con la autorización del O</w:t>
      </w:r>
      <w:r>
        <w:t>rdenador de</w:t>
      </w:r>
      <w:r w:rsidR="00087775">
        <w:t>l</w:t>
      </w:r>
      <w:r>
        <w:t xml:space="preserve"> gasto y la inte</w:t>
      </w:r>
      <w:r w:rsidR="009F2528">
        <w:t>rvenció</w:t>
      </w:r>
      <w:r>
        <w:t>n preventiva del Tribunal de Cuentas</w:t>
      </w:r>
      <w:r w:rsidR="00667D55">
        <w:t>;</w:t>
      </w:r>
      <w:r>
        <w:t xml:space="preserve"> e)</w:t>
      </w:r>
      <w:r w:rsidR="00087775">
        <w:t xml:space="preserve"> </w:t>
      </w:r>
      <w:r>
        <w:t>contabilizar el pago del resumen mensual de los gastos realizados con las tarjetas de cr</w:t>
      </w:r>
      <w:r w:rsidR="009F2528">
        <w:t>é</w:t>
      </w:r>
      <w:r>
        <w:t>dito</w:t>
      </w:r>
      <w:r w:rsidR="00667D55">
        <w:t>;</w:t>
      </w:r>
      <w:r w:rsidR="00E96339">
        <w:t xml:space="preserve"> f) archivar la documentación</w:t>
      </w:r>
      <w:r w:rsidR="005423C9">
        <w:t xml:space="preserve"> (Numeral 5)</w:t>
      </w:r>
      <w:r w:rsidR="00E96339">
        <w:t>;</w:t>
      </w:r>
    </w:p>
    <w:p w:rsidR="00BE4F6D" w:rsidRDefault="00930ACD" w:rsidP="00BE4F6D">
      <w:pPr>
        <w:ind w:firstLine="851"/>
        <w:jc w:val="both"/>
        <w:rPr>
          <w:rFonts w:eastAsia="Calibri" w:cs="Arial"/>
          <w:lang w:eastAsia="en-US"/>
        </w:rPr>
      </w:pPr>
      <w:r>
        <w:rPr>
          <w:b/>
          <w:bCs/>
        </w:rPr>
        <w:t>CONSIDERANDO:</w:t>
      </w:r>
      <w:r>
        <w:t xml:space="preserve"> </w:t>
      </w:r>
      <w:r w:rsidR="00562203" w:rsidRPr="00562203">
        <w:rPr>
          <w:rFonts w:eastAsia="Calibri" w:cs="Arial"/>
          <w:b/>
          <w:lang w:eastAsia="en-US"/>
        </w:rPr>
        <w:t>1)</w:t>
      </w:r>
      <w:r w:rsidR="00562203" w:rsidRPr="00562203">
        <w:rPr>
          <w:rFonts w:eastAsia="Calibri" w:cs="Arial"/>
          <w:lang w:eastAsia="en-US"/>
        </w:rPr>
        <w:t xml:space="preserve"> que este Tribunal, al amparo de lo establecido por el artículo 211, Literal F) de la Constitución de la República, dictó la Ordenanza Nº 90 de fecha 2/5/2018, en la que fijó criterios y procedimientos para la utilización de las tarjetas corporativas, a los que deben ajustarse los organismos al dictar las reglamentaciones respectivas</w:t>
      </w:r>
      <w:r w:rsidR="00FB79C8">
        <w:rPr>
          <w:rFonts w:eastAsia="Calibri" w:cs="Arial"/>
          <w:lang w:eastAsia="en-US"/>
        </w:rPr>
        <w:t>;</w:t>
      </w:r>
    </w:p>
    <w:p w:rsidR="00FD68AE" w:rsidRDefault="00BE4F6D" w:rsidP="00FD68AE">
      <w:pPr>
        <w:ind w:firstLine="2977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 w:rsidR="00076AA4">
        <w:rPr>
          <w:rFonts w:eastAsia="Calibri" w:cs="Arial"/>
          <w:b/>
          <w:lang w:eastAsia="en-US"/>
        </w:rPr>
        <w:t>2</w:t>
      </w:r>
      <w:r w:rsidR="00DA6ED4" w:rsidRPr="00E1571D">
        <w:rPr>
          <w:rFonts w:eastAsia="Calibri" w:cs="Arial"/>
          <w:b/>
          <w:lang w:eastAsia="en-US"/>
        </w:rPr>
        <w:t>)</w:t>
      </w:r>
      <w:r w:rsidR="00076AA4">
        <w:rPr>
          <w:rFonts w:eastAsia="Calibri" w:cs="Arial"/>
          <w:lang w:eastAsia="en-US"/>
        </w:rPr>
        <w:t xml:space="preserve"> que l</w:t>
      </w:r>
      <w:r w:rsidR="00DA6ED4">
        <w:rPr>
          <w:rFonts w:eastAsia="Calibri" w:cs="Arial"/>
          <w:lang w:eastAsia="en-US"/>
        </w:rPr>
        <w:t xml:space="preserve">a inclusión </w:t>
      </w:r>
      <w:r w:rsidR="00E1571D">
        <w:rPr>
          <w:rFonts w:eastAsia="Calibri" w:cs="Arial"/>
          <w:lang w:eastAsia="en-US"/>
        </w:rPr>
        <w:t>genérica</w:t>
      </w:r>
      <w:r w:rsidR="00DA6ED4">
        <w:rPr>
          <w:rFonts w:eastAsia="Calibri" w:cs="Arial"/>
          <w:lang w:eastAsia="en-US"/>
        </w:rPr>
        <w:t xml:space="preserve"> en el </w:t>
      </w:r>
      <w:r w:rsidR="0083604C">
        <w:rPr>
          <w:rFonts w:eastAsia="Calibri" w:cs="Arial"/>
          <w:lang w:eastAsia="en-US"/>
        </w:rPr>
        <w:t>R</w:t>
      </w:r>
      <w:r w:rsidR="00076AA4">
        <w:rPr>
          <w:rFonts w:eastAsia="Calibri" w:cs="Arial"/>
          <w:lang w:eastAsia="en-US"/>
        </w:rPr>
        <w:t>eglamento</w:t>
      </w:r>
      <w:r w:rsidR="00DA6ED4">
        <w:rPr>
          <w:rFonts w:eastAsia="Calibri" w:cs="Arial"/>
          <w:lang w:eastAsia="en-US"/>
        </w:rPr>
        <w:t xml:space="preserve"> de “</w:t>
      </w:r>
      <w:r w:rsidR="00DA6ED4" w:rsidRPr="0083604C">
        <w:rPr>
          <w:rFonts w:eastAsia="Calibri" w:cs="Arial"/>
          <w:i/>
          <w:lang w:eastAsia="en-US"/>
        </w:rPr>
        <w:t xml:space="preserve">gastos que prevean como </w:t>
      </w:r>
      <w:r w:rsidR="00E1571D" w:rsidRPr="0083604C">
        <w:rPr>
          <w:rFonts w:eastAsia="Calibri" w:cs="Arial"/>
          <w:i/>
          <w:lang w:eastAsia="en-US"/>
        </w:rPr>
        <w:t>único</w:t>
      </w:r>
      <w:r w:rsidR="00DA6ED4" w:rsidRPr="0083604C">
        <w:rPr>
          <w:rFonts w:eastAsia="Calibri" w:cs="Arial"/>
          <w:i/>
          <w:lang w:eastAsia="en-US"/>
        </w:rPr>
        <w:t xml:space="preserve"> medio de pago a la </w:t>
      </w:r>
      <w:r w:rsidR="00E1571D" w:rsidRPr="0083604C">
        <w:rPr>
          <w:rFonts w:eastAsia="Calibri" w:cs="Arial"/>
          <w:i/>
          <w:lang w:eastAsia="en-US"/>
        </w:rPr>
        <w:t>tarjeta</w:t>
      </w:r>
      <w:r w:rsidR="00DA6ED4" w:rsidRPr="0083604C">
        <w:rPr>
          <w:rFonts w:eastAsia="Calibri" w:cs="Arial"/>
          <w:i/>
          <w:lang w:eastAsia="en-US"/>
        </w:rPr>
        <w:t xml:space="preserve"> de crédito</w:t>
      </w:r>
      <w:r w:rsidR="00DA6ED4">
        <w:rPr>
          <w:rFonts w:eastAsia="Calibri" w:cs="Arial"/>
          <w:lang w:eastAsia="en-US"/>
        </w:rPr>
        <w:t>”</w:t>
      </w:r>
      <w:r w:rsidR="00CA54A4">
        <w:rPr>
          <w:rFonts w:eastAsia="Calibri" w:cs="Arial"/>
          <w:lang w:eastAsia="en-US"/>
        </w:rPr>
        <w:t>, “</w:t>
      </w:r>
      <w:r w:rsidR="00CA54A4" w:rsidRPr="0083604C">
        <w:rPr>
          <w:rFonts w:eastAsia="Calibri" w:cs="Arial"/>
          <w:i/>
          <w:lang w:eastAsia="en-US"/>
        </w:rPr>
        <w:t>gastos de traslado</w:t>
      </w:r>
      <w:r w:rsidR="00CA54A4">
        <w:rPr>
          <w:rFonts w:eastAsia="Calibri" w:cs="Arial"/>
          <w:lang w:eastAsia="en-US"/>
        </w:rPr>
        <w:t>” y “</w:t>
      </w:r>
      <w:r w:rsidR="00CA54A4" w:rsidRPr="0083604C">
        <w:rPr>
          <w:rFonts w:eastAsia="Calibri" w:cs="Arial"/>
          <w:i/>
          <w:lang w:eastAsia="en-US"/>
        </w:rPr>
        <w:t xml:space="preserve">gastos que por razones de necesidad </w:t>
      </w:r>
      <w:r w:rsidR="00E1571D" w:rsidRPr="0083604C">
        <w:rPr>
          <w:rFonts w:eastAsia="Calibri" w:cs="Arial"/>
          <w:i/>
          <w:lang w:eastAsia="en-US"/>
        </w:rPr>
        <w:t>imprevisibles</w:t>
      </w:r>
      <w:r w:rsidR="00CA54A4" w:rsidRPr="0083604C">
        <w:rPr>
          <w:rFonts w:eastAsia="Calibri" w:cs="Arial"/>
          <w:i/>
          <w:lang w:eastAsia="en-US"/>
        </w:rPr>
        <w:t xml:space="preserve"> deban cubrirse tanto dentr</w:t>
      </w:r>
      <w:r w:rsidR="00E1571D" w:rsidRPr="0083604C">
        <w:rPr>
          <w:rFonts w:eastAsia="Calibri" w:cs="Arial"/>
          <w:i/>
          <w:lang w:eastAsia="en-US"/>
        </w:rPr>
        <w:t>o</w:t>
      </w:r>
      <w:r w:rsidR="00CA54A4" w:rsidRPr="0083604C">
        <w:rPr>
          <w:rFonts w:eastAsia="Calibri" w:cs="Arial"/>
          <w:i/>
          <w:lang w:eastAsia="en-US"/>
        </w:rPr>
        <w:t xml:space="preserve"> como fuera del país, e</w:t>
      </w:r>
      <w:r w:rsidR="00FD68AE">
        <w:rPr>
          <w:rFonts w:eastAsia="Calibri" w:cs="Arial"/>
          <w:i/>
          <w:lang w:eastAsia="en-US"/>
        </w:rPr>
        <w:t>n</w:t>
      </w:r>
      <w:r w:rsidR="00CA54A4" w:rsidRPr="0083604C">
        <w:rPr>
          <w:rFonts w:eastAsia="Calibri" w:cs="Arial"/>
          <w:i/>
          <w:lang w:eastAsia="en-US"/>
        </w:rPr>
        <w:t xml:space="preserve"> </w:t>
      </w:r>
      <w:r w:rsidR="00076AA4">
        <w:rPr>
          <w:rFonts w:eastAsia="Calibri" w:cs="Arial"/>
          <w:i/>
          <w:lang w:eastAsia="en-US"/>
        </w:rPr>
        <w:t>ocasión de una determinada tarea”…o “gastos de cobertura médico</w:t>
      </w:r>
      <w:r>
        <w:rPr>
          <w:rFonts w:eastAsia="Calibri" w:cs="Arial"/>
          <w:i/>
          <w:lang w:eastAsia="en-US"/>
        </w:rPr>
        <w:t xml:space="preserve"> </w:t>
      </w:r>
      <w:r w:rsidR="00076AA4">
        <w:rPr>
          <w:rFonts w:eastAsia="Calibri" w:cs="Arial"/>
          <w:i/>
          <w:lang w:eastAsia="en-US"/>
        </w:rPr>
        <w:t>-</w:t>
      </w:r>
      <w:r>
        <w:rPr>
          <w:rFonts w:eastAsia="Calibri" w:cs="Arial"/>
          <w:i/>
          <w:lang w:eastAsia="en-US"/>
        </w:rPr>
        <w:t xml:space="preserve"> </w:t>
      </w:r>
      <w:r w:rsidR="00FD68AE">
        <w:rPr>
          <w:rFonts w:eastAsia="Calibri" w:cs="Arial"/>
          <w:i/>
          <w:lang w:eastAsia="en-US"/>
        </w:rPr>
        <w:t>asistencial</w:t>
      </w:r>
      <w:r w:rsidR="00076AA4">
        <w:rPr>
          <w:rFonts w:eastAsia="Calibri" w:cs="Arial"/>
          <w:i/>
          <w:lang w:eastAsia="en-US"/>
        </w:rPr>
        <w:t xml:space="preserve"> y gastos de atención médica que deba afrontar mientras dure la tarea encomendada</w:t>
      </w:r>
      <w:r w:rsidR="00CA54A4">
        <w:rPr>
          <w:rFonts w:eastAsia="Calibri" w:cs="Arial"/>
          <w:lang w:eastAsia="en-US"/>
        </w:rPr>
        <w:t>”</w:t>
      </w:r>
      <w:r w:rsidR="00DA6ED4">
        <w:rPr>
          <w:rFonts w:eastAsia="Calibri" w:cs="Arial"/>
          <w:lang w:eastAsia="en-US"/>
        </w:rPr>
        <w:t xml:space="preserve"> </w:t>
      </w:r>
      <w:r w:rsidR="00E1571D">
        <w:rPr>
          <w:rFonts w:eastAsia="Calibri" w:cs="Arial"/>
          <w:lang w:eastAsia="en-US"/>
        </w:rPr>
        <w:t>supone</w:t>
      </w:r>
      <w:r w:rsidR="00076AA4">
        <w:rPr>
          <w:rFonts w:eastAsia="Calibri" w:cs="Arial"/>
          <w:lang w:eastAsia="en-US"/>
        </w:rPr>
        <w:t xml:space="preserve">n </w:t>
      </w:r>
      <w:r w:rsidR="00DA6ED4">
        <w:rPr>
          <w:rFonts w:eastAsia="Calibri" w:cs="Arial"/>
          <w:lang w:eastAsia="en-US"/>
        </w:rPr>
        <w:t>un incumpli</w:t>
      </w:r>
      <w:r w:rsidR="00E1571D">
        <w:rPr>
          <w:rFonts w:eastAsia="Calibri" w:cs="Arial"/>
          <w:lang w:eastAsia="en-US"/>
        </w:rPr>
        <w:t>mie</w:t>
      </w:r>
      <w:r w:rsidR="00076AA4">
        <w:rPr>
          <w:rFonts w:eastAsia="Calibri" w:cs="Arial"/>
          <w:lang w:eastAsia="en-US"/>
        </w:rPr>
        <w:t>nto de</w:t>
      </w:r>
      <w:r w:rsidR="00DA6ED4">
        <w:rPr>
          <w:rFonts w:eastAsia="Calibri" w:cs="Arial"/>
          <w:lang w:eastAsia="en-US"/>
        </w:rPr>
        <w:t xml:space="preserve"> </w:t>
      </w:r>
      <w:r w:rsidR="00076AA4">
        <w:rPr>
          <w:rFonts w:eastAsia="Calibri" w:cs="Arial"/>
          <w:lang w:eastAsia="en-US"/>
        </w:rPr>
        <w:t xml:space="preserve">los </w:t>
      </w:r>
      <w:r w:rsidR="00DA6ED4">
        <w:rPr>
          <w:rFonts w:eastAsia="Calibri" w:cs="Arial"/>
          <w:lang w:eastAsia="en-US"/>
        </w:rPr>
        <w:t>criterio</w:t>
      </w:r>
      <w:r w:rsidR="00076AA4">
        <w:rPr>
          <w:rFonts w:eastAsia="Calibri" w:cs="Arial"/>
          <w:lang w:eastAsia="en-US"/>
        </w:rPr>
        <w:t>s</w:t>
      </w:r>
      <w:r w:rsidR="00DA6ED4">
        <w:rPr>
          <w:rFonts w:eastAsia="Calibri" w:cs="Arial"/>
          <w:lang w:eastAsia="en-US"/>
        </w:rPr>
        <w:t xml:space="preserve"> </w:t>
      </w:r>
      <w:r w:rsidR="00E1571D">
        <w:rPr>
          <w:rFonts w:eastAsia="Calibri" w:cs="Arial"/>
          <w:lang w:eastAsia="en-US"/>
        </w:rPr>
        <w:t>establecido</w:t>
      </w:r>
      <w:r w:rsidR="00076AA4">
        <w:rPr>
          <w:rFonts w:eastAsia="Calibri" w:cs="Arial"/>
          <w:lang w:eastAsia="en-US"/>
        </w:rPr>
        <w:t>s</w:t>
      </w:r>
      <w:r w:rsidR="00DA6ED4">
        <w:rPr>
          <w:rFonts w:eastAsia="Calibri" w:cs="Arial"/>
          <w:lang w:eastAsia="en-US"/>
        </w:rPr>
        <w:t xml:space="preserve"> en el </w:t>
      </w:r>
      <w:r w:rsidR="00E1571D">
        <w:rPr>
          <w:rFonts w:eastAsia="Calibri" w:cs="Arial"/>
          <w:lang w:eastAsia="en-US"/>
        </w:rPr>
        <w:t>Acuerda</w:t>
      </w:r>
      <w:r w:rsidR="00DA6ED4">
        <w:rPr>
          <w:rFonts w:eastAsia="Calibri" w:cs="Arial"/>
          <w:lang w:eastAsia="en-US"/>
        </w:rPr>
        <w:t xml:space="preserve"> Nº </w:t>
      </w:r>
      <w:r w:rsidR="00DF37EA">
        <w:rPr>
          <w:rFonts w:eastAsia="Calibri" w:cs="Arial"/>
          <w:lang w:eastAsia="en-US"/>
        </w:rPr>
        <w:t>1.</w:t>
      </w:r>
      <w:r w:rsidR="00DA6ED4">
        <w:rPr>
          <w:rFonts w:eastAsia="Calibri" w:cs="Arial"/>
          <w:lang w:eastAsia="en-US"/>
        </w:rPr>
        <w:t>3) de la Ordenan</w:t>
      </w:r>
      <w:r w:rsidR="00E1571D">
        <w:rPr>
          <w:rFonts w:eastAsia="Calibri" w:cs="Arial"/>
          <w:lang w:eastAsia="en-US"/>
        </w:rPr>
        <w:t>za</w:t>
      </w:r>
      <w:r w:rsidR="00DA6ED4">
        <w:rPr>
          <w:rFonts w:eastAsia="Calibri" w:cs="Arial"/>
          <w:lang w:eastAsia="en-US"/>
        </w:rPr>
        <w:t xml:space="preserve"> Nº 90</w:t>
      </w:r>
      <w:r w:rsidR="00737618">
        <w:rPr>
          <w:rFonts w:eastAsia="Calibri" w:cs="Arial"/>
          <w:lang w:eastAsia="en-US"/>
        </w:rPr>
        <w:t xml:space="preserve">, </w:t>
      </w:r>
      <w:r w:rsidR="00FD68AE">
        <w:rPr>
          <w:rFonts w:eastAsia="Calibri" w:cs="Arial"/>
          <w:lang w:eastAsia="en-US"/>
        </w:rPr>
        <w:t xml:space="preserve">siendo que no se especifica </w:t>
      </w:r>
      <w:r w:rsidR="0083604C">
        <w:rPr>
          <w:rFonts w:eastAsia="Calibri" w:cs="Arial"/>
          <w:lang w:eastAsia="en-US"/>
        </w:rPr>
        <w:t xml:space="preserve">con claridad </w:t>
      </w:r>
      <w:r w:rsidR="00737618">
        <w:rPr>
          <w:rFonts w:eastAsia="Calibri" w:cs="Arial"/>
          <w:lang w:eastAsia="en-US"/>
        </w:rPr>
        <w:t xml:space="preserve">que </w:t>
      </w:r>
      <w:r w:rsidR="00E1571D">
        <w:rPr>
          <w:rFonts w:eastAsia="Calibri" w:cs="Arial"/>
          <w:lang w:eastAsia="en-US"/>
        </w:rPr>
        <w:t>necesariamente</w:t>
      </w:r>
      <w:r w:rsidR="00737618">
        <w:rPr>
          <w:rFonts w:eastAsia="Calibri" w:cs="Arial"/>
          <w:lang w:eastAsia="en-US"/>
        </w:rPr>
        <w:t xml:space="preserve"> </w:t>
      </w:r>
      <w:r w:rsidR="0083604C">
        <w:rPr>
          <w:rFonts w:eastAsia="Calibri" w:cs="Arial"/>
          <w:lang w:eastAsia="en-US"/>
        </w:rPr>
        <w:t xml:space="preserve">los </w:t>
      </w:r>
      <w:r w:rsidR="00737618">
        <w:rPr>
          <w:rFonts w:eastAsia="Calibri" w:cs="Arial"/>
          <w:lang w:eastAsia="en-US"/>
        </w:rPr>
        <w:t>gastos</w:t>
      </w:r>
      <w:r w:rsidR="0083604C">
        <w:rPr>
          <w:rFonts w:eastAsia="Calibri" w:cs="Arial"/>
          <w:lang w:eastAsia="en-US"/>
        </w:rPr>
        <w:t xml:space="preserve"> mencionados</w:t>
      </w:r>
      <w:r w:rsidR="00737618">
        <w:rPr>
          <w:rFonts w:eastAsia="Calibri" w:cs="Arial"/>
          <w:lang w:eastAsia="en-US"/>
        </w:rPr>
        <w:t xml:space="preserve"> deben referir al </w:t>
      </w:r>
      <w:r w:rsidR="00E1571D">
        <w:rPr>
          <w:rFonts w:eastAsia="Calibri" w:cs="Arial"/>
          <w:lang w:eastAsia="en-US"/>
        </w:rPr>
        <w:t>cumplimiento</w:t>
      </w:r>
      <w:r w:rsidR="00737618">
        <w:rPr>
          <w:rFonts w:eastAsia="Calibri" w:cs="Arial"/>
          <w:lang w:eastAsia="en-US"/>
        </w:rPr>
        <w:t xml:space="preserve"> de fines institucionales</w:t>
      </w:r>
      <w:r w:rsidR="00DA6ED4">
        <w:rPr>
          <w:rFonts w:eastAsia="Calibri" w:cs="Arial"/>
          <w:lang w:eastAsia="en-US"/>
        </w:rPr>
        <w:t xml:space="preserve"> </w:t>
      </w:r>
      <w:r w:rsidR="0083604C">
        <w:rPr>
          <w:rFonts w:eastAsia="Calibri" w:cs="Arial"/>
          <w:lang w:eastAsia="en-US"/>
        </w:rPr>
        <w:t>de la ANC</w:t>
      </w:r>
      <w:r w:rsidR="00076AA4">
        <w:rPr>
          <w:rFonts w:eastAsia="Calibri" w:cs="Arial"/>
          <w:lang w:eastAsia="en-US"/>
        </w:rPr>
        <w:t xml:space="preserve"> ni se requiere que sean realizados en el marco de una misión de trabajo declarada tal por la autoridad competente del organismo respectivo</w:t>
      </w:r>
      <w:r w:rsidR="00A92D6C">
        <w:rPr>
          <w:rFonts w:eastAsia="Calibri" w:cs="Arial"/>
          <w:lang w:eastAsia="en-US"/>
        </w:rPr>
        <w:t>;</w:t>
      </w:r>
    </w:p>
    <w:p w:rsidR="00FD68AE" w:rsidRDefault="00FD68AE" w:rsidP="00FD68AE">
      <w:pPr>
        <w:ind w:firstLine="2977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 w:rsidR="00076AA4">
        <w:rPr>
          <w:rFonts w:eastAsia="Calibri" w:cs="Arial"/>
          <w:b/>
          <w:lang w:eastAsia="en-US"/>
        </w:rPr>
        <w:t>3</w:t>
      </w:r>
      <w:r w:rsidR="001B577E" w:rsidRPr="00EC3E93">
        <w:rPr>
          <w:rFonts w:eastAsia="Calibri" w:cs="Arial"/>
          <w:b/>
          <w:lang w:eastAsia="en-US"/>
        </w:rPr>
        <w:t>)</w:t>
      </w:r>
      <w:r w:rsidR="00076AA4">
        <w:rPr>
          <w:rFonts w:eastAsia="Calibri" w:cs="Arial"/>
          <w:lang w:eastAsia="en-US"/>
        </w:rPr>
        <w:t xml:space="preserve"> que el procedimiento previsto en el Reglamento</w:t>
      </w:r>
      <w:r w:rsidR="001B577E">
        <w:rPr>
          <w:rFonts w:eastAsia="Calibri" w:cs="Arial"/>
          <w:lang w:eastAsia="en-US"/>
        </w:rPr>
        <w:t xml:space="preserve"> para </w:t>
      </w:r>
      <w:r w:rsidR="00EC3E93">
        <w:rPr>
          <w:rFonts w:eastAsia="Calibri" w:cs="Arial"/>
          <w:lang w:eastAsia="en-US"/>
        </w:rPr>
        <w:t>realizar</w:t>
      </w:r>
      <w:r w:rsidR="001B577E">
        <w:rPr>
          <w:rFonts w:eastAsia="Calibri" w:cs="Arial"/>
          <w:lang w:eastAsia="en-US"/>
        </w:rPr>
        <w:t xml:space="preserve"> </w:t>
      </w:r>
      <w:r w:rsidR="00076AA4">
        <w:rPr>
          <w:rFonts w:eastAsia="Calibri" w:cs="Arial"/>
          <w:lang w:eastAsia="en-US"/>
        </w:rPr>
        <w:t xml:space="preserve">los </w:t>
      </w:r>
      <w:r w:rsidR="001B577E">
        <w:rPr>
          <w:rFonts w:eastAsia="Calibri" w:cs="Arial"/>
          <w:lang w:eastAsia="en-US"/>
        </w:rPr>
        <w:t>gastos con</w:t>
      </w:r>
      <w:r w:rsidR="00076AA4">
        <w:rPr>
          <w:rFonts w:eastAsia="Calibri" w:cs="Arial"/>
          <w:lang w:eastAsia="en-US"/>
        </w:rPr>
        <w:t xml:space="preserve"> las</w:t>
      </w:r>
      <w:r w:rsidR="001B577E">
        <w:rPr>
          <w:rFonts w:eastAsia="Calibri" w:cs="Arial"/>
          <w:lang w:eastAsia="en-US"/>
        </w:rPr>
        <w:t xml:space="preserve"> </w:t>
      </w:r>
      <w:r w:rsidR="00EC3E93">
        <w:rPr>
          <w:rFonts w:eastAsia="Calibri" w:cs="Arial"/>
          <w:lang w:eastAsia="en-US"/>
        </w:rPr>
        <w:t>tarjetas</w:t>
      </w:r>
      <w:r w:rsidR="001B577E">
        <w:rPr>
          <w:rFonts w:eastAsia="Calibri" w:cs="Arial"/>
          <w:lang w:eastAsia="en-US"/>
        </w:rPr>
        <w:t xml:space="preserve"> </w:t>
      </w:r>
      <w:r w:rsidR="00076AA4">
        <w:rPr>
          <w:rFonts w:eastAsia="Calibri" w:cs="Arial"/>
          <w:lang w:eastAsia="en-US"/>
        </w:rPr>
        <w:t xml:space="preserve">corporativas, </w:t>
      </w:r>
      <w:r w:rsidR="00EC3E93">
        <w:rPr>
          <w:rFonts w:eastAsia="Calibri" w:cs="Arial"/>
          <w:lang w:eastAsia="en-US"/>
        </w:rPr>
        <w:t xml:space="preserve">no </w:t>
      </w:r>
      <w:r w:rsidR="00076AA4">
        <w:rPr>
          <w:rFonts w:eastAsia="Calibri" w:cs="Arial"/>
          <w:lang w:eastAsia="en-US"/>
        </w:rPr>
        <w:t xml:space="preserve">se ajusta al </w:t>
      </w:r>
      <w:r w:rsidR="00EC3E93">
        <w:rPr>
          <w:rFonts w:eastAsia="Calibri" w:cs="Arial"/>
          <w:lang w:eastAsia="en-US"/>
        </w:rPr>
        <w:t xml:space="preserve"> procedimiento </w:t>
      </w:r>
      <w:r w:rsidR="007D6132">
        <w:rPr>
          <w:rFonts w:eastAsia="Calibri" w:cs="Arial"/>
          <w:lang w:eastAsia="en-US"/>
        </w:rPr>
        <w:t>detallado</w:t>
      </w:r>
      <w:r w:rsidR="00DF37EA">
        <w:rPr>
          <w:rFonts w:eastAsia="Calibri" w:cs="Arial"/>
          <w:lang w:eastAsia="en-US"/>
        </w:rPr>
        <w:t xml:space="preserve"> en los</w:t>
      </w:r>
      <w:r w:rsidR="00EC3E93">
        <w:rPr>
          <w:rFonts w:eastAsia="Calibri" w:cs="Arial"/>
          <w:lang w:eastAsia="en-US"/>
        </w:rPr>
        <w:t xml:space="preserve"> Acuerda 1.5</w:t>
      </w:r>
      <w:r w:rsidR="0025203A">
        <w:rPr>
          <w:rFonts w:eastAsia="Calibri" w:cs="Arial"/>
          <w:lang w:eastAsia="en-US"/>
        </w:rPr>
        <w:t>, 1.6 y</w:t>
      </w:r>
      <w:r w:rsidR="00EC3E93">
        <w:rPr>
          <w:rFonts w:eastAsia="Calibri" w:cs="Arial"/>
          <w:lang w:eastAsia="en-US"/>
        </w:rPr>
        <w:t xml:space="preserve"> 1.9 de la Ordenanza Nº 90</w:t>
      </w:r>
      <w:r w:rsidR="0083604C">
        <w:rPr>
          <w:rFonts w:eastAsia="Calibri" w:cs="Arial"/>
          <w:lang w:eastAsia="en-US"/>
        </w:rPr>
        <w:t xml:space="preserve"> de este Tribunal</w:t>
      </w:r>
      <w:r w:rsidR="004D3B72">
        <w:rPr>
          <w:rFonts w:eastAsia="Calibri" w:cs="Arial"/>
          <w:lang w:eastAsia="en-US"/>
        </w:rPr>
        <w:t xml:space="preserve"> (creación de un Fondo donde se imputan los gastos referidos, rendición de cuentas documentada</w:t>
      </w:r>
      <w:r w:rsidR="007D6132">
        <w:rPr>
          <w:rFonts w:eastAsia="Calibri" w:cs="Arial"/>
          <w:lang w:eastAsia="en-US"/>
        </w:rPr>
        <w:t xml:space="preserve"> </w:t>
      </w:r>
      <w:r w:rsidR="007D6132">
        <w:t>de todos los gastos acreditados en cada estado de cuenta</w:t>
      </w:r>
      <w:r w:rsidR="003F6119">
        <w:t xml:space="preserve"> de acuerdo con el artículo 132 del TOCAF</w:t>
      </w:r>
      <w:r w:rsidR="007D6132">
        <w:t xml:space="preserve">, </w:t>
      </w:r>
      <w:r w:rsidR="003F6119">
        <w:rPr>
          <w:rFonts w:eastAsia="Calibri" w:cs="Arial"/>
          <w:lang w:eastAsia="en-US"/>
        </w:rPr>
        <w:t>condiciones de reposición del fondo</w:t>
      </w:r>
      <w:r w:rsidR="007D6132">
        <w:rPr>
          <w:rFonts w:eastAsia="Calibri" w:cs="Arial"/>
          <w:lang w:eastAsia="en-US"/>
        </w:rPr>
        <w:t>)</w:t>
      </w:r>
      <w:r w:rsidR="00EC3E93">
        <w:rPr>
          <w:rFonts w:eastAsia="Calibri" w:cs="Arial"/>
          <w:lang w:eastAsia="en-US"/>
        </w:rPr>
        <w:t>;</w:t>
      </w:r>
      <w:r w:rsidR="001B577E">
        <w:rPr>
          <w:rFonts w:eastAsia="Calibri" w:cs="Arial"/>
          <w:lang w:eastAsia="en-US"/>
        </w:rPr>
        <w:t xml:space="preserve"> </w:t>
      </w:r>
      <w:r w:rsidR="0025203A">
        <w:rPr>
          <w:rFonts w:eastAsia="Calibri" w:cs="Arial"/>
          <w:lang w:eastAsia="en-US"/>
        </w:rPr>
        <w:t>asimismo, deberá preverse en el procedimiento, la instancia  para la actuación del contador delegado de este Tribunal, prevista en los puntos 1.7 y 1.8;</w:t>
      </w:r>
    </w:p>
    <w:p w:rsidR="009D66D1" w:rsidRDefault="00FD68AE" w:rsidP="00FD68AE">
      <w:pPr>
        <w:ind w:firstLine="2977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</w:t>
      </w:r>
      <w:r w:rsidR="00076AA4">
        <w:rPr>
          <w:rFonts w:eastAsia="Calibri" w:cs="Arial"/>
          <w:b/>
          <w:lang w:eastAsia="en-US"/>
        </w:rPr>
        <w:t>4</w:t>
      </w:r>
      <w:r w:rsidR="009D66D1" w:rsidRPr="009D66D1">
        <w:rPr>
          <w:rFonts w:eastAsia="Calibri" w:cs="Arial"/>
          <w:b/>
          <w:lang w:eastAsia="en-US"/>
        </w:rPr>
        <w:t>)</w:t>
      </w:r>
      <w:r w:rsidR="009D66D1" w:rsidRPr="009D66D1">
        <w:rPr>
          <w:rFonts w:eastAsia="Calibri" w:cs="Arial"/>
          <w:lang w:eastAsia="en-US"/>
        </w:rPr>
        <w:t xml:space="preserve"> que</w:t>
      </w:r>
      <w:r w:rsidR="00076AA4">
        <w:rPr>
          <w:rFonts w:eastAsia="Calibri" w:cs="Arial"/>
          <w:lang w:eastAsia="en-US"/>
        </w:rPr>
        <w:t>, asimismo,</w:t>
      </w:r>
      <w:r w:rsidR="009D66D1" w:rsidRPr="009D66D1">
        <w:rPr>
          <w:rFonts w:eastAsia="Calibri" w:cs="Arial"/>
          <w:lang w:eastAsia="en-US"/>
        </w:rPr>
        <w:t xml:space="preserve"> el numeral 3 del Acuerda de la citada Ordenanza exige que las reglamentaciones que se dicten deben </w:t>
      </w:r>
      <w:r w:rsidR="009D66D1" w:rsidRPr="009D66D1">
        <w:rPr>
          <w:rFonts w:eastAsia="Calibri" w:cs="Arial"/>
          <w:i/>
          <w:lang w:eastAsia="en-US"/>
        </w:rPr>
        <w:t xml:space="preserve">“ser sometidas previamente a consideración de este Tribunal” </w:t>
      </w:r>
      <w:r w:rsidR="009D66D1" w:rsidRPr="009D66D1">
        <w:rPr>
          <w:rFonts w:eastAsia="Calibri" w:cs="Arial"/>
          <w:lang w:eastAsia="en-US"/>
        </w:rPr>
        <w:t>y la reglamentación remitida ya fue aprobada por el Ordenador competente</w:t>
      </w:r>
      <w:r w:rsidR="009D66D1">
        <w:rPr>
          <w:rFonts w:eastAsia="Calibri" w:cs="Arial"/>
          <w:lang w:eastAsia="en-US"/>
        </w:rPr>
        <w:t xml:space="preserve"> el 25 de mayo</w:t>
      </w:r>
      <w:r w:rsidR="009D66D1" w:rsidRPr="009D66D1">
        <w:rPr>
          <w:rFonts w:eastAsia="Calibri" w:cs="Arial"/>
          <w:lang w:eastAsia="en-US"/>
        </w:rPr>
        <w:t xml:space="preserve"> de 2018, (numeral 2 de la </w:t>
      </w:r>
      <w:r w:rsidR="009D66D1">
        <w:rPr>
          <w:rFonts w:eastAsia="Calibri" w:cs="Arial"/>
          <w:lang w:eastAsia="en-US"/>
        </w:rPr>
        <w:t>Resolución del Directorio Nº 231</w:t>
      </w:r>
      <w:r w:rsidR="009D66D1" w:rsidRPr="009D66D1">
        <w:rPr>
          <w:rFonts w:eastAsia="Calibri" w:cs="Arial"/>
          <w:lang w:eastAsia="en-US"/>
        </w:rPr>
        <w:t>/</w:t>
      </w:r>
      <w:r w:rsidR="009D66D1">
        <w:rPr>
          <w:rFonts w:eastAsia="Calibri" w:cs="Arial"/>
          <w:lang w:eastAsia="en-US"/>
        </w:rPr>
        <w:t>20</w:t>
      </w:r>
      <w:r w:rsidR="009D66D1" w:rsidRPr="009D66D1">
        <w:rPr>
          <w:rFonts w:eastAsia="Calibri" w:cs="Arial"/>
          <w:lang w:eastAsia="en-US"/>
        </w:rPr>
        <w:t>18), sin supeditar su entrada en vigencia al pronunci</w:t>
      </w:r>
      <w:r w:rsidR="00FB79C8">
        <w:rPr>
          <w:rFonts w:eastAsia="Calibri" w:cs="Arial"/>
          <w:lang w:eastAsia="en-US"/>
        </w:rPr>
        <w:t>amiento de este Tribunal;</w:t>
      </w:r>
    </w:p>
    <w:p w:rsidR="00930ACD" w:rsidRDefault="00930ACD" w:rsidP="00953686">
      <w:pPr>
        <w:ind w:firstLine="851"/>
        <w:jc w:val="both"/>
      </w:pPr>
      <w:r>
        <w:rPr>
          <w:b/>
          <w:bCs/>
        </w:rPr>
        <w:t>ATENTO</w:t>
      </w:r>
      <w:r w:rsidR="00953686">
        <w:rPr>
          <w:b/>
          <w:bCs/>
        </w:rPr>
        <w:t>:</w:t>
      </w:r>
      <w:r>
        <w:rPr>
          <w:b/>
          <w:bCs/>
        </w:rPr>
        <w:t xml:space="preserve"> </w:t>
      </w:r>
      <w:r>
        <w:t>a lo precedentemente expuesto;</w:t>
      </w:r>
    </w:p>
    <w:p w:rsidR="00930ACD" w:rsidRDefault="00930ACD" w:rsidP="003D6E27">
      <w:pPr>
        <w:pStyle w:val="Ttulo1"/>
      </w:pPr>
      <w:r>
        <w:t>EL TRIBUNAL ACUERDA</w:t>
      </w:r>
    </w:p>
    <w:p w:rsidR="00930ACD" w:rsidRDefault="003D6E27" w:rsidP="003D6E27">
      <w:pPr>
        <w:jc w:val="both"/>
      </w:pPr>
      <w:r w:rsidRPr="003D6E27">
        <w:rPr>
          <w:b/>
        </w:rPr>
        <w:t>1)</w:t>
      </w:r>
      <w:r>
        <w:t xml:space="preserve"> </w:t>
      </w:r>
      <w:r w:rsidR="003F6119">
        <w:t>Expedirse en los términos de</w:t>
      </w:r>
      <w:r w:rsidR="00667D55">
        <w:t xml:space="preserve"> los Considerandos</w:t>
      </w:r>
      <w:r w:rsidR="00076AA4">
        <w:t xml:space="preserve"> 2) y 3</w:t>
      </w:r>
      <w:r w:rsidR="0029589E">
        <w:t xml:space="preserve">) de la presente </w:t>
      </w:r>
      <w:r w:rsidR="003F6119">
        <w:t>Re</w:t>
      </w:r>
      <w:r w:rsidR="0029589E">
        <w:t>solución</w:t>
      </w:r>
      <w:r w:rsidR="00667D55">
        <w:t>;</w:t>
      </w:r>
    </w:p>
    <w:p w:rsidR="00076AA4" w:rsidRDefault="003D6E27" w:rsidP="003D6E27">
      <w:pPr>
        <w:jc w:val="both"/>
      </w:pPr>
      <w:r w:rsidRPr="003D6E27">
        <w:rPr>
          <w:b/>
        </w:rPr>
        <w:t>2)</w:t>
      </w:r>
      <w:r>
        <w:t xml:space="preserve"> </w:t>
      </w:r>
      <w:r w:rsidR="00076AA4">
        <w:t>Téngase presente lo señalado en el Considerando</w:t>
      </w:r>
      <w:r w:rsidR="003F6119">
        <w:t xml:space="preserve"> 4</w:t>
      </w:r>
      <w:r w:rsidR="00FB79C8">
        <w:t>;</w:t>
      </w:r>
    </w:p>
    <w:p w:rsidR="00930ACD" w:rsidRDefault="003D6E27" w:rsidP="003D6E27">
      <w:pPr>
        <w:jc w:val="both"/>
      </w:pPr>
      <w:r w:rsidRPr="003D6E27">
        <w:rPr>
          <w:b/>
        </w:rPr>
        <w:t>3)</w:t>
      </w:r>
      <w:r>
        <w:t xml:space="preserve"> </w:t>
      </w:r>
      <w:r w:rsidR="00930ACD">
        <w:t xml:space="preserve">Comunicar al Organismo </w:t>
      </w:r>
      <w:r>
        <w:t>actuante y al Contador Delegado.</w:t>
      </w:r>
    </w:p>
    <w:p w:rsidR="00930ACD" w:rsidRDefault="00930ACD" w:rsidP="003D6E27">
      <w:pPr>
        <w:jc w:val="both"/>
      </w:pPr>
    </w:p>
    <w:p w:rsidR="003D6E27" w:rsidRDefault="003D6E27" w:rsidP="003D6E27">
      <w:pPr>
        <w:jc w:val="both"/>
      </w:pPr>
      <w:proofErr w:type="gramStart"/>
      <w:r>
        <w:t>lm</w:t>
      </w:r>
      <w:proofErr w:type="gramEnd"/>
    </w:p>
    <w:sectPr w:rsidR="003D6E27" w:rsidSect="00953686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DE" w:rsidRDefault="00765ADE" w:rsidP="00765ADE">
      <w:pPr>
        <w:spacing w:line="240" w:lineRule="auto"/>
      </w:pPr>
      <w:r>
        <w:separator/>
      </w:r>
    </w:p>
  </w:endnote>
  <w:endnote w:type="continuationSeparator" w:id="0">
    <w:p w:rsidR="00765ADE" w:rsidRDefault="00765ADE" w:rsidP="00765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752952"/>
      <w:docPartObj>
        <w:docPartGallery w:val="Page Numbers (Bottom of Page)"/>
        <w:docPartUnique/>
      </w:docPartObj>
    </w:sdtPr>
    <w:sdtEndPr/>
    <w:sdtContent>
      <w:p w:rsidR="00765ADE" w:rsidRDefault="00765AD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CC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DE" w:rsidRDefault="00765ADE" w:rsidP="00765ADE">
      <w:pPr>
        <w:spacing w:line="240" w:lineRule="auto"/>
      </w:pPr>
      <w:r>
        <w:separator/>
      </w:r>
    </w:p>
  </w:footnote>
  <w:footnote w:type="continuationSeparator" w:id="0">
    <w:p w:rsidR="00765ADE" w:rsidRDefault="00765ADE" w:rsidP="00765A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83156"/>
    <w:multiLevelType w:val="hybridMultilevel"/>
    <w:tmpl w:val="7CD44B56"/>
    <w:lvl w:ilvl="0" w:tplc="8F8EC3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CD"/>
    <w:rsid w:val="00076AA4"/>
    <w:rsid w:val="00087775"/>
    <w:rsid w:val="000C4038"/>
    <w:rsid w:val="00166655"/>
    <w:rsid w:val="001B577E"/>
    <w:rsid w:val="00212D95"/>
    <w:rsid w:val="0025203A"/>
    <w:rsid w:val="0029589E"/>
    <w:rsid w:val="002B6DF9"/>
    <w:rsid w:val="00316DA6"/>
    <w:rsid w:val="00383156"/>
    <w:rsid w:val="003878A1"/>
    <w:rsid w:val="003D6E27"/>
    <w:rsid w:val="003F6119"/>
    <w:rsid w:val="00466A92"/>
    <w:rsid w:val="004A4CC1"/>
    <w:rsid w:val="004D1D6E"/>
    <w:rsid w:val="004D3B72"/>
    <w:rsid w:val="00507D65"/>
    <w:rsid w:val="005423C9"/>
    <w:rsid w:val="00562203"/>
    <w:rsid w:val="00667D55"/>
    <w:rsid w:val="00737618"/>
    <w:rsid w:val="00751C52"/>
    <w:rsid w:val="00765ADE"/>
    <w:rsid w:val="007D6132"/>
    <w:rsid w:val="0083604C"/>
    <w:rsid w:val="00930ACD"/>
    <w:rsid w:val="00953686"/>
    <w:rsid w:val="009D31D1"/>
    <w:rsid w:val="009D66D1"/>
    <w:rsid w:val="009F2528"/>
    <w:rsid w:val="00A92D6C"/>
    <w:rsid w:val="00BE4F6D"/>
    <w:rsid w:val="00CA54A4"/>
    <w:rsid w:val="00CA6412"/>
    <w:rsid w:val="00CA7A22"/>
    <w:rsid w:val="00DA6ED4"/>
    <w:rsid w:val="00DF37EA"/>
    <w:rsid w:val="00E1571D"/>
    <w:rsid w:val="00E96339"/>
    <w:rsid w:val="00EC3E93"/>
    <w:rsid w:val="00FB79C8"/>
    <w:rsid w:val="00F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CD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30ACD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0AC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semiHidden/>
    <w:unhideWhenUsed/>
    <w:rsid w:val="00930AC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65AD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AD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65AD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ADE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CD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30ACD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30ACD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uiPriority w:val="99"/>
    <w:semiHidden/>
    <w:unhideWhenUsed/>
    <w:rsid w:val="00930AC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65AD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AD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65AD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ADE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1058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5</cp:revision>
  <cp:lastPrinted>2019-05-13T14:58:00Z</cp:lastPrinted>
  <dcterms:created xsi:type="dcterms:W3CDTF">2019-05-13T13:55:00Z</dcterms:created>
  <dcterms:modified xsi:type="dcterms:W3CDTF">2019-05-24T16:32:00Z</dcterms:modified>
</cp:coreProperties>
</file>