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A5" w:rsidRPr="00D103A5" w:rsidRDefault="00D103A5" w:rsidP="00D103A5">
      <w:pPr>
        <w:tabs>
          <w:tab w:val="center" w:pos="4253"/>
        </w:tabs>
        <w:suppressAutoHyphens/>
        <w:spacing w:after="0" w:line="240" w:lineRule="auto"/>
        <w:jc w:val="right"/>
        <w:rPr>
          <w:rFonts w:cs="Arial"/>
          <w:b/>
          <w:bCs w:val="0"/>
          <w:sz w:val="28"/>
          <w:szCs w:val="28"/>
          <w:lang w:val="es-ES_tradnl" w:eastAsia="es-ES"/>
        </w:rPr>
      </w:pPr>
      <w:r w:rsidRPr="00D103A5">
        <w:rPr>
          <w:rFonts w:cs="Times New Roman"/>
          <w:bCs w:val="0"/>
          <w:szCs w:val="20"/>
          <w:lang w:val="es-ES" w:eastAsia="ar-SA"/>
        </w:rPr>
        <w:t xml:space="preserve">  </w:t>
      </w:r>
      <w:r w:rsidRPr="00D103A5">
        <w:rPr>
          <w:rFonts w:cs="Arial"/>
          <w:b/>
          <w:bCs w:val="0"/>
          <w:sz w:val="28"/>
          <w:szCs w:val="28"/>
          <w:lang w:val="es-ES_tradnl" w:eastAsia="es-ES"/>
        </w:rPr>
        <w:t xml:space="preserve">RES.  </w:t>
      </w:r>
      <w:r>
        <w:rPr>
          <w:rFonts w:cs="Arial"/>
          <w:b/>
          <w:bCs w:val="0"/>
          <w:sz w:val="28"/>
          <w:szCs w:val="28"/>
          <w:lang w:val="es-ES_tradnl" w:eastAsia="es-ES"/>
        </w:rPr>
        <w:t>1070</w:t>
      </w:r>
      <w:r w:rsidRPr="00D103A5">
        <w:rPr>
          <w:rFonts w:cs="Arial"/>
          <w:b/>
          <w:bCs w:val="0"/>
          <w:sz w:val="28"/>
          <w:szCs w:val="28"/>
          <w:lang w:val="es-ES_tradnl" w:eastAsia="es-ES"/>
        </w:rPr>
        <w:t>/19</w:t>
      </w:r>
    </w:p>
    <w:p w:rsidR="00D103A5" w:rsidRPr="00D103A5" w:rsidRDefault="00D103A5" w:rsidP="00D103A5">
      <w:pPr>
        <w:tabs>
          <w:tab w:val="center" w:pos="4253"/>
        </w:tabs>
        <w:suppressAutoHyphens/>
        <w:spacing w:after="0" w:line="240" w:lineRule="auto"/>
        <w:jc w:val="right"/>
        <w:rPr>
          <w:rFonts w:cs="Arial"/>
          <w:b/>
          <w:bCs w:val="0"/>
          <w:lang w:val="es-ES_tradnl" w:eastAsia="es-ES"/>
        </w:rPr>
      </w:pPr>
    </w:p>
    <w:p w:rsidR="00D103A5" w:rsidRPr="00D103A5" w:rsidRDefault="00D103A5" w:rsidP="00D103A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bCs w:val="0"/>
          <w:lang w:val="es-ES_tradnl" w:eastAsia="es-ES"/>
        </w:rPr>
      </w:pPr>
      <w:r w:rsidRPr="00D103A5">
        <w:rPr>
          <w:rFonts w:cs="Arial"/>
          <w:b/>
          <w:bCs w:val="0"/>
          <w:lang w:val="es-ES_tradnl" w:eastAsia="es-ES"/>
        </w:rPr>
        <w:t>RESOLUCION ADOPTADA POR EL</w:t>
      </w:r>
    </w:p>
    <w:p w:rsidR="00D103A5" w:rsidRPr="00D103A5" w:rsidRDefault="00D103A5" w:rsidP="00D103A5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bCs w:val="0"/>
          <w:lang w:val="es-ES_tradnl" w:eastAsia="es-ES"/>
        </w:rPr>
      </w:pPr>
    </w:p>
    <w:p w:rsidR="00D103A5" w:rsidRPr="00D103A5" w:rsidRDefault="00D103A5" w:rsidP="00D103A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bCs w:val="0"/>
          <w:lang w:val="es-ES_tradnl" w:eastAsia="es-ES"/>
        </w:rPr>
      </w:pPr>
      <w:r w:rsidRPr="00D103A5">
        <w:rPr>
          <w:rFonts w:cs="Arial"/>
          <w:b/>
          <w:bCs w:val="0"/>
          <w:lang w:val="es-ES_tradnl" w:eastAsia="es-ES"/>
        </w:rPr>
        <w:t>TRIBUNAL DE CUENTAS</w:t>
      </w:r>
    </w:p>
    <w:p w:rsidR="00D103A5" w:rsidRPr="00D103A5" w:rsidRDefault="00D103A5" w:rsidP="00D103A5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bCs w:val="0"/>
          <w:lang w:val="es-ES_tradnl" w:eastAsia="es-ES"/>
        </w:rPr>
      </w:pPr>
    </w:p>
    <w:p w:rsidR="00D103A5" w:rsidRPr="00D103A5" w:rsidRDefault="00D103A5" w:rsidP="00D103A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bCs w:val="0"/>
          <w:lang w:val="es-ES_tradnl" w:eastAsia="es-ES"/>
        </w:rPr>
      </w:pPr>
      <w:r w:rsidRPr="00D103A5">
        <w:rPr>
          <w:rFonts w:cs="Arial"/>
          <w:b/>
          <w:bCs w:val="0"/>
          <w:lang w:val="es-ES_tradnl" w:eastAsia="es-ES"/>
        </w:rPr>
        <w:t xml:space="preserve">EN SESION DE FECHA 3 DE MAYO  </w:t>
      </w:r>
      <w:r w:rsidRPr="00D103A5">
        <w:rPr>
          <w:rFonts w:ascii="Helvetica" w:hAnsi="Helvetica" w:cs="Times New Roman"/>
          <w:b/>
          <w:bCs w:val="0"/>
          <w:lang w:val="es-ES_tradnl" w:eastAsia="es-ES"/>
        </w:rPr>
        <w:t>DE 2019</w:t>
      </w:r>
    </w:p>
    <w:p w:rsidR="00D103A5" w:rsidRPr="00D103A5" w:rsidRDefault="00D103A5" w:rsidP="00D103A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bCs w:val="0"/>
          <w:lang w:val="es-ES_tradnl" w:eastAsia="es-ES"/>
        </w:rPr>
      </w:pPr>
    </w:p>
    <w:p w:rsidR="00D103A5" w:rsidRPr="00D103A5" w:rsidRDefault="00D103A5" w:rsidP="00D103A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bCs w:val="0"/>
          <w:lang w:val="es-UY" w:eastAsia="es-ES"/>
        </w:rPr>
      </w:pPr>
      <w:r w:rsidRPr="00D103A5">
        <w:rPr>
          <w:rFonts w:cs="Arial"/>
          <w:b/>
          <w:bCs w:val="0"/>
          <w:lang w:val="es-UY" w:eastAsia="es-ES"/>
        </w:rPr>
        <w:t>(E. E. Nº 201</w:t>
      </w:r>
      <w:r>
        <w:rPr>
          <w:rFonts w:cs="Arial"/>
          <w:b/>
          <w:bCs w:val="0"/>
          <w:lang w:val="es-UY" w:eastAsia="es-ES"/>
        </w:rPr>
        <w:t>9</w:t>
      </w:r>
      <w:r w:rsidRPr="00D103A5">
        <w:rPr>
          <w:rFonts w:cs="Arial"/>
          <w:b/>
          <w:bCs w:val="0"/>
          <w:lang w:val="es-UY" w:eastAsia="es-ES"/>
        </w:rPr>
        <w:t>-17-1-000</w:t>
      </w:r>
      <w:r>
        <w:rPr>
          <w:rFonts w:cs="Arial"/>
          <w:b/>
          <w:bCs w:val="0"/>
          <w:lang w:val="es-UY" w:eastAsia="es-ES"/>
        </w:rPr>
        <w:t>1827</w:t>
      </w:r>
      <w:r w:rsidRPr="00D103A5">
        <w:rPr>
          <w:rFonts w:cs="Arial"/>
          <w:b/>
          <w:bCs w:val="0"/>
          <w:lang w:val="es-UY" w:eastAsia="es-ES"/>
        </w:rPr>
        <w:t xml:space="preserve">, </w:t>
      </w:r>
      <w:proofErr w:type="spellStart"/>
      <w:r w:rsidRPr="00D103A5">
        <w:rPr>
          <w:rFonts w:cs="Arial"/>
          <w:b/>
          <w:bCs w:val="0"/>
          <w:lang w:val="es-UY" w:eastAsia="es-ES"/>
        </w:rPr>
        <w:t>Ent</w:t>
      </w:r>
      <w:proofErr w:type="spellEnd"/>
      <w:r w:rsidRPr="00D103A5">
        <w:rPr>
          <w:rFonts w:cs="Arial"/>
          <w:b/>
          <w:bCs w:val="0"/>
          <w:lang w:val="es-UY" w:eastAsia="es-ES"/>
        </w:rPr>
        <w:t xml:space="preserve">. N° </w:t>
      </w:r>
      <w:r>
        <w:rPr>
          <w:rFonts w:cs="Arial"/>
          <w:b/>
          <w:bCs w:val="0"/>
          <w:lang w:val="es-UY" w:eastAsia="es-ES"/>
        </w:rPr>
        <w:t>146</w:t>
      </w:r>
      <w:r w:rsidR="009539D3">
        <w:rPr>
          <w:rFonts w:cs="Arial"/>
          <w:b/>
          <w:bCs w:val="0"/>
          <w:lang w:val="es-UY" w:eastAsia="es-ES"/>
        </w:rPr>
        <w:t>4</w:t>
      </w:r>
      <w:bookmarkStart w:id="0" w:name="_GoBack"/>
      <w:bookmarkEnd w:id="0"/>
      <w:r w:rsidRPr="00D103A5">
        <w:rPr>
          <w:rFonts w:cs="Arial"/>
          <w:b/>
          <w:bCs w:val="0"/>
          <w:lang w:val="es-UY" w:eastAsia="es-ES"/>
        </w:rPr>
        <w:t>/</w:t>
      </w:r>
      <w:r>
        <w:rPr>
          <w:rFonts w:cs="Arial"/>
          <w:b/>
          <w:bCs w:val="0"/>
          <w:lang w:val="es-UY" w:eastAsia="es-ES"/>
        </w:rPr>
        <w:t>19)</w:t>
      </w:r>
    </w:p>
    <w:p w:rsidR="00EA31E9" w:rsidRPr="00D103A5" w:rsidRDefault="00EA31E9" w:rsidP="00EA31E9">
      <w:pPr>
        <w:rPr>
          <w:lang w:val="es-UY"/>
        </w:rPr>
      </w:pPr>
    </w:p>
    <w:p w:rsidR="00EA31E9" w:rsidRDefault="00EA31E9" w:rsidP="00D103A5">
      <w:pPr>
        <w:spacing w:after="0"/>
        <w:ind w:firstLine="708"/>
        <w:rPr>
          <w:lang w:val="es-ES"/>
        </w:rPr>
      </w:pPr>
      <w:r w:rsidRPr="00EA31E9">
        <w:rPr>
          <w:b/>
          <w:lang w:val="es-ES"/>
        </w:rPr>
        <w:t>VISTO:</w:t>
      </w:r>
      <w:r>
        <w:rPr>
          <w:lang w:val="es-ES"/>
        </w:rPr>
        <w:t xml:space="preserve"> las actuaciones remitidas por Presidencia de la República – Secre</w:t>
      </w:r>
      <w:r w:rsidR="002E6FD8">
        <w:rPr>
          <w:lang w:val="es-ES"/>
        </w:rPr>
        <w:t>taría General de Drogas relacionadas con e</w:t>
      </w:r>
      <w:r w:rsidR="00014A9A">
        <w:rPr>
          <w:lang w:val="es-ES"/>
        </w:rPr>
        <w:t>l remate anticipado de un bien</w:t>
      </w:r>
      <w:r w:rsidR="000A078F">
        <w:rPr>
          <w:lang w:val="es-ES"/>
        </w:rPr>
        <w:t xml:space="preserve"> inmueble</w:t>
      </w:r>
      <w:r w:rsidR="000C007F">
        <w:rPr>
          <w:lang w:val="es-ES"/>
        </w:rPr>
        <w:t xml:space="preserve"> incautado</w:t>
      </w:r>
      <w:r>
        <w:rPr>
          <w:lang w:val="es-ES"/>
        </w:rPr>
        <w:t>;</w:t>
      </w:r>
    </w:p>
    <w:p w:rsidR="00EA31E9" w:rsidRDefault="00EA31E9" w:rsidP="00D103A5">
      <w:pPr>
        <w:spacing w:after="0"/>
        <w:ind w:firstLine="709"/>
        <w:rPr>
          <w:lang w:val="es-ES"/>
        </w:rPr>
      </w:pPr>
      <w:r w:rsidRPr="00EA31E9">
        <w:rPr>
          <w:b/>
          <w:lang w:val="es-ES"/>
        </w:rPr>
        <w:t>RESULTANDO:</w:t>
      </w:r>
      <w:r>
        <w:rPr>
          <w:lang w:val="es-ES"/>
        </w:rPr>
        <w:t xml:space="preserve"> </w:t>
      </w:r>
      <w:r w:rsidRPr="0052365E">
        <w:rPr>
          <w:b/>
          <w:lang w:val="es-ES"/>
        </w:rPr>
        <w:t>1)</w:t>
      </w:r>
      <w:r>
        <w:rPr>
          <w:lang w:val="es-ES"/>
        </w:rPr>
        <w:t xml:space="preserve"> que en </w:t>
      </w:r>
      <w:r w:rsidR="0049661F">
        <w:rPr>
          <w:lang w:val="es-ES"/>
        </w:rPr>
        <w:t xml:space="preserve">la causa </w:t>
      </w:r>
      <w:r w:rsidR="00C60B52">
        <w:rPr>
          <w:lang w:val="es-ES"/>
        </w:rPr>
        <w:t xml:space="preserve">principal identificada con el </w:t>
      </w:r>
      <w:r w:rsidR="0049661F">
        <w:rPr>
          <w:lang w:val="es-ES"/>
        </w:rPr>
        <w:t>IUE 2-37467/2015</w:t>
      </w:r>
      <w:r>
        <w:rPr>
          <w:lang w:val="es-ES"/>
        </w:rPr>
        <w:t>,</w:t>
      </w:r>
      <w:r w:rsidR="00C60B52">
        <w:rPr>
          <w:lang w:val="es-ES"/>
        </w:rPr>
        <w:t xml:space="preserve"> por resolución Nº 372/2016 del 23/04/2016,</w:t>
      </w:r>
      <w:r>
        <w:rPr>
          <w:lang w:val="es-ES"/>
        </w:rPr>
        <w:t xml:space="preserve"> la Sra. Juez Letrado Penal Especializado en </w:t>
      </w:r>
      <w:r w:rsidR="0090505C">
        <w:rPr>
          <w:lang w:val="es-ES"/>
        </w:rPr>
        <w:t>Crimen Org</w:t>
      </w:r>
      <w:r w:rsidR="00C60B52">
        <w:rPr>
          <w:lang w:val="es-ES"/>
        </w:rPr>
        <w:t>anizado de 1</w:t>
      </w:r>
      <w:r w:rsidR="0090505C">
        <w:rPr>
          <w:lang w:val="es-ES"/>
        </w:rPr>
        <w:t>º Turno</w:t>
      </w:r>
      <w:r w:rsidR="00045840">
        <w:rPr>
          <w:lang w:val="es-ES"/>
        </w:rPr>
        <w:t xml:space="preserve">, dispuso el </w:t>
      </w:r>
      <w:r w:rsidR="00C60B52">
        <w:rPr>
          <w:lang w:val="es-ES"/>
        </w:rPr>
        <w:t xml:space="preserve">embargo específico de los bienes inmuebles registrados a nombre de las personas y/o empresas </w:t>
      </w:r>
      <w:r w:rsidR="000C007F">
        <w:rPr>
          <w:lang w:val="es-ES"/>
        </w:rPr>
        <w:t>relac</w:t>
      </w:r>
      <w:r w:rsidR="002E6FD8">
        <w:rPr>
          <w:lang w:val="es-ES"/>
        </w:rPr>
        <w:t>ionadas a la causa, de acuerdo con los</w:t>
      </w:r>
      <w:r w:rsidR="00C60B52">
        <w:rPr>
          <w:lang w:val="es-ES"/>
        </w:rPr>
        <w:t xml:space="preserve"> informes de la Unidad de Información y Análisis Financiero (UIAF) del Banco Central, entre los cuales se incluyó el inmueble</w:t>
      </w:r>
      <w:r w:rsidR="002E6FD8">
        <w:rPr>
          <w:lang w:val="es-ES"/>
        </w:rPr>
        <w:t xml:space="preserve"> padrón Nº 7.617 de la primera Sección J</w:t>
      </w:r>
      <w:r w:rsidR="00C60B52">
        <w:rPr>
          <w:lang w:val="es-ES"/>
        </w:rPr>
        <w:t xml:space="preserve">udicial de Maldonado, localidad catastral de Punta del Este,. Chalet “Quincho Grande” sito en calle Circunvalación al Golf s/nº, cuyo titular es la sociedad </w:t>
      </w:r>
      <w:proofErr w:type="spellStart"/>
      <w:r w:rsidR="00C60B52">
        <w:rPr>
          <w:lang w:val="es-ES"/>
        </w:rPr>
        <w:t>Montella</w:t>
      </w:r>
      <w:proofErr w:type="spellEnd"/>
      <w:r w:rsidR="00C60B52">
        <w:rPr>
          <w:lang w:val="es-ES"/>
        </w:rPr>
        <w:t xml:space="preserve"> Global S.A.</w:t>
      </w:r>
      <w:r w:rsidR="00045840">
        <w:rPr>
          <w:lang w:val="es-ES"/>
        </w:rPr>
        <w:t>;</w:t>
      </w:r>
    </w:p>
    <w:p w:rsidR="00C60B52" w:rsidRDefault="00D103A5" w:rsidP="00D103A5">
      <w:pPr>
        <w:spacing w:after="100" w:afterAutospacing="1"/>
        <w:ind w:firstLine="1985"/>
        <w:rPr>
          <w:lang w:val="es-ES"/>
        </w:rPr>
      </w:pPr>
      <w:r>
        <w:rPr>
          <w:b/>
          <w:lang w:val="es-ES"/>
        </w:rPr>
        <w:t xml:space="preserve">        </w:t>
      </w:r>
      <w:r w:rsidR="00045840" w:rsidRPr="0052365E">
        <w:rPr>
          <w:b/>
          <w:lang w:val="es-ES"/>
        </w:rPr>
        <w:t>2)</w:t>
      </w:r>
      <w:r w:rsidR="00045840">
        <w:rPr>
          <w:lang w:val="es-ES"/>
        </w:rPr>
        <w:t xml:space="preserve"> </w:t>
      </w:r>
      <w:r w:rsidR="00C60B52">
        <w:rPr>
          <w:lang w:val="es-ES"/>
        </w:rPr>
        <w:t xml:space="preserve">que </w:t>
      </w:r>
      <w:r w:rsidR="00D245F2">
        <w:rPr>
          <w:lang w:val="es-ES"/>
        </w:rPr>
        <w:t xml:space="preserve">en </w:t>
      </w:r>
      <w:r w:rsidR="00C60B52">
        <w:rPr>
          <w:lang w:val="es-ES"/>
        </w:rPr>
        <w:t>autos caratulados “La Junta Nacional de Drogas. Su solicitud” IUE: 474-49/2017, pieza separada de los autos principales antes referidos,</w:t>
      </w:r>
      <w:r w:rsidR="002E6FD8">
        <w:rPr>
          <w:lang w:val="es-ES"/>
        </w:rPr>
        <w:t xml:space="preserve"> ante la solicitud formulada por</w:t>
      </w:r>
      <w:r w:rsidR="00077D7C">
        <w:rPr>
          <w:lang w:val="es-ES"/>
        </w:rPr>
        <w:t xml:space="preserve"> la Junta Nacional de Drogas, </w:t>
      </w:r>
      <w:r w:rsidR="002E6FD8">
        <w:rPr>
          <w:lang w:val="es-ES"/>
        </w:rPr>
        <w:t xml:space="preserve">que contó </w:t>
      </w:r>
      <w:r w:rsidR="00077D7C">
        <w:rPr>
          <w:lang w:val="es-ES"/>
        </w:rPr>
        <w:t>con pronunciamiento favorable del Ministeri</w:t>
      </w:r>
      <w:r w:rsidR="002E6FD8">
        <w:rPr>
          <w:lang w:val="es-ES"/>
        </w:rPr>
        <w:t xml:space="preserve">o Público y oposición </w:t>
      </w:r>
      <w:r w:rsidR="00077D7C">
        <w:rPr>
          <w:lang w:val="es-ES"/>
        </w:rPr>
        <w:t xml:space="preserve">de la defensa de los encausados, </w:t>
      </w:r>
      <w:r w:rsidR="00C60B52">
        <w:rPr>
          <w:lang w:val="es-ES"/>
        </w:rPr>
        <w:t>la Sra. Juez Letrado Penal Especializado en Crimen Organizado de 1º Turno, dispuso el remat</w:t>
      </w:r>
      <w:r w:rsidR="002E6FD8">
        <w:rPr>
          <w:lang w:val="es-ES"/>
        </w:rPr>
        <w:t>e anticipado del bien inmueble P</w:t>
      </w:r>
      <w:r w:rsidR="00C60B52">
        <w:rPr>
          <w:lang w:val="es-ES"/>
        </w:rPr>
        <w:t xml:space="preserve">adrón </w:t>
      </w:r>
      <w:r w:rsidR="00077D7C">
        <w:rPr>
          <w:lang w:val="es-ES"/>
        </w:rPr>
        <w:t>Nº 7.617 de la localidad catastral de Punta del Este, Departamento de Maldonado,</w:t>
      </w:r>
      <w:r w:rsidR="00077D7C" w:rsidRPr="00077D7C">
        <w:rPr>
          <w:color w:val="FF0000"/>
          <w:lang w:val="es-ES"/>
        </w:rPr>
        <w:t xml:space="preserve"> </w:t>
      </w:r>
      <w:r w:rsidR="002E6FD8">
        <w:rPr>
          <w:lang w:val="es-ES"/>
        </w:rPr>
        <w:t>por Decreto</w:t>
      </w:r>
      <w:r w:rsidR="00077D7C" w:rsidRPr="008B1942">
        <w:rPr>
          <w:lang w:val="es-ES"/>
        </w:rPr>
        <w:t xml:space="preserve"> Nº 1408/2017 del 10/</w:t>
      </w:r>
      <w:r w:rsidR="002E6FD8">
        <w:rPr>
          <w:lang w:val="es-ES"/>
        </w:rPr>
        <w:t>11/2017;</w:t>
      </w:r>
    </w:p>
    <w:p w:rsidR="00D12F29" w:rsidRDefault="00D103A5" w:rsidP="0052365E">
      <w:pPr>
        <w:ind w:firstLine="1985"/>
        <w:rPr>
          <w:lang w:val="es-ES"/>
        </w:rPr>
      </w:pPr>
      <w:r>
        <w:rPr>
          <w:b/>
          <w:lang w:val="es-ES"/>
        </w:rPr>
        <w:lastRenderedPageBreak/>
        <w:t xml:space="preserve">          </w:t>
      </w:r>
      <w:r w:rsidR="008B1942" w:rsidRPr="0052365E">
        <w:rPr>
          <w:b/>
          <w:lang w:val="es-ES"/>
        </w:rPr>
        <w:t>3)</w:t>
      </w:r>
      <w:r w:rsidR="00D12F29">
        <w:rPr>
          <w:b/>
          <w:lang w:val="es-ES"/>
        </w:rPr>
        <w:t xml:space="preserve"> </w:t>
      </w:r>
      <w:r w:rsidR="00D12F29" w:rsidRPr="00D12F29">
        <w:rPr>
          <w:lang w:val="es-ES"/>
        </w:rPr>
        <w:t xml:space="preserve">que </w:t>
      </w:r>
      <w:r w:rsidR="00907E4D">
        <w:rPr>
          <w:lang w:val="es-ES"/>
        </w:rPr>
        <w:t xml:space="preserve">asimismo, </w:t>
      </w:r>
      <w:r w:rsidR="00D12F29" w:rsidRPr="00D12F29">
        <w:rPr>
          <w:lang w:val="es-ES"/>
        </w:rPr>
        <w:t>la re</w:t>
      </w:r>
      <w:r w:rsidR="00D12F29">
        <w:rPr>
          <w:lang w:val="es-ES"/>
        </w:rPr>
        <w:t xml:space="preserve">ferida Sentencia interlocutoria expresa que: (i) el bien inmueble ha sido embargado específicamente y comunicado al Registro de la Propiedad </w:t>
      </w:r>
      <w:r w:rsidR="00D245F2">
        <w:rPr>
          <w:lang w:val="es-ES"/>
        </w:rPr>
        <w:t>d</w:t>
      </w:r>
      <w:r w:rsidR="00D12F29">
        <w:rPr>
          <w:lang w:val="es-ES"/>
        </w:rPr>
        <w:t>e Maldonado por oficio Nº</w:t>
      </w:r>
      <w:r w:rsidR="002E6FD8">
        <w:rPr>
          <w:lang w:val="es-ES"/>
        </w:rPr>
        <w:t xml:space="preserve"> </w:t>
      </w:r>
      <w:r w:rsidR="00D12F29">
        <w:rPr>
          <w:lang w:val="es-ES"/>
        </w:rPr>
        <w:t xml:space="preserve">A91 del 25 de abril de 2016 e inscripto el 26 de abril del 2016; (ii) el bien </w:t>
      </w:r>
      <w:r w:rsidR="00907E4D">
        <w:rPr>
          <w:lang w:val="es-ES"/>
        </w:rPr>
        <w:t xml:space="preserve">se </w:t>
      </w:r>
      <w:r w:rsidR="00D12F29">
        <w:rPr>
          <w:lang w:val="es-ES"/>
        </w:rPr>
        <w:t>encuentra incautado</w:t>
      </w:r>
      <w:r w:rsidR="00907E4D">
        <w:rPr>
          <w:lang w:val="es-ES"/>
        </w:rPr>
        <w:t xml:space="preserve">; (iii) el inmueble se encuentra bajo la custodia y administración del Fondo Nacional de Bienes Decomisados de la Junta Nacional de Drogas, de acuerdo con lo </w:t>
      </w:r>
      <w:r w:rsidR="002E6FD8">
        <w:rPr>
          <w:lang w:val="es-ES"/>
        </w:rPr>
        <w:t>prescripto por los artículos</w:t>
      </w:r>
      <w:r w:rsidR="00907E4D">
        <w:rPr>
          <w:lang w:val="es-ES"/>
        </w:rPr>
        <w:t xml:space="preserve"> 3 y 23 del Decreto </w:t>
      </w:r>
      <w:r w:rsidR="00431897">
        <w:rPr>
          <w:lang w:val="es-ES"/>
        </w:rPr>
        <w:t>Nº 339/2010 del 18/11/2010, (iv</w:t>
      </w:r>
      <w:r w:rsidR="00907E4D">
        <w:rPr>
          <w:lang w:val="es-ES"/>
        </w:rPr>
        <w:t>) el chalet está desocupado y en varias oportunidades ha sido objeto de hurtos y sufrido deterioros, y que además irroga grandes gastos;</w:t>
      </w:r>
    </w:p>
    <w:p w:rsidR="0036323B" w:rsidRDefault="00D103A5" w:rsidP="0052365E">
      <w:pPr>
        <w:ind w:firstLine="1985"/>
        <w:rPr>
          <w:lang w:val="es-ES"/>
        </w:rPr>
      </w:pPr>
      <w:r>
        <w:rPr>
          <w:b/>
          <w:lang w:val="es-ES"/>
        </w:rPr>
        <w:t xml:space="preserve">          </w:t>
      </w:r>
      <w:r w:rsidR="00907E4D">
        <w:rPr>
          <w:b/>
          <w:lang w:val="es-ES"/>
        </w:rPr>
        <w:t>4</w:t>
      </w:r>
      <w:r w:rsidR="00907E4D" w:rsidRPr="00907E4D">
        <w:rPr>
          <w:b/>
          <w:lang w:val="es-ES"/>
        </w:rPr>
        <w:t>)</w:t>
      </w:r>
      <w:r w:rsidR="00907E4D">
        <w:rPr>
          <w:lang w:val="es-ES"/>
        </w:rPr>
        <w:t xml:space="preserve"> </w:t>
      </w:r>
      <w:r w:rsidR="00045840">
        <w:rPr>
          <w:lang w:val="es-ES"/>
        </w:rPr>
        <w:t>que se agrega</w:t>
      </w:r>
      <w:r w:rsidR="002230E9">
        <w:rPr>
          <w:lang w:val="es-ES"/>
        </w:rPr>
        <w:t>n informes de la Asesoría Jurídica de Presidencia y del Fondo de Bienes Decomisados</w:t>
      </w:r>
      <w:r w:rsidR="002230E9" w:rsidRPr="002230E9">
        <w:rPr>
          <w:lang w:val="es-ES"/>
        </w:rPr>
        <w:t xml:space="preserve"> </w:t>
      </w:r>
      <w:r w:rsidR="002230E9">
        <w:rPr>
          <w:lang w:val="es-ES"/>
        </w:rPr>
        <w:t>de la Secretaría Nacional de Drogas, dando cuenta del estado de la causa y de la situación del inmueble;</w:t>
      </w:r>
    </w:p>
    <w:p w:rsidR="00045840" w:rsidRDefault="00D103A5" w:rsidP="0052365E">
      <w:pPr>
        <w:ind w:firstLine="1985"/>
        <w:rPr>
          <w:lang w:val="es-ES"/>
        </w:rPr>
      </w:pPr>
      <w:r>
        <w:rPr>
          <w:b/>
          <w:lang w:val="es-ES"/>
        </w:rPr>
        <w:t xml:space="preserve">          </w:t>
      </w:r>
      <w:r w:rsidR="00DD4331">
        <w:rPr>
          <w:b/>
          <w:lang w:val="es-ES"/>
        </w:rPr>
        <w:t>5</w:t>
      </w:r>
      <w:r w:rsidR="0036323B" w:rsidRPr="0052365E">
        <w:rPr>
          <w:b/>
          <w:lang w:val="es-ES"/>
        </w:rPr>
        <w:t>)</w:t>
      </w:r>
      <w:r w:rsidR="0036323B">
        <w:rPr>
          <w:lang w:val="es-ES"/>
        </w:rPr>
        <w:t xml:space="preserve"> </w:t>
      </w:r>
      <w:r w:rsidR="00045840">
        <w:rPr>
          <w:lang w:val="es-ES"/>
        </w:rPr>
        <w:t>que</w:t>
      </w:r>
      <w:r w:rsidR="00B2531B">
        <w:rPr>
          <w:lang w:val="es-ES"/>
        </w:rPr>
        <w:t xml:space="preserve"> por el referido Decreto Nº 1408/2017 </w:t>
      </w:r>
      <w:r w:rsidR="00DD4331" w:rsidRPr="008B1942">
        <w:rPr>
          <w:lang w:val="es-ES"/>
        </w:rPr>
        <w:t>del 10/11/2017</w:t>
      </w:r>
      <w:r w:rsidR="00DD4331">
        <w:rPr>
          <w:lang w:val="es-ES"/>
        </w:rPr>
        <w:t xml:space="preserve"> </w:t>
      </w:r>
      <w:r w:rsidR="00B2531B">
        <w:rPr>
          <w:lang w:val="es-ES"/>
        </w:rPr>
        <w:t>se dispuso que</w:t>
      </w:r>
      <w:r w:rsidR="00045840">
        <w:rPr>
          <w:lang w:val="es-ES"/>
        </w:rPr>
        <w:t xml:space="preserve"> </w:t>
      </w:r>
      <w:r w:rsidR="002E6FD8">
        <w:rPr>
          <w:lang w:val="es-ES"/>
        </w:rPr>
        <w:t>dicho procedimiento se realice</w:t>
      </w:r>
      <w:r w:rsidR="00045840">
        <w:rPr>
          <w:lang w:val="es-ES"/>
        </w:rPr>
        <w:t xml:space="preserve"> p</w:t>
      </w:r>
      <w:r w:rsidR="00B2531B">
        <w:rPr>
          <w:lang w:val="es-ES"/>
        </w:rPr>
        <w:t>or intermedio de la Asociación N</w:t>
      </w:r>
      <w:r w:rsidR="00045840">
        <w:rPr>
          <w:lang w:val="es-ES"/>
        </w:rPr>
        <w:t>acional de Rematadores,</w:t>
      </w:r>
      <w:r w:rsidR="002230E9">
        <w:rPr>
          <w:lang w:val="es-ES"/>
        </w:rPr>
        <w:t xml:space="preserve"> </w:t>
      </w:r>
      <w:r w:rsidR="00045840">
        <w:rPr>
          <w:lang w:val="es-ES"/>
        </w:rPr>
        <w:t>Tasadores y Corredores Inmobiliarios</w:t>
      </w:r>
      <w:r w:rsidR="002E6FD8">
        <w:rPr>
          <w:lang w:val="es-ES"/>
        </w:rPr>
        <w:t>, que tendrá a su cargo la organización  y ejecución de la subasta</w:t>
      </w:r>
      <w:r w:rsidR="00045840">
        <w:rPr>
          <w:lang w:val="es-ES"/>
        </w:rPr>
        <w:t>;</w:t>
      </w:r>
    </w:p>
    <w:p w:rsidR="00755EC6" w:rsidRPr="00D103A5" w:rsidRDefault="00045840" w:rsidP="00D103A5">
      <w:pPr>
        <w:ind w:firstLine="708"/>
        <w:rPr>
          <w:lang w:val="es-ES"/>
        </w:rPr>
      </w:pPr>
      <w:r w:rsidRPr="00B2531B">
        <w:rPr>
          <w:b/>
          <w:lang w:val="es-ES"/>
        </w:rPr>
        <w:t>CONSIDERANDO:</w:t>
      </w:r>
      <w:r>
        <w:rPr>
          <w:lang w:val="es-ES"/>
        </w:rPr>
        <w:t xml:space="preserve"> </w:t>
      </w:r>
      <w:r w:rsidR="00755EC6" w:rsidRPr="00755EC6">
        <w:rPr>
          <w:b/>
          <w:lang w:val="es-ES"/>
        </w:rPr>
        <w:t>1)</w:t>
      </w:r>
      <w:r w:rsidR="002E6FD8">
        <w:rPr>
          <w:lang w:val="es-ES"/>
        </w:rPr>
        <w:t xml:space="preserve"> que de acuerdo con</w:t>
      </w:r>
      <w:r w:rsidR="00755EC6">
        <w:rPr>
          <w:lang w:val="es-ES"/>
        </w:rPr>
        <w:t xml:space="preserve"> lo dispuesto por el artículo 67 de la Ley </w:t>
      </w:r>
      <w:r w:rsidR="002E6FD8">
        <w:rPr>
          <w:lang w:val="es-ES"/>
        </w:rPr>
        <w:t xml:space="preserve">Nº </w:t>
      </w:r>
      <w:r w:rsidR="00755EC6">
        <w:rPr>
          <w:lang w:val="es-ES"/>
        </w:rPr>
        <w:t>14.294</w:t>
      </w:r>
      <w:r w:rsidR="00B24A27">
        <w:rPr>
          <w:lang w:val="es-ES"/>
        </w:rPr>
        <w:t xml:space="preserve"> del </w:t>
      </w:r>
      <w:r w:rsidR="002D182B">
        <w:rPr>
          <w:lang w:val="es-ES"/>
        </w:rPr>
        <w:t>11/11/1974</w:t>
      </w:r>
      <w:r w:rsidR="00755EC6">
        <w:rPr>
          <w:lang w:val="es-ES"/>
        </w:rPr>
        <w:t xml:space="preserve">, </w:t>
      </w:r>
      <w:r w:rsidR="00755EC6" w:rsidRPr="00D103A5">
        <w:rPr>
          <w:lang w:val="es-ES"/>
        </w:rPr>
        <w:t>“toda vez que se confisquen bienes, productos o instrumentos, conforme a lo dispuesto por la presente ley (…) el Juez de la causa los pondrá a disposición de la Junta Nacional de Drogas, que tendrá la titularidad y disponibilidad de los mismos”;</w:t>
      </w:r>
    </w:p>
    <w:p w:rsidR="00D103A5" w:rsidRDefault="00D103A5" w:rsidP="00DC1BB8">
      <w:pPr>
        <w:ind w:firstLine="2127"/>
        <w:rPr>
          <w:lang w:val="es-ES"/>
        </w:rPr>
      </w:pPr>
      <w:r>
        <w:rPr>
          <w:b/>
          <w:lang w:val="es-ES"/>
        </w:rPr>
        <w:t xml:space="preserve">          </w:t>
      </w:r>
      <w:r w:rsidR="00DC1BB8" w:rsidRPr="00DC1BB8">
        <w:rPr>
          <w:b/>
          <w:lang w:val="es-ES"/>
        </w:rPr>
        <w:t>2)</w:t>
      </w:r>
      <w:r w:rsidR="002E6FD8">
        <w:rPr>
          <w:lang w:val="es-ES"/>
        </w:rPr>
        <w:t xml:space="preserve"> que </w:t>
      </w:r>
      <w:r>
        <w:rPr>
          <w:lang w:val="es-ES"/>
        </w:rPr>
        <w:t xml:space="preserve">   </w:t>
      </w:r>
      <w:r w:rsidR="002E6FD8">
        <w:rPr>
          <w:lang w:val="es-ES"/>
        </w:rPr>
        <w:t xml:space="preserve">el </w:t>
      </w:r>
      <w:r>
        <w:rPr>
          <w:lang w:val="es-ES"/>
        </w:rPr>
        <w:t xml:space="preserve">   </w:t>
      </w:r>
      <w:r w:rsidR="00DC1BB8">
        <w:rPr>
          <w:lang w:val="es-ES"/>
        </w:rPr>
        <w:t xml:space="preserve">inciso 2º </w:t>
      </w:r>
      <w:r>
        <w:rPr>
          <w:lang w:val="es-ES"/>
        </w:rPr>
        <w:t xml:space="preserve">    </w:t>
      </w:r>
      <w:r w:rsidR="00DC1BB8">
        <w:rPr>
          <w:lang w:val="es-ES"/>
        </w:rPr>
        <w:t xml:space="preserve">del </w:t>
      </w:r>
      <w:r>
        <w:rPr>
          <w:lang w:val="es-ES"/>
        </w:rPr>
        <w:t xml:space="preserve">   </w:t>
      </w:r>
      <w:r w:rsidR="00DC1BB8">
        <w:rPr>
          <w:lang w:val="es-ES"/>
        </w:rPr>
        <w:t xml:space="preserve">artículo </w:t>
      </w:r>
      <w:r>
        <w:rPr>
          <w:lang w:val="es-ES"/>
        </w:rPr>
        <w:t xml:space="preserve">  </w:t>
      </w:r>
      <w:r w:rsidR="00DC1BB8">
        <w:rPr>
          <w:lang w:val="es-ES"/>
        </w:rPr>
        <w:t xml:space="preserve">3 del Decreto </w:t>
      </w:r>
    </w:p>
    <w:p w:rsidR="00DC1BB8" w:rsidRDefault="002E6FD8" w:rsidP="00D103A5">
      <w:pPr>
        <w:rPr>
          <w:lang w:val="es-ES"/>
        </w:rPr>
      </w:pPr>
      <w:r>
        <w:rPr>
          <w:lang w:val="es-ES"/>
        </w:rPr>
        <w:t xml:space="preserve">Nº </w:t>
      </w:r>
      <w:r w:rsidR="00DC1BB8">
        <w:rPr>
          <w:lang w:val="es-ES"/>
        </w:rPr>
        <w:t xml:space="preserve">339/2010 del 18/11/2010, </w:t>
      </w:r>
      <w:r>
        <w:rPr>
          <w:lang w:val="es-ES"/>
        </w:rPr>
        <w:t xml:space="preserve">establece que </w:t>
      </w:r>
      <w:r w:rsidR="00DC1BB8">
        <w:rPr>
          <w:lang w:val="es-ES"/>
        </w:rPr>
        <w:t xml:space="preserve">para el cumplimiento de sus cometidos la Secretaría Nacional de Drogas (SND) – Área de Fondo de Bienes Decomisados (FBD), </w:t>
      </w:r>
      <w:r w:rsidR="00DC1BB8" w:rsidRPr="00DC1BB8">
        <w:rPr>
          <w:lang w:val="es-ES"/>
        </w:rPr>
        <w:t>adoptará las medidas</w:t>
      </w:r>
      <w:r w:rsidR="00DC1BB8">
        <w:rPr>
          <w:lang w:val="es-ES"/>
        </w:rPr>
        <w:t xml:space="preserve"> </w:t>
      </w:r>
      <w:r w:rsidR="00DC1BB8" w:rsidRPr="00DC1BB8">
        <w:rPr>
          <w:lang w:val="es-ES"/>
        </w:rPr>
        <w:t>pertinentes a efectos de implementar y mantener un sistema que permita</w:t>
      </w:r>
      <w:r w:rsidR="00DC1BB8">
        <w:rPr>
          <w:lang w:val="es-ES"/>
        </w:rPr>
        <w:t xml:space="preserve"> </w:t>
      </w:r>
      <w:r w:rsidR="00DC1BB8" w:rsidRPr="00DC1BB8">
        <w:rPr>
          <w:lang w:val="es-ES"/>
        </w:rPr>
        <w:t>gestionar integralmente el proceso, comprendiendo tanto la etapa previa al</w:t>
      </w:r>
      <w:r w:rsidR="00DC1BB8">
        <w:rPr>
          <w:lang w:val="es-ES"/>
        </w:rPr>
        <w:t xml:space="preserve"> </w:t>
      </w:r>
      <w:r w:rsidR="00DC1BB8" w:rsidRPr="00DC1BB8">
        <w:rPr>
          <w:lang w:val="es-ES"/>
        </w:rPr>
        <w:t>decomiso mediante el registro y seguimiento de las causas en trámite donde</w:t>
      </w:r>
      <w:r w:rsidR="00DC1BB8">
        <w:rPr>
          <w:lang w:val="es-ES"/>
        </w:rPr>
        <w:t xml:space="preserve"> </w:t>
      </w:r>
      <w:r w:rsidR="00DC1BB8" w:rsidRPr="00DC1BB8">
        <w:rPr>
          <w:lang w:val="es-ES"/>
        </w:rPr>
        <w:t>existan bienes muebles e inmuebles, dineros y/o productos financieros</w:t>
      </w:r>
      <w:r w:rsidR="00DC1BB8">
        <w:rPr>
          <w:lang w:val="es-ES"/>
        </w:rPr>
        <w:t xml:space="preserve"> </w:t>
      </w:r>
      <w:r w:rsidR="00DC1BB8" w:rsidRPr="00DC1BB8">
        <w:rPr>
          <w:lang w:val="es-ES"/>
        </w:rPr>
        <w:t xml:space="preserve">incautados, así como la posterior </w:t>
      </w:r>
      <w:r w:rsidR="00DC1BB8" w:rsidRPr="00DC1BB8">
        <w:rPr>
          <w:lang w:val="es-ES"/>
        </w:rPr>
        <w:lastRenderedPageBreak/>
        <w:t>recepción, registro, gestión y</w:t>
      </w:r>
      <w:r w:rsidR="00DC1BB8">
        <w:rPr>
          <w:lang w:val="es-ES"/>
        </w:rPr>
        <w:t xml:space="preserve"> </w:t>
      </w:r>
      <w:r w:rsidR="00DC1BB8" w:rsidRPr="00DC1BB8">
        <w:rPr>
          <w:lang w:val="es-ES"/>
        </w:rPr>
        <w:t>administración de bienes decomisados que pasen a integrar el Fondo de</w:t>
      </w:r>
      <w:r w:rsidR="00DC1BB8">
        <w:rPr>
          <w:lang w:val="es-ES"/>
        </w:rPr>
        <w:t xml:space="preserve"> </w:t>
      </w:r>
      <w:r w:rsidR="00DC1BB8" w:rsidRPr="00DC1BB8">
        <w:rPr>
          <w:lang w:val="es-ES"/>
        </w:rPr>
        <w:t>Bienes Decomisados de la Junta Nacional de Drogas</w:t>
      </w:r>
      <w:r w:rsidR="00DC1BB8">
        <w:rPr>
          <w:lang w:val="es-ES"/>
        </w:rPr>
        <w:t>;</w:t>
      </w:r>
    </w:p>
    <w:p w:rsidR="00DC1BB8" w:rsidRDefault="00D103A5" w:rsidP="00006750">
      <w:pPr>
        <w:ind w:firstLine="2127"/>
        <w:rPr>
          <w:lang w:val="es-ES"/>
        </w:rPr>
      </w:pPr>
      <w:r>
        <w:rPr>
          <w:b/>
          <w:lang w:val="es-ES"/>
        </w:rPr>
        <w:t xml:space="preserve">               </w:t>
      </w:r>
      <w:r w:rsidR="00DC1BB8" w:rsidRPr="00006750">
        <w:rPr>
          <w:b/>
          <w:lang w:val="es-ES"/>
        </w:rPr>
        <w:t>3)</w:t>
      </w:r>
      <w:r w:rsidR="00DC1BB8">
        <w:rPr>
          <w:lang w:val="es-ES"/>
        </w:rPr>
        <w:t xml:space="preserve"> que en función de lo dispuesto por el literal c) del artículo 5º del Decreto 339/2010 del 18/11/2010, a los efectos de preservación de los derechos del Estado, la SND-FBD, previa resolución de la Junta Nacional de Drogas, podrá solicitar como medida provisional o anticipada, el remate de los b</w:t>
      </w:r>
      <w:r w:rsidR="00006750">
        <w:rPr>
          <w:lang w:val="es-ES"/>
        </w:rPr>
        <w:t>ienes que se hubieran embargado y q</w:t>
      </w:r>
      <w:r w:rsidR="00006750" w:rsidRPr="00006750">
        <w:rPr>
          <w:lang w:val="es-ES"/>
        </w:rPr>
        <w:t>ue corran riesgo de perecer, deteriorarse, depreciarse o</w:t>
      </w:r>
      <w:r w:rsidR="00006750">
        <w:rPr>
          <w:lang w:val="es-ES"/>
        </w:rPr>
        <w:t xml:space="preserve"> </w:t>
      </w:r>
      <w:r w:rsidR="00006750" w:rsidRPr="00006750">
        <w:rPr>
          <w:lang w:val="es-ES"/>
        </w:rPr>
        <w:t>desvalorizarse o cuya conservación irrogue perjuicios o gastos</w:t>
      </w:r>
      <w:r w:rsidR="00006750">
        <w:rPr>
          <w:lang w:val="es-ES"/>
        </w:rPr>
        <w:t xml:space="preserve"> desproporcionados a su valor;</w:t>
      </w:r>
    </w:p>
    <w:p w:rsidR="00755EC6" w:rsidRPr="00D103A5" w:rsidRDefault="00D103A5" w:rsidP="001835E1">
      <w:pPr>
        <w:ind w:firstLine="2127"/>
        <w:rPr>
          <w:lang w:val="es-ES"/>
        </w:rPr>
      </w:pPr>
      <w:r>
        <w:rPr>
          <w:b/>
          <w:lang w:val="es-ES"/>
        </w:rPr>
        <w:t xml:space="preserve">               </w:t>
      </w:r>
      <w:r w:rsidR="00006750">
        <w:rPr>
          <w:b/>
          <w:lang w:val="es-ES"/>
        </w:rPr>
        <w:t>4</w:t>
      </w:r>
      <w:r w:rsidR="00755EC6" w:rsidRPr="001835E1">
        <w:rPr>
          <w:b/>
          <w:lang w:val="es-ES"/>
        </w:rPr>
        <w:t>)</w:t>
      </w:r>
      <w:r w:rsidR="00755EC6">
        <w:rPr>
          <w:lang w:val="es-ES"/>
        </w:rPr>
        <w:t xml:space="preserve"> que el </w:t>
      </w:r>
      <w:r w:rsidR="00B24A27">
        <w:rPr>
          <w:lang w:val="es-ES"/>
        </w:rPr>
        <w:t xml:space="preserve">inciso 1º del </w:t>
      </w:r>
      <w:r w:rsidR="00523995">
        <w:rPr>
          <w:lang w:val="es-ES"/>
        </w:rPr>
        <w:t>artículo 48 de la L</w:t>
      </w:r>
      <w:r w:rsidR="00755EC6">
        <w:rPr>
          <w:lang w:val="es-ES"/>
        </w:rPr>
        <w:t xml:space="preserve">ey </w:t>
      </w:r>
      <w:r w:rsidR="00523995">
        <w:rPr>
          <w:lang w:val="es-ES"/>
        </w:rPr>
        <w:t xml:space="preserve">Nº </w:t>
      </w:r>
      <w:r w:rsidR="00755EC6">
        <w:rPr>
          <w:lang w:val="es-ES"/>
        </w:rPr>
        <w:t>19.574</w:t>
      </w:r>
      <w:r w:rsidR="00523995">
        <w:rPr>
          <w:lang w:val="es-ES"/>
        </w:rPr>
        <w:t xml:space="preserve"> de</w:t>
      </w:r>
      <w:r w:rsidR="00B24A27">
        <w:rPr>
          <w:lang w:val="es-ES"/>
        </w:rPr>
        <w:t xml:space="preserve"> 20</w:t>
      </w:r>
      <w:r w:rsidR="001835E1">
        <w:rPr>
          <w:lang w:val="es-ES"/>
        </w:rPr>
        <w:t>/12/</w:t>
      </w:r>
      <w:r w:rsidR="00B24A27">
        <w:rPr>
          <w:lang w:val="es-ES"/>
        </w:rPr>
        <w:t xml:space="preserve">2017 establece: </w:t>
      </w:r>
      <w:r w:rsidR="00B24A27" w:rsidRPr="00D103A5">
        <w:rPr>
          <w:lang w:val="es-ES"/>
        </w:rPr>
        <w:t>“El tribunal penal competente adoptará, como medida provisional o anticipada, la enajenación mediante remate o cualquier otro medio que asegure la transparencia de la operación de los bienes  que se hubieran embargado o, en general se encontraren sometidos a cualquier medida cautelar, que corran riesgo de perecer, deteriorarse, depreciarse o desvalorizarse o cuya conservación irrogue perjuicios o gastos desproporcionados a su valor”</w:t>
      </w:r>
      <w:r w:rsidR="00006750" w:rsidRPr="00D103A5">
        <w:rPr>
          <w:lang w:val="es-ES"/>
        </w:rPr>
        <w:t xml:space="preserve">; </w:t>
      </w:r>
      <w:r w:rsidR="00AB5540" w:rsidRPr="00D103A5">
        <w:rPr>
          <w:lang w:val="es-ES"/>
        </w:rPr>
        <w:t>y agrega en su inciso 3º que “en estos casos, una vez efectuada la enajenación, el tribunal penal competente depositará el producto en unidades indexadas u otra unidad de medida que permita asegurar la preservación del valor, a la orden del tribunal y bajo el rubro de autos”.</w:t>
      </w:r>
    </w:p>
    <w:p w:rsidR="00AB5540" w:rsidRDefault="00D103A5" w:rsidP="001835E1">
      <w:pPr>
        <w:ind w:firstLine="2127"/>
        <w:rPr>
          <w:lang w:val="es-ES"/>
        </w:rPr>
      </w:pPr>
      <w:r>
        <w:rPr>
          <w:b/>
          <w:lang w:val="es-ES"/>
        </w:rPr>
        <w:t xml:space="preserve">                </w:t>
      </w:r>
      <w:r w:rsidR="00006750" w:rsidRPr="00BB4984">
        <w:rPr>
          <w:b/>
          <w:lang w:val="es-ES"/>
        </w:rPr>
        <w:t>5)</w:t>
      </w:r>
      <w:r w:rsidR="00006750">
        <w:rPr>
          <w:lang w:val="es-ES"/>
        </w:rPr>
        <w:t xml:space="preserve"> </w:t>
      </w:r>
      <w:r w:rsidR="00523995">
        <w:rPr>
          <w:lang w:val="es-ES"/>
        </w:rPr>
        <w:t>que el artículo 59 de la L</w:t>
      </w:r>
      <w:r w:rsidR="00AB5540">
        <w:rPr>
          <w:lang w:val="es-ES"/>
        </w:rPr>
        <w:t xml:space="preserve">ey </w:t>
      </w:r>
      <w:r w:rsidR="00523995">
        <w:rPr>
          <w:lang w:val="es-ES"/>
        </w:rPr>
        <w:t xml:space="preserve">Nº </w:t>
      </w:r>
      <w:r w:rsidR="00AB5540">
        <w:rPr>
          <w:lang w:val="es-ES"/>
        </w:rPr>
        <w:t xml:space="preserve">19.574 del 20/12/2017 </w:t>
      </w:r>
      <w:r w:rsidR="00523995">
        <w:rPr>
          <w:lang w:val="es-ES"/>
        </w:rPr>
        <w:t xml:space="preserve">prevé que </w:t>
      </w:r>
      <w:r w:rsidR="00431897">
        <w:rPr>
          <w:lang w:val="es-ES"/>
        </w:rPr>
        <w:t>t</w:t>
      </w:r>
      <w:r w:rsidR="00431897" w:rsidRPr="00431897">
        <w:rPr>
          <w:lang w:val="es-ES"/>
        </w:rPr>
        <w:t>oda vez que se decomisen bienes</w:t>
      </w:r>
      <w:r w:rsidR="009B5B73">
        <w:rPr>
          <w:lang w:val="es-ES"/>
        </w:rPr>
        <w:t xml:space="preserve"> conforme con</w:t>
      </w:r>
      <w:r w:rsidR="00431897">
        <w:rPr>
          <w:lang w:val="es-ES"/>
        </w:rPr>
        <w:t xml:space="preserve"> dicha ley, </w:t>
      </w:r>
      <w:r w:rsidR="00523995">
        <w:rPr>
          <w:lang w:val="es-ES"/>
        </w:rPr>
        <w:t>el T</w:t>
      </w:r>
      <w:r w:rsidR="00431897" w:rsidRPr="00431897">
        <w:rPr>
          <w:lang w:val="es-ES"/>
        </w:rPr>
        <w:t>ribunal de la causa los pondrá a disposición de la Junta Nacional de Drogas, que tendrá la titularidad</w:t>
      </w:r>
      <w:r w:rsidR="00431897">
        <w:rPr>
          <w:lang w:val="es-ES"/>
        </w:rPr>
        <w:t xml:space="preserve"> y disponibilidad de los mismos; y </w:t>
      </w:r>
      <w:r w:rsidR="00AB5540">
        <w:rPr>
          <w:lang w:val="es-ES"/>
        </w:rPr>
        <w:t>e</w:t>
      </w:r>
      <w:r w:rsidR="00AB5540" w:rsidRPr="00AB5540">
        <w:rPr>
          <w:lang w:val="es-ES"/>
        </w:rPr>
        <w:t xml:space="preserve">l destino de los fondos y de los bienes </w:t>
      </w:r>
      <w:r w:rsidR="00AB5540">
        <w:rPr>
          <w:lang w:val="es-ES"/>
        </w:rPr>
        <w:t xml:space="preserve">decomisados </w:t>
      </w:r>
      <w:r w:rsidR="009B5B73">
        <w:rPr>
          <w:lang w:val="es-ES"/>
        </w:rPr>
        <w:t>que se hubiesen conservado los</w:t>
      </w:r>
      <w:r w:rsidR="00AB5540" w:rsidRPr="00AB5540">
        <w:rPr>
          <w:lang w:val="es-ES"/>
        </w:rPr>
        <w:t xml:space="preserve"> determinará por la Junta Nacional de Drogas, previo informe fundamentado de la Secretaría Nacional de Drogas y de la Secretaría Nacional para la Lucha contra el Lavado de Activos y el Financiamiento del Terrorismo</w:t>
      </w:r>
      <w:r w:rsidR="00AB5540">
        <w:rPr>
          <w:lang w:val="es-ES"/>
        </w:rPr>
        <w:t>;</w:t>
      </w:r>
    </w:p>
    <w:p w:rsidR="00006750" w:rsidRDefault="00D103A5" w:rsidP="001835E1">
      <w:pPr>
        <w:ind w:firstLine="2127"/>
        <w:rPr>
          <w:lang w:val="es-ES"/>
        </w:rPr>
      </w:pPr>
      <w:r>
        <w:rPr>
          <w:b/>
          <w:lang w:val="es-ES"/>
        </w:rPr>
        <w:lastRenderedPageBreak/>
        <w:t xml:space="preserve">                </w:t>
      </w:r>
      <w:r w:rsidR="00AB5540" w:rsidRPr="00AB5540">
        <w:rPr>
          <w:b/>
          <w:lang w:val="es-ES"/>
        </w:rPr>
        <w:t>6)</w:t>
      </w:r>
      <w:r w:rsidR="00AB5540">
        <w:rPr>
          <w:lang w:val="es-ES"/>
        </w:rPr>
        <w:t xml:space="preserve"> </w:t>
      </w:r>
      <w:r w:rsidR="00006750">
        <w:rPr>
          <w:lang w:val="es-ES"/>
        </w:rPr>
        <w:t xml:space="preserve">que si </w:t>
      </w:r>
      <w:r w:rsidR="00523995">
        <w:rPr>
          <w:lang w:val="es-ES"/>
        </w:rPr>
        <w:t>bien el artículo 62 de la L</w:t>
      </w:r>
      <w:r w:rsidR="00006750">
        <w:rPr>
          <w:lang w:val="es-ES"/>
        </w:rPr>
        <w:t xml:space="preserve">ey </w:t>
      </w:r>
      <w:r w:rsidR="00523995">
        <w:rPr>
          <w:lang w:val="es-ES"/>
        </w:rPr>
        <w:t xml:space="preserve">Nº </w:t>
      </w:r>
      <w:r w:rsidR="00006750">
        <w:rPr>
          <w:lang w:val="es-ES"/>
        </w:rPr>
        <w:t>14.294 citado por l</w:t>
      </w:r>
      <w:r w:rsidR="00523995">
        <w:rPr>
          <w:lang w:val="es-ES"/>
        </w:rPr>
        <w:t>a Sentencia Interlocutoria (Decreto</w:t>
      </w:r>
      <w:r w:rsidR="00006750">
        <w:rPr>
          <w:lang w:val="es-ES"/>
        </w:rPr>
        <w:t xml:space="preserve"> 1408/2017 del 10/11/2017) ha sido der</w:t>
      </w:r>
      <w:r w:rsidR="00523995">
        <w:rPr>
          <w:lang w:val="es-ES"/>
        </w:rPr>
        <w:t>ogado por el artículo 79 de la L</w:t>
      </w:r>
      <w:r w:rsidR="00006750">
        <w:rPr>
          <w:lang w:val="es-ES"/>
        </w:rPr>
        <w:t xml:space="preserve">ey </w:t>
      </w:r>
      <w:r w:rsidR="00523995">
        <w:rPr>
          <w:lang w:val="es-ES"/>
        </w:rPr>
        <w:t xml:space="preserve">Nº </w:t>
      </w:r>
      <w:r w:rsidR="00006750" w:rsidRPr="00006750">
        <w:rPr>
          <w:lang w:val="es-ES"/>
        </w:rPr>
        <w:t>19.574 de</w:t>
      </w:r>
      <w:r w:rsidR="00006750">
        <w:rPr>
          <w:lang w:val="es-ES"/>
        </w:rPr>
        <w:t>l</w:t>
      </w:r>
      <w:r w:rsidR="00006750" w:rsidRPr="00006750">
        <w:rPr>
          <w:lang w:val="es-ES"/>
        </w:rPr>
        <w:t xml:space="preserve"> 20/12/2017</w:t>
      </w:r>
      <w:r w:rsidR="00006750">
        <w:rPr>
          <w:lang w:val="es-ES"/>
        </w:rPr>
        <w:t xml:space="preserve">; </w:t>
      </w:r>
      <w:r w:rsidR="009B5B73">
        <w:rPr>
          <w:lang w:val="es-ES"/>
        </w:rPr>
        <w:t xml:space="preserve">sin embargo, </w:t>
      </w:r>
      <w:r w:rsidR="00006750">
        <w:rPr>
          <w:lang w:val="es-ES"/>
        </w:rPr>
        <w:t xml:space="preserve">las normas allí </w:t>
      </w:r>
      <w:r w:rsidR="00BB4984">
        <w:rPr>
          <w:lang w:val="es-ES"/>
        </w:rPr>
        <w:t>establecidas</w:t>
      </w:r>
      <w:r w:rsidR="00006750">
        <w:rPr>
          <w:lang w:val="es-ES"/>
        </w:rPr>
        <w:t xml:space="preserve"> se encu</w:t>
      </w:r>
      <w:r w:rsidR="00523995">
        <w:rPr>
          <w:lang w:val="es-ES"/>
        </w:rPr>
        <w:t>entran actualmente recogidas en los artículos</w:t>
      </w:r>
      <w:r w:rsidR="009B5B73">
        <w:rPr>
          <w:lang w:val="es-ES"/>
        </w:rPr>
        <w:t xml:space="preserve"> 43 y 48 de la última ley mencionada</w:t>
      </w:r>
      <w:r w:rsidR="00BB4984">
        <w:rPr>
          <w:lang w:val="es-ES"/>
        </w:rPr>
        <w:t>;</w:t>
      </w:r>
    </w:p>
    <w:p w:rsidR="00BB4984" w:rsidRDefault="00D103A5" w:rsidP="001835E1">
      <w:pPr>
        <w:ind w:firstLine="2127"/>
        <w:rPr>
          <w:lang w:val="es-ES"/>
        </w:rPr>
      </w:pPr>
      <w:r>
        <w:rPr>
          <w:b/>
          <w:lang w:val="es-ES"/>
        </w:rPr>
        <w:t xml:space="preserve">                </w:t>
      </w:r>
      <w:r w:rsidR="00AB5540">
        <w:rPr>
          <w:b/>
          <w:lang w:val="es-ES"/>
        </w:rPr>
        <w:t>7</w:t>
      </w:r>
      <w:r w:rsidR="00BB4984" w:rsidRPr="00BB4984">
        <w:rPr>
          <w:b/>
          <w:lang w:val="es-ES"/>
        </w:rPr>
        <w:t>)</w:t>
      </w:r>
      <w:r w:rsidR="00BB4984">
        <w:rPr>
          <w:lang w:val="es-ES"/>
        </w:rPr>
        <w:t xml:space="preserve"> que</w:t>
      </w:r>
      <w:r w:rsidR="00523995">
        <w:rPr>
          <w:lang w:val="es-ES"/>
        </w:rPr>
        <w:t xml:space="preserve"> existe una contradicción respecto de la dirección del bien incautado, ya que</w:t>
      </w:r>
      <w:r w:rsidR="00BB4984">
        <w:rPr>
          <w:lang w:val="es-ES"/>
        </w:rPr>
        <w:t xml:space="preserve"> de la Sentencia surge que la casa “Quincho Grande” se ubica en calle Circunvalac</w:t>
      </w:r>
      <w:r w:rsidR="00523995">
        <w:rPr>
          <w:lang w:val="es-ES"/>
        </w:rPr>
        <w:t>ión al Golf s/nº, mientras que en el</w:t>
      </w:r>
      <w:r w:rsidR="00BB4984">
        <w:rPr>
          <w:lang w:val="es-ES"/>
        </w:rPr>
        <w:t xml:space="preserve"> informe de la Junta Nacional de Drogas del 26/12/2018 se expresa que la dirección es Voltaire entre Av. De la Paloma y Av. De las Magnolias</w:t>
      </w:r>
      <w:r w:rsidR="00AB5540">
        <w:rPr>
          <w:lang w:val="es-ES"/>
        </w:rPr>
        <w:t>; no obst</w:t>
      </w:r>
      <w:r w:rsidR="009016D5">
        <w:rPr>
          <w:lang w:val="es-ES"/>
        </w:rPr>
        <w:t>ante lo cual, ambos refieren a</w:t>
      </w:r>
      <w:r w:rsidR="00AB5540">
        <w:rPr>
          <w:lang w:val="es-ES"/>
        </w:rPr>
        <w:t xml:space="preserve"> la casa “Quincho Grande” </w:t>
      </w:r>
      <w:r w:rsidR="009016D5">
        <w:rPr>
          <w:lang w:val="es-ES"/>
        </w:rPr>
        <w:t xml:space="preserve">que </w:t>
      </w:r>
      <w:r w:rsidR="00AB5540">
        <w:rPr>
          <w:lang w:val="es-ES"/>
        </w:rPr>
        <w:t>se ubica en el Padrón Nº 7617 de la ciudad de Punta del Este;</w:t>
      </w:r>
    </w:p>
    <w:p w:rsidR="00045840" w:rsidRDefault="00045840" w:rsidP="00D103A5">
      <w:pPr>
        <w:ind w:firstLine="709"/>
        <w:rPr>
          <w:lang w:val="es-ES"/>
        </w:rPr>
      </w:pPr>
      <w:r w:rsidRPr="00B2531B">
        <w:rPr>
          <w:b/>
          <w:lang w:val="es-ES"/>
        </w:rPr>
        <w:t>ATENTO:</w:t>
      </w:r>
      <w:r>
        <w:rPr>
          <w:lang w:val="es-ES"/>
        </w:rPr>
        <w:t xml:space="preserve"> a lo precedentemente expuesto</w:t>
      </w:r>
      <w:r w:rsidR="00523995">
        <w:rPr>
          <w:lang w:val="es-ES"/>
        </w:rPr>
        <w:t xml:space="preserve"> y a lo dispuesto por el artículo 211 literal E) y 228 de la Constitución de la República</w:t>
      </w:r>
      <w:r>
        <w:rPr>
          <w:lang w:val="es-ES"/>
        </w:rPr>
        <w:t>;</w:t>
      </w:r>
    </w:p>
    <w:p w:rsidR="00045840" w:rsidRDefault="00045840" w:rsidP="00045840">
      <w:pPr>
        <w:jc w:val="center"/>
        <w:rPr>
          <w:b/>
          <w:lang w:val="es-ES"/>
        </w:rPr>
      </w:pPr>
      <w:r w:rsidRPr="00045840">
        <w:rPr>
          <w:b/>
          <w:lang w:val="es-ES"/>
        </w:rPr>
        <w:t>EL TRIBUNAL ACUERDA</w:t>
      </w:r>
    </w:p>
    <w:p w:rsidR="009B5B73" w:rsidRPr="009B5B73" w:rsidRDefault="00523995" w:rsidP="00D103A5">
      <w:pPr>
        <w:pStyle w:val="Prrafodelista"/>
        <w:numPr>
          <w:ilvl w:val="0"/>
          <w:numId w:val="1"/>
        </w:numPr>
        <w:ind w:left="284" w:hanging="284"/>
        <w:rPr>
          <w:b/>
          <w:lang w:val="es-ES"/>
        </w:rPr>
      </w:pPr>
      <w:r w:rsidRPr="009B5B73">
        <w:rPr>
          <w:lang w:val="es-ES"/>
        </w:rPr>
        <w:t>Decomisado el bien y r</w:t>
      </w:r>
      <w:r w:rsidR="00AB5540" w:rsidRPr="009B5B73">
        <w:rPr>
          <w:lang w:val="es-ES"/>
        </w:rPr>
        <w:t>ealiza</w:t>
      </w:r>
      <w:r w:rsidR="009B5B73" w:rsidRPr="009B5B73">
        <w:rPr>
          <w:lang w:val="es-ES"/>
        </w:rPr>
        <w:t xml:space="preserve">do el remate anticipado del </w:t>
      </w:r>
      <w:r w:rsidR="00922D6A" w:rsidRPr="009B5B73">
        <w:rPr>
          <w:lang w:val="es-ES"/>
        </w:rPr>
        <w:t xml:space="preserve"> inmueble sito en el Padrón Nº 7617</w:t>
      </w:r>
      <w:r w:rsidR="00AB5540" w:rsidRPr="009B5B73">
        <w:rPr>
          <w:lang w:val="es-ES"/>
        </w:rPr>
        <w:t xml:space="preserve"> </w:t>
      </w:r>
      <w:r w:rsidR="00922D6A" w:rsidRPr="009B5B73">
        <w:rPr>
          <w:lang w:val="es-ES"/>
        </w:rPr>
        <w:t>de la localidad catastral de Punta del Este, Departamento de Maldonado,</w:t>
      </w:r>
      <w:r w:rsidR="009B5B73">
        <w:rPr>
          <w:lang w:val="es-ES"/>
        </w:rPr>
        <w:t xml:space="preserve"> deberá remitirse el procedimiento realizado a este Tribunal a los efectos del control que constitucionalmente le compete;</w:t>
      </w:r>
      <w:r w:rsidR="00922D6A" w:rsidRPr="009B5B73">
        <w:rPr>
          <w:lang w:val="es-ES"/>
        </w:rPr>
        <w:t xml:space="preserve"> </w:t>
      </w:r>
    </w:p>
    <w:p w:rsidR="009B5B73" w:rsidRPr="009B5B73" w:rsidRDefault="009B5B73" w:rsidP="00D103A5">
      <w:pPr>
        <w:pStyle w:val="Prrafodelista"/>
        <w:numPr>
          <w:ilvl w:val="0"/>
          <w:numId w:val="1"/>
        </w:numPr>
        <w:ind w:left="284" w:hanging="284"/>
        <w:rPr>
          <w:b/>
          <w:lang w:val="es-ES"/>
        </w:rPr>
      </w:pPr>
      <w:r>
        <w:rPr>
          <w:lang w:val="es-ES"/>
        </w:rPr>
        <w:t>Téngase presente lo señalado en el Considerando 7 de la presente Resolución;</w:t>
      </w:r>
    </w:p>
    <w:p w:rsidR="00BC53CC" w:rsidRPr="00BC53CC" w:rsidRDefault="009B5B73" w:rsidP="00D103A5">
      <w:pPr>
        <w:pStyle w:val="Prrafodelista"/>
        <w:numPr>
          <w:ilvl w:val="0"/>
          <w:numId w:val="1"/>
        </w:numPr>
        <w:ind w:left="284" w:hanging="284"/>
        <w:rPr>
          <w:b/>
          <w:lang w:val="es-ES"/>
        </w:rPr>
      </w:pPr>
      <w:r>
        <w:rPr>
          <w:lang w:val="es-ES"/>
        </w:rPr>
        <w:t>Comunicar</w:t>
      </w:r>
      <w:r w:rsidR="00BC53CC">
        <w:rPr>
          <w:lang w:val="es-ES"/>
        </w:rPr>
        <w:t xml:space="preserve"> al Contador Auditor destacado ante Presidencia de la República;</w:t>
      </w:r>
    </w:p>
    <w:p w:rsidR="00BC53CC" w:rsidRPr="00BC53CC" w:rsidRDefault="00BC53CC" w:rsidP="00D103A5">
      <w:pPr>
        <w:pStyle w:val="Prrafodelista"/>
        <w:numPr>
          <w:ilvl w:val="0"/>
          <w:numId w:val="1"/>
        </w:numPr>
        <w:ind w:left="284" w:hanging="284"/>
        <w:rPr>
          <w:b/>
          <w:lang w:val="es-ES"/>
        </w:rPr>
      </w:pPr>
      <w:r>
        <w:rPr>
          <w:lang w:val="es-ES"/>
        </w:rPr>
        <w:t>Devuélvase.</w:t>
      </w:r>
    </w:p>
    <w:p w:rsidR="00EA31E9" w:rsidRDefault="00EA31E9" w:rsidP="00EA31E9">
      <w:pPr>
        <w:rPr>
          <w:lang w:val="es-ES"/>
        </w:rPr>
      </w:pPr>
    </w:p>
    <w:p w:rsidR="00D103A5" w:rsidRDefault="00D103A5" w:rsidP="00EA31E9">
      <w:pPr>
        <w:rPr>
          <w:lang w:val="es-ES"/>
        </w:rPr>
      </w:pPr>
    </w:p>
    <w:p w:rsidR="00D103A5" w:rsidRDefault="00D103A5" w:rsidP="00EA31E9">
      <w:pPr>
        <w:rPr>
          <w:lang w:val="es-ES"/>
        </w:rPr>
      </w:pPr>
    </w:p>
    <w:p w:rsidR="00D103A5" w:rsidRPr="00CD3EBD" w:rsidRDefault="00D103A5" w:rsidP="00DD0F8C">
      <w:pPr>
        <w:spacing w:after="100" w:afterAutospacing="1"/>
        <w:rPr>
          <w:lang w:val="es-ES"/>
        </w:rPr>
      </w:pPr>
      <w:proofErr w:type="spellStart"/>
      <w:proofErr w:type="gramStart"/>
      <w:r>
        <w:rPr>
          <w:lang w:val="es-ES"/>
        </w:rPr>
        <w:t>cr</w:t>
      </w:r>
      <w:proofErr w:type="spellEnd"/>
      <w:proofErr w:type="gramEnd"/>
    </w:p>
    <w:sectPr w:rsidR="00D103A5" w:rsidRPr="00CD3EBD" w:rsidSect="00DD0F8C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406A6"/>
    <w:multiLevelType w:val="hybridMultilevel"/>
    <w:tmpl w:val="762275E0"/>
    <w:lvl w:ilvl="0" w:tplc="75C2FE8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55"/>
    <w:rsid w:val="00006750"/>
    <w:rsid w:val="00014A9A"/>
    <w:rsid w:val="00045840"/>
    <w:rsid w:val="00077D7C"/>
    <w:rsid w:val="000A078F"/>
    <w:rsid w:val="000C007F"/>
    <w:rsid w:val="001835E1"/>
    <w:rsid w:val="002230E9"/>
    <w:rsid w:val="002D182B"/>
    <w:rsid w:val="002E6FD8"/>
    <w:rsid w:val="0036323B"/>
    <w:rsid w:val="00431897"/>
    <w:rsid w:val="0049661F"/>
    <w:rsid w:val="004E0F1F"/>
    <w:rsid w:val="0051769E"/>
    <w:rsid w:val="0052365E"/>
    <w:rsid w:val="00523995"/>
    <w:rsid w:val="00651240"/>
    <w:rsid w:val="00754055"/>
    <w:rsid w:val="00755EC6"/>
    <w:rsid w:val="00852D1C"/>
    <w:rsid w:val="008B1942"/>
    <w:rsid w:val="008E3F30"/>
    <w:rsid w:val="009016D5"/>
    <w:rsid w:val="0090505C"/>
    <w:rsid w:val="00907E4D"/>
    <w:rsid w:val="00922D6A"/>
    <w:rsid w:val="009539D3"/>
    <w:rsid w:val="009B5B73"/>
    <w:rsid w:val="00AB5540"/>
    <w:rsid w:val="00B24A27"/>
    <w:rsid w:val="00B2531B"/>
    <w:rsid w:val="00B9671E"/>
    <w:rsid w:val="00BB4984"/>
    <w:rsid w:val="00BC53CC"/>
    <w:rsid w:val="00C60B52"/>
    <w:rsid w:val="00CD3EBD"/>
    <w:rsid w:val="00D103A5"/>
    <w:rsid w:val="00D12F29"/>
    <w:rsid w:val="00D245F2"/>
    <w:rsid w:val="00D96E59"/>
    <w:rsid w:val="00DC1BB8"/>
    <w:rsid w:val="00DD0F8C"/>
    <w:rsid w:val="00DD4331"/>
    <w:rsid w:val="00E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40"/>
    <w:rPr>
      <w:rFonts w:ascii="Arial" w:hAnsi="Arial" w:cs="Tunga"/>
      <w:bCs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 w:cs="Times New Roman"/>
      <w:b/>
      <w:bCs w:val="0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C53CC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C1BB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C1BB8"/>
    <w:rPr>
      <w:rFonts w:ascii="Consolas" w:hAnsi="Consolas" w:cs="Consolas"/>
      <w:bCs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5F2"/>
    <w:rPr>
      <w:rFonts w:ascii="Tahoma" w:hAnsi="Tahoma" w:cs="Tahoma"/>
      <w:bCs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40"/>
    <w:rPr>
      <w:rFonts w:ascii="Arial" w:hAnsi="Arial" w:cs="Tunga"/>
      <w:bCs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 w:cs="Times New Roman"/>
      <w:b/>
      <w:bCs w:val="0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C53CC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C1BB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C1BB8"/>
    <w:rPr>
      <w:rFonts w:ascii="Consolas" w:hAnsi="Consolas" w:cs="Consolas"/>
      <w:bCs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5F2"/>
    <w:rPr>
      <w:rFonts w:ascii="Tahoma" w:hAnsi="Tahoma" w:cs="Tahoma"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2019-05-06T17:37:00Z</cp:lastPrinted>
  <dcterms:created xsi:type="dcterms:W3CDTF">2019-05-06T17:39:00Z</dcterms:created>
  <dcterms:modified xsi:type="dcterms:W3CDTF">2019-05-06T17:39:00Z</dcterms:modified>
</cp:coreProperties>
</file>