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CB0" w:rsidRPr="004C7CB0" w:rsidRDefault="004C7CB0" w:rsidP="004C7CB0">
      <w:pPr>
        <w:tabs>
          <w:tab w:val="center" w:pos="4253"/>
        </w:tabs>
        <w:suppressAutoHyphens/>
        <w:jc w:val="right"/>
        <w:rPr>
          <w:rFonts w:ascii="Arial" w:hAnsi="Arial" w:cs="Arial"/>
          <w:color w:val="auto"/>
          <w:sz w:val="28"/>
          <w:szCs w:val="28"/>
          <w:lang w:val="es-ES_tradnl"/>
        </w:rPr>
      </w:pPr>
      <w:r w:rsidRPr="004C7CB0">
        <w:rPr>
          <w:rFonts w:ascii="Arial" w:hAnsi="Arial"/>
          <w:b w:val="0"/>
          <w:color w:val="auto"/>
          <w:lang w:eastAsia="ar-SA"/>
        </w:rPr>
        <w:t xml:space="preserve">  </w:t>
      </w:r>
      <w:r w:rsidRPr="004C7CB0">
        <w:rPr>
          <w:rFonts w:ascii="Arial" w:hAnsi="Arial" w:cs="Arial"/>
          <w:color w:val="auto"/>
          <w:sz w:val="28"/>
          <w:szCs w:val="28"/>
          <w:lang w:val="es-ES_tradnl"/>
        </w:rPr>
        <w:t xml:space="preserve">RES.  </w:t>
      </w:r>
      <w:r>
        <w:rPr>
          <w:rFonts w:ascii="Arial" w:hAnsi="Arial" w:cs="Arial"/>
          <w:color w:val="auto"/>
          <w:sz w:val="28"/>
          <w:szCs w:val="28"/>
          <w:lang w:val="es-ES_tradnl"/>
        </w:rPr>
        <w:t>1086</w:t>
      </w:r>
      <w:r w:rsidRPr="004C7CB0">
        <w:rPr>
          <w:rFonts w:ascii="Arial" w:hAnsi="Arial" w:cs="Arial"/>
          <w:color w:val="auto"/>
          <w:sz w:val="28"/>
          <w:szCs w:val="28"/>
          <w:lang w:val="es-ES_tradnl"/>
        </w:rPr>
        <w:t>/19</w:t>
      </w:r>
    </w:p>
    <w:p w:rsidR="004C7CB0" w:rsidRPr="004C7CB0" w:rsidRDefault="004C7CB0" w:rsidP="004C7CB0">
      <w:pPr>
        <w:tabs>
          <w:tab w:val="center" w:pos="4253"/>
        </w:tabs>
        <w:suppressAutoHyphens/>
        <w:jc w:val="right"/>
        <w:rPr>
          <w:rFonts w:ascii="Arial" w:hAnsi="Arial" w:cs="Arial"/>
          <w:color w:val="auto"/>
          <w:szCs w:val="24"/>
          <w:lang w:val="es-ES_tradnl"/>
        </w:rPr>
      </w:pPr>
    </w:p>
    <w:p w:rsidR="004C7CB0" w:rsidRPr="004C7CB0" w:rsidRDefault="004C7CB0" w:rsidP="004C7CB0">
      <w:pPr>
        <w:tabs>
          <w:tab w:val="center" w:pos="4253"/>
        </w:tabs>
        <w:suppressAutoHyphens/>
        <w:jc w:val="center"/>
        <w:rPr>
          <w:rFonts w:ascii="Arial" w:hAnsi="Arial" w:cs="Arial"/>
          <w:color w:val="auto"/>
          <w:szCs w:val="24"/>
          <w:lang w:val="es-ES_tradnl"/>
        </w:rPr>
      </w:pPr>
      <w:r w:rsidRPr="004C7CB0">
        <w:rPr>
          <w:rFonts w:ascii="Arial" w:hAnsi="Arial" w:cs="Arial"/>
          <w:color w:val="auto"/>
          <w:szCs w:val="24"/>
          <w:lang w:val="es-ES_tradnl"/>
        </w:rPr>
        <w:t>RESOLUCION ADOPTADA POR EL</w:t>
      </w:r>
    </w:p>
    <w:p w:rsidR="004C7CB0" w:rsidRPr="004C7CB0" w:rsidRDefault="004C7CB0" w:rsidP="004C7CB0">
      <w:pPr>
        <w:tabs>
          <w:tab w:val="left" w:pos="-720"/>
        </w:tabs>
        <w:suppressAutoHyphens/>
        <w:jc w:val="center"/>
        <w:rPr>
          <w:rFonts w:ascii="Arial" w:hAnsi="Arial" w:cs="Arial"/>
          <w:color w:val="auto"/>
          <w:szCs w:val="24"/>
          <w:lang w:val="es-ES_tradnl"/>
        </w:rPr>
      </w:pPr>
    </w:p>
    <w:p w:rsidR="004C7CB0" w:rsidRPr="004C7CB0" w:rsidRDefault="004C7CB0" w:rsidP="004C7CB0">
      <w:pPr>
        <w:tabs>
          <w:tab w:val="center" w:pos="4253"/>
        </w:tabs>
        <w:suppressAutoHyphens/>
        <w:jc w:val="center"/>
        <w:rPr>
          <w:rFonts w:ascii="Arial" w:hAnsi="Arial" w:cs="Arial"/>
          <w:color w:val="auto"/>
          <w:szCs w:val="24"/>
          <w:lang w:val="es-ES_tradnl"/>
        </w:rPr>
      </w:pPr>
      <w:r w:rsidRPr="004C7CB0">
        <w:rPr>
          <w:rFonts w:ascii="Arial" w:hAnsi="Arial" w:cs="Arial"/>
          <w:color w:val="auto"/>
          <w:szCs w:val="24"/>
          <w:lang w:val="es-ES_tradnl"/>
        </w:rPr>
        <w:t>TRIBUNAL DE CUENTAS</w:t>
      </w:r>
    </w:p>
    <w:p w:rsidR="004C7CB0" w:rsidRPr="004C7CB0" w:rsidRDefault="004C7CB0" w:rsidP="004C7CB0">
      <w:pPr>
        <w:tabs>
          <w:tab w:val="left" w:pos="-720"/>
        </w:tabs>
        <w:suppressAutoHyphens/>
        <w:jc w:val="center"/>
        <w:rPr>
          <w:rFonts w:ascii="Arial" w:hAnsi="Arial" w:cs="Arial"/>
          <w:color w:val="auto"/>
          <w:szCs w:val="24"/>
          <w:lang w:val="es-ES_tradnl"/>
        </w:rPr>
      </w:pPr>
    </w:p>
    <w:p w:rsidR="004C7CB0" w:rsidRPr="004C7CB0" w:rsidRDefault="004C7CB0" w:rsidP="004C7CB0">
      <w:pPr>
        <w:tabs>
          <w:tab w:val="center" w:pos="4253"/>
        </w:tabs>
        <w:suppressAutoHyphens/>
        <w:jc w:val="center"/>
        <w:rPr>
          <w:rFonts w:ascii="Arial" w:hAnsi="Arial" w:cs="Arial"/>
          <w:color w:val="auto"/>
          <w:szCs w:val="24"/>
          <w:lang w:val="es-ES_tradnl"/>
        </w:rPr>
      </w:pPr>
      <w:r w:rsidRPr="004C7CB0">
        <w:rPr>
          <w:rFonts w:ascii="Arial" w:hAnsi="Arial" w:cs="Arial"/>
          <w:color w:val="auto"/>
          <w:szCs w:val="24"/>
          <w:lang w:val="es-ES_tradnl"/>
        </w:rPr>
        <w:t xml:space="preserve">EN SESION DE FECHA 3 DE MAYO  </w:t>
      </w:r>
      <w:r w:rsidRPr="004C7CB0">
        <w:rPr>
          <w:rFonts w:ascii="Helvetica" w:hAnsi="Helvetica"/>
          <w:color w:val="auto"/>
          <w:szCs w:val="24"/>
          <w:lang w:val="es-ES_tradnl"/>
        </w:rPr>
        <w:t>DE 2019</w:t>
      </w:r>
    </w:p>
    <w:p w:rsidR="004C7CB0" w:rsidRPr="004C7CB0" w:rsidRDefault="004C7CB0" w:rsidP="004C7CB0">
      <w:pPr>
        <w:tabs>
          <w:tab w:val="center" w:pos="4253"/>
        </w:tabs>
        <w:suppressAutoHyphens/>
        <w:jc w:val="center"/>
        <w:rPr>
          <w:rFonts w:ascii="Arial" w:hAnsi="Arial" w:cs="Arial"/>
          <w:color w:val="auto"/>
          <w:szCs w:val="24"/>
          <w:lang w:val="es-ES_tradnl"/>
        </w:rPr>
      </w:pPr>
    </w:p>
    <w:p w:rsidR="004C7CB0" w:rsidRPr="004C7CB0" w:rsidRDefault="004C7CB0" w:rsidP="004C7CB0">
      <w:pPr>
        <w:tabs>
          <w:tab w:val="center" w:pos="4253"/>
        </w:tabs>
        <w:suppressAutoHyphens/>
        <w:jc w:val="center"/>
        <w:rPr>
          <w:rFonts w:ascii="Arial" w:hAnsi="Arial" w:cs="Arial"/>
          <w:color w:val="auto"/>
          <w:szCs w:val="24"/>
          <w:lang w:val="es-UY"/>
        </w:rPr>
      </w:pPr>
      <w:r w:rsidRPr="004C7CB0">
        <w:rPr>
          <w:rFonts w:ascii="Arial" w:hAnsi="Arial" w:cs="Arial"/>
          <w:color w:val="auto"/>
          <w:szCs w:val="24"/>
          <w:lang w:val="es-UY"/>
        </w:rPr>
        <w:t>(E. E. Nº 201</w:t>
      </w:r>
      <w:r>
        <w:rPr>
          <w:rFonts w:ascii="Arial" w:hAnsi="Arial" w:cs="Arial"/>
          <w:color w:val="auto"/>
          <w:szCs w:val="24"/>
          <w:lang w:val="es-UY"/>
        </w:rPr>
        <w:t>7</w:t>
      </w:r>
      <w:r w:rsidRPr="004C7CB0">
        <w:rPr>
          <w:rFonts w:ascii="Arial" w:hAnsi="Arial" w:cs="Arial"/>
          <w:color w:val="auto"/>
          <w:szCs w:val="24"/>
          <w:lang w:val="es-UY"/>
        </w:rPr>
        <w:t>-17-1-000</w:t>
      </w:r>
      <w:r>
        <w:rPr>
          <w:rFonts w:ascii="Arial" w:hAnsi="Arial" w:cs="Arial"/>
          <w:color w:val="auto"/>
          <w:szCs w:val="24"/>
          <w:lang w:val="es-UY"/>
        </w:rPr>
        <w:t>6591</w:t>
      </w:r>
      <w:r w:rsidRPr="004C7CB0">
        <w:rPr>
          <w:rFonts w:ascii="Arial" w:hAnsi="Arial" w:cs="Arial"/>
          <w:color w:val="auto"/>
          <w:szCs w:val="24"/>
          <w:lang w:val="es-UY"/>
        </w:rPr>
        <w:t xml:space="preserve">, </w:t>
      </w:r>
      <w:proofErr w:type="spellStart"/>
      <w:r w:rsidRPr="004C7CB0">
        <w:rPr>
          <w:rFonts w:ascii="Arial" w:hAnsi="Arial" w:cs="Arial"/>
          <w:color w:val="auto"/>
          <w:szCs w:val="24"/>
          <w:lang w:val="es-UY"/>
        </w:rPr>
        <w:t>Ent</w:t>
      </w:r>
      <w:proofErr w:type="spellEnd"/>
      <w:r w:rsidRPr="004C7CB0">
        <w:rPr>
          <w:rFonts w:ascii="Arial" w:hAnsi="Arial" w:cs="Arial"/>
          <w:color w:val="auto"/>
          <w:szCs w:val="24"/>
          <w:lang w:val="es-UY"/>
        </w:rPr>
        <w:t xml:space="preserve">. N° </w:t>
      </w:r>
      <w:r>
        <w:rPr>
          <w:rFonts w:ascii="Arial" w:hAnsi="Arial" w:cs="Arial"/>
          <w:color w:val="auto"/>
          <w:szCs w:val="24"/>
          <w:lang w:val="es-UY"/>
        </w:rPr>
        <w:t>1427</w:t>
      </w:r>
      <w:r w:rsidRPr="004C7CB0">
        <w:rPr>
          <w:rFonts w:ascii="Arial" w:hAnsi="Arial" w:cs="Arial"/>
          <w:color w:val="auto"/>
          <w:szCs w:val="24"/>
          <w:lang w:val="es-UY"/>
        </w:rPr>
        <w:t>/</w:t>
      </w:r>
      <w:r>
        <w:rPr>
          <w:rFonts w:ascii="Arial" w:hAnsi="Arial" w:cs="Arial"/>
          <w:color w:val="auto"/>
          <w:szCs w:val="24"/>
          <w:lang w:val="es-UY"/>
        </w:rPr>
        <w:t>19)</w:t>
      </w:r>
    </w:p>
    <w:p w:rsidR="004C7CB0" w:rsidRDefault="004C7CB0" w:rsidP="002F3F57">
      <w:pPr>
        <w:pStyle w:val="Ttulo8"/>
        <w:numPr>
          <w:ilvl w:val="0"/>
          <w:numId w:val="0"/>
        </w:numPr>
      </w:pPr>
    </w:p>
    <w:p w:rsidR="002F3F57" w:rsidRDefault="002F3F57" w:rsidP="004C7CB0">
      <w:pPr>
        <w:pStyle w:val="Ttulo8"/>
        <w:numPr>
          <w:ilvl w:val="0"/>
          <w:numId w:val="0"/>
        </w:numPr>
        <w:ind w:firstLine="708"/>
        <w:rPr>
          <w:b w:val="0"/>
          <w:bCs/>
        </w:rPr>
      </w:pPr>
      <w:r>
        <w:t xml:space="preserve">VISTO: </w:t>
      </w:r>
      <w:r>
        <w:rPr>
          <w:b w:val="0"/>
        </w:rPr>
        <w:t>las actuaciones remitidas por la Contadora Delegada en la Intendencia de Canelones, relacionadas con la ampliación de la Licitación Pública Nº</w:t>
      </w:r>
      <w:r>
        <w:rPr>
          <w:b w:val="0"/>
          <w:bCs/>
        </w:rPr>
        <w:t xml:space="preserve"> </w:t>
      </w:r>
      <w:r>
        <w:rPr>
          <w:b w:val="0"/>
        </w:rPr>
        <w:t xml:space="preserve">18/2016 para la realización de obras de infraestructura vial e hidráulica en las ciudades de La Paz, Las Piedras, Progreso y 18 de Mayo;   </w:t>
      </w:r>
    </w:p>
    <w:p w:rsidR="002F3F57" w:rsidRDefault="002F3F57" w:rsidP="004C7CB0">
      <w:pPr>
        <w:pStyle w:val="Ttulo"/>
        <w:ind w:firstLine="708"/>
        <w:jc w:val="both"/>
      </w:pPr>
      <w:r>
        <w:rPr>
          <w:u w:val="none"/>
        </w:rPr>
        <w:t>RESULTANDO: 1)</w:t>
      </w:r>
      <w:r w:rsidRPr="001249AC">
        <w:rPr>
          <w:rFonts w:cs="Arial"/>
          <w:bCs/>
          <w:u w:val="none"/>
        </w:rPr>
        <w:t xml:space="preserve"> </w:t>
      </w:r>
      <w:r w:rsidRPr="001249AC">
        <w:rPr>
          <w:rFonts w:cs="Arial"/>
          <w:b w:val="0"/>
          <w:bCs/>
          <w:u w:val="none"/>
        </w:rPr>
        <w:t>que</w:t>
      </w:r>
      <w:r>
        <w:rPr>
          <w:rFonts w:cs="Arial"/>
          <w:b w:val="0"/>
          <w:bCs/>
          <w:u w:val="none"/>
        </w:rPr>
        <w:t>,</w:t>
      </w:r>
      <w:r w:rsidRPr="001249AC">
        <w:rPr>
          <w:rFonts w:cs="Arial"/>
          <w:b w:val="0"/>
          <w:bCs/>
          <w:u w:val="none"/>
        </w:rPr>
        <w:t xml:space="preserve"> por Resolución Nº 17/05118 de fecha 21/07/17, </w:t>
      </w:r>
      <w:proofErr w:type="gramStart"/>
      <w:r w:rsidRPr="001249AC">
        <w:rPr>
          <w:rFonts w:cs="Arial"/>
          <w:b w:val="0"/>
          <w:bCs/>
          <w:u w:val="none"/>
        </w:rPr>
        <w:t>el</w:t>
      </w:r>
      <w:proofErr w:type="gramEnd"/>
      <w:r w:rsidRPr="001249AC">
        <w:rPr>
          <w:rFonts w:cs="Arial"/>
          <w:b w:val="0"/>
          <w:bCs/>
          <w:u w:val="none"/>
        </w:rPr>
        <w:t xml:space="preserve"> Intendente, ad referéndum de la interven</w:t>
      </w:r>
      <w:r>
        <w:rPr>
          <w:rFonts w:cs="Arial"/>
          <w:b w:val="0"/>
          <w:bCs/>
          <w:u w:val="none"/>
        </w:rPr>
        <w:t>ción de este Tribunal, dispuso</w:t>
      </w:r>
      <w:r w:rsidRPr="001249AC">
        <w:rPr>
          <w:rFonts w:cs="Arial"/>
          <w:b w:val="0"/>
          <w:bCs/>
          <w:u w:val="none"/>
        </w:rPr>
        <w:t xml:space="preserve"> adjudicar la</w:t>
      </w:r>
      <w:r>
        <w:rPr>
          <w:rFonts w:cs="Arial"/>
          <w:b w:val="0"/>
          <w:bCs/>
          <w:u w:val="none"/>
        </w:rPr>
        <w:t xml:space="preserve"> licitación de referencia</w:t>
      </w:r>
      <w:r w:rsidRPr="001249AC">
        <w:rPr>
          <w:rFonts w:cs="Arial"/>
          <w:b w:val="0"/>
          <w:bCs/>
          <w:u w:val="none"/>
        </w:rPr>
        <w:t xml:space="preserve"> a la firma </w:t>
      </w:r>
      <w:proofErr w:type="spellStart"/>
      <w:r w:rsidRPr="001249AC">
        <w:rPr>
          <w:rFonts w:cs="Arial"/>
          <w:b w:val="0"/>
          <w:bCs/>
          <w:u w:val="none"/>
        </w:rPr>
        <w:t>Grinor</w:t>
      </w:r>
      <w:proofErr w:type="spellEnd"/>
      <w:r w:rsidRPr="001249AC">
        <w:rPr>
          <w:rFonts w:cs="Arial"/>
          <w:b w:val="0"/>
          <w:bCs/>
          <w:u w:val="none"/>
        </w:rPr>
        <w:t xml:space="preserve"> S.A.</w:t>
      </w:r>
      <w:r>
        <w:rPr>
          <w:rFonts w:cs="Arial"/>
          <w:b w:val="0"/>
          <w:bCs/>
          <w:u w:val="none"/>
        </w:rPr>
        <w:t>,</w:t>
      </w:r>
      <w:r w:rsidRPr="001249AC">
        <w:rPr>
          <w:rFonts w:cs="Arial"/>
          <w:b w:val="0"/>
          <w:bCs/>
          <w:u w:val="none"/>
        </w:rPr>
        <w:t xml:space="preserve"> que obtuvo el mayor puntaje comparativo, por un monto total de $ 226:055.802,56</w:t>
      </w:r>
      <w:r>
        <w:rPr>
          <w:rFonts w:cs="Arial"/>
          <w:b w:val="0"/>
          <w:bCs/>
          <w:u w:val="none"/>
        </w:rPr>
        <w:t>(</w:t>
      </w:r>
      <w:r w:rsidRPr="001249AC">
        <w:rPr>
          <w:rFonts w:cs="Arial"/>
          <w:b w:val="0"/>
          <w:bCs/>
          <w:u w:val="none"/>
        </w:rPr>
        <w:t xml:space="preserve"> impuestos, Leyes Sociales y descuento incluido</w:t>
      </w:r>
      <w:r>
        <w:rPr>
          <w:rFonts w:cs="Arial"/>
          <w:b w:val="0"/>
          <w:bCs/>
          <w:u w:val="none"/>
        </w:rPr>
        <w:t>s)</w:t>
      </w:r>
      <w:r w:rsidRPr="001249AC">
        <w:rPr>
          <w:rFonts w:cs="Arial"/>
          <w:b w:val="0"/>
          <w:bCs/>
          <w:u w:val="none"/>
        </w:rPr>
        <w:t>,</w:t>
      </w:r>
      <w:r>
        <w:rPr>
          <w:rFonts w:cs="Arial"/>
          <w:b w:val="0"/>
          <w:bCs/>
          <w:u w:val="none"/>
        </w:rPr>
        <w:t xml:space="preserve"> señalando </w:t>
      </w:r>
      <w:r w:rsidRPr="001249AC">
        <w:rPr>
          <w:rFonts w:cs="Arial"/>
          <w:b w:val="0"/>
          <w:bCs/>
          <w:u w:val="none"/>
        </w:rPr>
        <w:t xml:space="preserve">que el financiamiento se realizará con fondos provenientes del Fideicomiso Financiero para Obras – Canelones III, expresando como fundamento que la contratación se realiza al amparo del </w:t>
      </w:r>
      <w:r>
        <w:rPr>
          <w:rFonts w:cs="Arial"/>
          <w:b w:val="0"/>
          <w:bCs/>
          <w:u w:val="none"/>
        </w:rPr>
        <w:t>a</w:t>
      </w:r>
      <w:r w:rsidRPr="001249AC">
        <w:rPr>
          <w:rFonts w:cs="Arial"/>
          <w:b w:val="0"/>
          <w:bCs/>
          <w:u w:val="none"/>
        </w:rPr>
        <w:t xml:space="preserve">rt.  19 del T.O.C.A.F.; </w:t>
      </w:r>
      <w:r>
        <w:rPr>
          <w:b w:val="0"/>
          <w:bCs/>
        </w:rPr>
        <w:t xml:space="preserve">                                           </w:t>
      </w:r>
      <w:r>
        <w:t xml:space="preserve">  </w:t>
      </w:r>
    </w:p>
    <w:p w:rsidR="002F3F57" w:rsidRDefault="002F3F57" w:rsidP="002F3F57">
      <w:pPr>
        <w:spacing w:line="360" w:lineRule="auto"/>
        <w:jc w:val="both"/>
        <w:rPr>
          <w:rFonts w:ascii="Arial" w:hAnsi="Arial" w:cs="Arial"/>
          <w:b w:val="0"/>
        </w:rPr>
      </w:pPr>
      <w:r>
        <w:rPr>
          <w:lang w:val="es-ES_tradnl"/>
        </w:rPr>
        <w:t xml:space="preserve">             </w:t>
      </w:r>
      <w:r>
        <w:rPr>
          <w:rFonts w:ascii="Arial" w:hAnsi="Arial" w:cs="Arial"/>
          <w:lang w:val="es-ES_tradnl"/>
        </w:rPr>
        <w:t xml:space="preserve"> </w:t>
      </w:r>
      <w:r w:rsidR="004C7CB0">
        <w:rPr>
          <w:rFonts w:ascii="Arial" w:hAnsi="Arial" w:cs="Arial"/>
          <w:lang w:val="es-ES_tradnl"/>
        </w:rPr>
        <w:t xml:space="preserve">          </w:t>
      </w:r>
      <w:r>
        <w:rPr>
          <w:rFonts w:ascii="Arial" w:hAnsi="Arial" w:cs="Arial"/>
          <w:lang w:val="es-ES_tradnl"/>
        </w:rPr>
        <w:t xml:space="preserve">2) </w:t>
      </w:r>
      <w:r w:rsidRPr="00C94C35">
        <w:rPr>
          <w:rFonts w:ascii="Arial" w:hAnsi="Arial" w:cs="Arial"/>
          <w:b w:val="0"/>
          <w:bCs/>
        </w:rPr>
        <w:t xml:space="preserve">que </w:t>
      </w:r>
      <w:r>
        <w:rPr>
          <w:rFonts w:ascii="Arial" w:hAnsi="Arial" w:cs="Arial"/>
          <w:b w:val="0"/>
          <w:bCs/>
        </w:rPr>
        <w:t>este Tribunal, por Resolución No. 3636/17 adoptada en sesión de fecha 1 de noviembre de 2017, observó el gasto, en razón de que</w:t>
      </w:r>
      <w:r>
        <w:rPr>
          <w:rFonts w:ascii="Arial" w:hAnsi="Arial" w:cs="Arial"/>
          <w:b w:val="0"/>
          <w:szCs w:val="24"/>
        </w:rPr>
        <w:t xml:space="preserve"> </w:t>
      </w:r>
      <w:r w:rsidRPr="00F557EC">
        <w:rPr>
          <w:rFonts w:ascii="Arial" w:hAnsi="Arial" w:cs="Arial"/>
          <w:b w:val="0"/>
        </w:rPr>
        <w:t xml:space="preserve">no se establecieron en el Pliego los sub puntajes de los sub factores, del factor </w:t>
      </w:r>
      <w:r>
        <w:rPr>
          <w:rFonts w:ascii="Arial" w:hAnsi="Arial" w:cs="Arial"/>
          <w:b w:val="0"/>
        </w:rPr>
        <w:t>a</w:t>
      </w:r>
      <w:r w:rsidRPr="00F557EC">
        <w:rPr>
          <w:rFonts w:ascii="Arial" w:hAnsi="Arial" w:cs="Arial"/>
          <w:b w:val="0"/>
        </w:rPr>
        <w:t xml:space="preserve">ntecedentes, </w:t>
      </w:r>
      <w:r>
        <w:rPr>
          <w:rFonts w:ascii="Arial" w:hAnsi="Arial" w:cs="Arial"/>
          <w:b w:val="0"/>
        </w:rPr>
        <w:t xml:space="preserve">y en consecuencia los puntajes no previstos en el pliego, asignados a los diversos </w:t>
      </w:r>
      <w:proofErr w:type="spellStart"/>
      <w:r>
        <w:rPr>
          <w:rFonts w:ascii="Arial" w:hAnsi="Arial" w:cs="Arial"/>
          <w:b w:val="0"/>
        </w:rPr>
        <w:t>subfactores</w:t>
      </w:r>
      <w:proofErr w:type="spellEnd"/>
      <w:r>
        <w:rPr>
          <w:rFonts w:ascii="Arial" w:hAnsi="Arial" w:cs="Arial"/>
          <w:b w:val="0"/>
        </w:rPr>
        <w:t xml:space="preserve">  del indicador antecedentes,</w:t>
      </w:r>
      <w:r w:rsidRPr="00F557EC">
        <w:rPr>
          <w:rFonts w:ascii="Arial" w:hAnsi="Arial" w:cs="Arial"/>
          <w:b w:val="0"/>
        </w:rPr>
        <w:t xml:space="preserve"> fijados con posterioridad a la presentación de las ofertas por la Comisión Asesora</w:t>
      </w:r>
      <w:r>
        <w:rPr>
          <w:rFonts w:ascii="Arial" w:hAnsi="Arial" w:cs="Arial"/>
          <w:b w:val="0"/>
        </w:rPr>
        <w:t>,</w:t>
      </w:r>
      <w:r w:rsidRPr="00F557EC">
        <w:rPr>
          <w:rFonts w:ascii="Arial" w:hAnsi="Arial" w:cs="Arial"/>
          <w:b w:val="0"/>
        </w:rPr>
        <w:t xml:space="preserve"> en el momento de  evaluar las propuestas</w:t>
      </w:r>
      <w:r>
        <w:rPr>
          <w:rFonts w:ascii="Arial" w:hAnsi="Arial" w:cs="Arial"/>
          <w:b w:val="0"/>
        </w:rPr>
        <w:t xml:space="preserve">, se aparta de lo establecido en el artículo 65 literal C) del </w:t>
      </w:r>
      <w:proofErr w:type="spellStart"/>
      <w:r>
        <w:rPr>
          <w:rFonts w:ascii="Arial" w:hAnsi="Arial" w:cs="Arial"/>
          <w:b w:val="0"/>
        </w:rPr>
        <w:t>Tocaf</w:t>
      </w:r>
      <w:proofErr w:type="spellEnd"/>
      <w:r>
        <w:rPr>
          <w:rFonts w:ascii="Arial" w:hAnsi="Arial" w:cs="Arial"/>
          <w:b w:val="0"/>
        </w:rPr>
        <w:t xml:space="preserve">  y no se cumplió </w:t>
      </w:r>
      <w:r w:rsidRPr="003530EF">
        <w:rPr>
          <w:rFonts w:ascii="Arial" w:hAnsi="Arial" w:cs="Arial"/>
          <w:b w:val="0"/>
        </w:rPr>
        <w:t xml:space="preserve"> lo </w:t>
      </w:r>
      <w:r>
        <w:rPr>
          <w:rFonts w:ascii="Arial" w:hAnsi="Arial" w:cs="Arial"/>
          <w:b w:val="0"/>
        </w:rPr>
        <w:t>establecido</w:t>
      </w:r>
      <w:r w:rsidRPr="003530EF">
        <w:rPr>
          <w:rFonts w:ascii="Arial" w:hAnsi="Arial" w:cs="Arial"/>
          <w:b w:val="0"/>
        </w:rPr>
        <w:t xml:space="preserve"> en el </w:t>
      </w:r>
      <w:r>
        <w:rPr>
          <w:rFonts w:ascii="Arial" w:hAnsi="Arial" w:cs="Arial"/>
          <w:b w:val="0"/>
        </w:rPr>
        <w:t>a</w:t>
      </w:r>
      <w:r w:rsidRPr="003530EF">
        <w:rPr>
          <w:rFonts w:ascii="Arial" w:hAnsi="Arial" w:cs="Arial"/>
          <w:b w:val="0"/>
        </w:rPr>
        <w:t xml:space="preserve">rt. 13 </w:t>
      </w:r>
      <w:r>
        <w:rPr>
          <w:rFonts w:ascii="Arial" w:hAnsi="Arial" w:cs="Arial"/>
          <w:b w:val="0"/>
        </w:rPr>
        <w:t>l</w:t>
      </w:r>
      <w:r w:rsidRPr="003530EF">
        <w:rPr>
          <w:rFonts w:ascii="Arial" w:hAnsi="Arial" w:cs="Arial"/>
          <w:b w:val="0"/>
        </w:rPr>
        <w:t>iteral D) de l</w:t>
      </w:r>
      <w:r>
        <w:rPr>
          <w:rFonts w:ascii="Arial" w:hAnsi="Arial" w:cs="Arial"/>
          <w:b w:val="0"/>
        </w:rPr>
        <w:t>a Ordenanza Nº 27 de 22/05/1958;</w:t>
      </w:r>
    </w:p>
    <w:p w:rsidR="002F3F57" w:rsidRDefault="002F3F57" w:rsidP="002F3F57">
      <w:pPr>
        <w:spacing w:line="360" w:lineRule="auto"/>
        <w:jc w:val="both"/>
        <w:rPr>
          <w:rFonts w:ascii="Arial" w:hAnsi="Arial" w:cs="Arial"/>
          <w:b w:val="0"/>
        </w:rPr>
      </w:pPr>
      <w:r>
        <w:rPr>
          <w:rFonts w:ascii="Arial" w:hAnsi="Arial" w:cs="Arial"/>
          <w:b w:val="0"/>
        </w:rPr>
        <w:lastRenderedPageBreak/>
        <w:tab/>
        <w:t xml:space="preserve">                     </w:t>
      </w:r>
      <w:r w:rsidR="004C7CB0">
        <w:rPr>
          <w:rFonts w:ascii="Arial" w:hAnsi="Arial" w:cs="Arial"/>
          <w:b w:val="0"/>
        </w:rPr>
        <w:t xml:space="preserve"> </w:t>
      </w:r>
      <w:r>
        <w:rPr>
          <w:rFonts w:ascii="Arial" w:hAnsi="Arial" w:cs="Arial"/>
          <w:b w:val="0"/>
        </w:rPr>
        <w:t xml:space="preserve"> </w:t>
      </w:r>
      <w:r w:rsidR="004C7CB0">
        <w:rPr>
          <w:rFonts w:ascii="Arial" w:hAnsi="Arial" w:cs="Arial"/>
          <w:b w:val="0"/>
        </w:rPr>
        <w:t xml:space="preserve">       </w:t>
      </w:r>
      <w:r>
        <w:rPr>
          <w:rFonts w:ascii="Arial" w:hAnsi="Arial" w:cs="Arial"/>
        </w:rPr>
        <w:t xml:space="preserve">3) </w:t>
      </w:r>
      <w:r>
        <w:rPr>
          <w:rFonts w:ascii="Arial" w:hAnsi="Arial" w:cs="Arial"/>
          <w:b w:val="0"/>
        </w:rPr>
        <w:t xml:space="preserve">que por Resolución No. 19/01378 de fecha 22/2/2019, el Intendente dispone ampliar el 50% de lo adjudicado a la empresa </w:t>
      </w:r>
      <w:proofErr w:type="spellStart"/>
      <w:r>
        <w:rPr>
          <w:rFonts w:ascii="Arial" w:hAnsi="Arial" w:cs="Arial"/>
          <w:b w:val="0"/>
        </w:rPr>
        <w:t>Grinor</w:t>
      </w:r>
      <w:proofErr w:type="spellEnd"/>
      <w:r>
        <w:rPr>
          <w:rFonts w:ascii="Arial" w:hAnsi="Arial" w:cs="Arial"/>
          <w:b w:val="0"/>
        </w:rPr>
        <w:t xml:space="preserve"> S.A. en la licitación de referencia, habiéndose obtenido previamente la conformidad de la adjudicataria;</w:t>
      </w:r>
    </w:p>
    <w:p w:rsidR="002F3F57" w:rsidRDefault="002F3F57" w:rsidP="002F3F57">
      <w:pPr>
        <w:spacing w:line="360" w:lineRule="auto"/>
        <w:jc w:val="both"/>
        <w:rPr>
          <w:rFonts w:ascii="Arial" w:hAnsi="Arial" w:cs="Arial"/>
          <w:b w:val="0"/>
        </w:rPr>
      </w:pPr>
      <w:r>
        <w:rPr>
          <w:rFonts w:ascii="Arial" w:hAnsi="Arial" w:cs="Arial"/>
          <w:b w:val="0"/>
        </w:rPr>
        <w:tab/>
        <w:t xml:space="preserve">                  </w:t>
      </w:r>
      <w:r w:rsidR="004C7CB0">
        <w:rPr>
          <w:rFonts w:ascii="Arial" w:hAnsi="Arial" w:cs="Arial"/>
          <w:b w:val="0"/>
        </w:rPr>
        <w:t xml:space="preserve">           </w:t>
      </w:r>
      <w:r>
        <w:rPr>
          <w:rFonts w:ascii="Arial" w:hAnsi="Arial" w:cs="Arial"/>
        </w:rPr>
        <w:t xml:space="preserve">4) </w:t>
      </w:r>
      <w:r>
        <w:rPr>
          <w:rFonts w:ascii="Arial" w:hAnsi="Arial" w:cs="Arial"/>
          <w:b w:val="0"/>
        </w:rPr>
        <w:t>que con fecha  19/3/19, el Departamento de Control Presupuestal informa que no se realizara afectación en el módulo presupuestal del GCI y que en el presente ejercicio se estima ejecutar solamente obras asociadas a los presentes obrados y financiadas por el Fideicomiso de Administración del Fondo de Infraestructura de Canelones cuyo agente fiduciario es CONAFIN_AFISA (recursos aportados por la CAF y el MEF) , por lo que no corresponde afectación presupuestal, ni tampoco afectación de código del Fideicomiso Financiero Canelones III en 2019;</w:t>
      </w:r>
    </w:p>
    <w:p w:rsidR="002F3F57" w:rsidRDefault="002F3F57" w:rsidP="004C7CB0">
      <w:pPr>
        <w:pStyle w:val="Ttulo"/>
        <w:ind w:firstLine="851"/>
        <w:jc w:val="both"/>
        <w:rPr>
          <w:rFonts w:cs="Arial"/>
          <w:b w:val="0"/>
          <w:bCs/>
          <w:u w:val="none"/>
        </w:rPr>
      </w:pPr>
      <w:r w:rsidRPr="00546039">
        <w:rPr>
          <w:rFonts w:cs="Arial"/>
          <w:u w:val="none"/>
        </w:rPr>
        <w:t>CONSIDERANDO</w:t>
      </w:r>
      <w:proofErr w:type="gramStart"/>
      <w:r w:rsidRPr="00546039">
        <w:rPr>
          <w:rFonts w:cs="Arial"/>
          <w:u w:val="none"/>
        </w:rPr>
        <w:t xml:space="preserve">: </w:t>
      </w:r>
      <w:r w:rsidR="004C7CB0">
        <w:rPr>
          <w:rFonts w:cs="Arial"/>
          <w:u w:val="none"/>
        </w:rPr>
        <w:t xml:space="preserve"> </w:t>
      </w:r>
      <w:r w:rsidRPr="00546039">
        <w:rPr>
          <w:rFonts w:cs="Arial"/>
          <w:u w:val="none"/>
        </w:rPr>
        <w:t>1</w:t>
      </w:r>
      <w:proofErr w:type="gramEnd"/>
      <w:r w:rsidRPr="00546039">
        <w:rPr>
          <w:rFonts w:cs="Arial"/>
          <w:u w:val="none"/>
        </w:rPr>
        <w:t>)</w:t>
      </w:r>
      <w:r w:rsidRPr="00797809">
        <w:rPr>
          <w:rFonts w:cs="Arial"/>
          <w:b w:val="0"/>
          <w:bCs/>
          <w:u w:val="none"/>
        </w:rPr>
        <w:t xml:space="preserve"> que</w:t>
      </w:r>
      <w:r>
        <w:rPr>
          <w:rFonts w:cs="Arial"/>
          <w:b w:val="0"/>
          <w:bCs/>
          <w:u w:val="none"/>
        </w:rPr>
        <w:t xml:space="preserve">  la presente ampliación se efectúa al amparo de lo dispuesto por el art. 74 del TOCAF, habiéndose respetado el porcentaje máximo autorizado, habiéndose recabado la previa conformidad de la contratista;</w:t>
      </w:r>
    </w:p>
    <w:p w:rsidR="002F3F57" w:rsidRDefault="002F3F57" w:rsidP="002F3F57">
      <w:pPr>
        <w:pStyle w:val="Ttulo"/>
        <w:ind w:firstLine="708"/>
        <w:jc w:val="both"/>
        <w:rPr>
          <w:rFonts w:cs="Arial"/>
          <w:b w:val="0"/>
          <w:bCs/>
          <w:u w:val="none"/>
        </w:rPr>
      </w:pPr>
      <w:r w:rsidRPr="00797809">
        <w:rPr>
          <w:rFonts w:cs="Arial"/>
          <w:b w:val="0"/>
          <w:bCs/>
          <w:u w:val="none"/>
        </w:rPr>
        <w:tab/>
      </w:r>
      <w:r>
        <w:rPr>
          <w:rFonts w:cs="Arial"/>
          <w:b w:val="0"/>
          <w:bCs/>
          <w:u w:val="none"/>
        </w:rPr>
        <w:t xml:space="preserve">             </w:t>
      </w:r>
      <w:r w:rsidR="004C7CB0">
        <w:rPr>
          <w:rFonts w:cs="Arial"/>
          <w:b w:val="0"/>
          <w:bCs/>
          <w:u w:val="none"/>
        </w:rPr>
        <w:t xml:space="preserve">             </w:t>
      </w:r>
      <w:r w:rsidRPr="00797809">
        <w:rPr>
          <w:rFonts w:cs="Arial"/>
          <w:bCs/>
          <w:u w:val="none"/>
        </w:rPr>
        <w:t>2)</w:t>
      </w:r>
      <w:r w:rsidRPr="00797809">
        <w:rPr>
          <w:rFonts w:cs="Arial"/>
          <w:b w:val="0"/>
          <w:bCs/>
          <w:u w:val="none"/>
        </w:rPr>
        <w:t xml:space="preserve"> que </w:t>
      </w:r>
      <w:r>
        <w:rPr>
          <w:rFonts w:cs="Arial"/>
          <w:b w:val="0"/>
          <w:bCs/>
          <w:u w:val="none"/>
        </w:rPr>
        <w:t xml:space="preserve">no obstante, la ampliación al derivar de un procedimiento observado por motivos de índole legal, queda </w:t>
      </w:r>
      <w:bookmarkStart w:id="0" w:name="_GoBack"/>
      <w:bookmarkEnd w:id="0"/>
      <w:r>
        <w:rPr>
          <w:rFonts w:cs="Arial"/>
          <w:b w:val="0"/>
          <w:bCs/>
          <w:u w:val="none"/>
        </w:rPr>
        <w:t xml:space="preserve"> afectada por los mismos;</w:t>
      </w:r>
    </w:p>
    <w:p w:rsidR="002F3F57" w:rsidRPr="00546039" w:rsidRDefault="002F3F57" w:rsidP="002F3F57">
      <w:pPr>
        <w:pStyle w:val="Ttulo"/>
        <w:ind w:firstLine="708"/>
        <w:jc w:val="both"/>
        <w:rPr>
          <w:rFonts w:cs="Arial"/>
          <w:bCs/>
          <w:highlight w:val="yellow"/>
          <w:u w:val="none"/>
          <w:lang w:val="es-ES"/>
        </w:rPr>
      </w:pPr>
      <w:r>
        <w:rPr>
          <w:rFonts w:cs="Arial"/>
          <w:b w:val="0"/>
          <w:bCs/>
          <w:u w:val="none"/>
        </w:rPr>
        <w:t xml:space="preserve">                        </w:t>
      </w:r>
      <w:r w:rsidR="004C7CB0">
        <w:rPr>
          <w:rFonts w:cs="Arial"/>
          <w:b w:val="0"/>
          <w:bCs/>
          <w:u w:val="none"/>
        </w:rPr>
        <w:t xml:space="preserve">           </w:t>
      </w:r>
      <w:r>
        <w:rPr>
          <w:rFonts w:cs="Arial"/>
          <w:bCs/>
          <w:u w:val="none"/>
        </w:rPr>
        <w:t xml:space="preserve">3) </w:t>
      </w:r>
      <w:r w:rsidRPr="00546039">
        <w:rPr>
          <w:rFonts w:cs="Arial"/>
          <w:b w:val="0"/>
          <w:u w:val="none"/>
        </w:rPr>
        <w:t>que no</w:t>
      </w:r>
      <w:r>
        <w:rPr>
          <w:rFonts w:cs="Arial"/>
          <w:b w:val="0"/>
          <w:u w:val="none"/>
        </w:rPr>
        <w:t xml:space="preserve"> se dio cumplimiento a </w:t>
      </w:r>
      <w:r w:rsidRPr="00546039">
        <w:rPr>
          <w:rFonts w:cs="Arial"/>
          <w:b w:val="0"/>
          <w:u w:val="none"/>
        </w:rPr>
        <w:t xml:space="preserve"> lo establecido en el </w:t>
      </w:r>
      <w:r>
        <w:rPr>
          <w:rFonts w:cs="Arial"/>
          <w:b w:val="0"/>
          <w:u w:val="none"/>
        </w:rPr>
        <w:t>a</w:t>
      </w:r>
      <w:r w:rsidRPr="00546039">
        <w:rPr>
          <w:rFonts w:cs="Arial"/>
          <w:b w:val="0"/>
          <w:u w:val="none"/>
        </w:rPr>
        <w:t xml:space="preserve">rt. 13 </w:t>
      </w:r>
      <w:r>
        <w:rPr>
          <w:rFonts w:cs="Arial"/>
          <w:b w:val="0"/>
          <w:u w:val="none"/>
        </w:rPr>
        <w:t>l</w:t>
      </w:r>
      <w:r w:rsidRPr="00546039">
        <w:rPr>
          <w:rFonts w:cs="Arial"/>
          <w:b w:val="0"/>
          <w:u w:val="none"/>
        </w:rPr>
        <w:t>iteral D) de la Ordenanza Nº 27 de 22/05/1958</w:t>
      </w:r>
      <w:r>
        <w:rPr>
          <w:rFonts w:cs="Arial"/>
          <w:b w:val="0"/>
          <w:u w:val="none"/>
        </w:rPr>
        <w:t xml:space="preserve"> (Resultando 4)</w:t>
      </w:r>
      <w:r>
        <w:rPr>
          <w:rFonts w:cs="Arial"/>
          <w:bCs/>
          <w:u w:val="none"/>
        </w:rPr>
        <w:t>;</w:t>
      </w:r>
    </w:p>
    <w:p w:rsidR="002F3F57" w:rsidRDefault="002F3F57" w:rsidP="004C7CB0">
      <w:pPr>
        <w:pStyle w:val="Ttulo"/>
        <w:ind w:firstLine="709"/>
        <w:jc w:val="both"/>
        <w:rPr>
          <w:b w:val="0"/>
          <w:bCs/>
          <w:u w:val="none"/>
        </w:rPr>
      </w:pPr>
      <w:r>
        <w:rPr>
          <w:u w:val="none"/>
        </w:rPr>
        <w:t xml:space="preserve">ATENTO: </w:t>
      </w:r>
      <w:r>
        <w:rPr>
          <w:b w:val="0"/>
          <w:bCs/>
          <w:u w:val="none"/>
        </w:rPr>
        <w:t xml:space="preserve">a lo precedentemente expuesto y a lo establecido en el art. 211 </w:t>
      </w:r>
      <w:proofErr w:type="spellStart"/>
      <w:r>
        <w:rPr>
          <w:b w:val="0"/>
          <w:bCs/>
          <w:u w:val="none"/>
        </w:rPr>
        <w:t>lit.</w:t>
      </w:r>
      <w:proofErr w:type="spellEnd"/>
      <w:r>
        <w:rPr>
          <w:b w:val="0"/>
          <w:bCs/>
          <w:u w:val="none"/>
        </w:rPr>
        <w:t xml:space="preserve"> B) de la Constitución de la República; </w:t>
      </w:r>
    </w:p>
    <w:p w:rsidR="002F3F57" w:rsidRDefault="002F3F57" w:rsidP="002F3F57">
      <w:pPr>
        <w:pStyle w:val="Ttulo2"/>
        <w:spacing w:line="360" w:lineRule="auto"/>
        <w:rPr>
          <w:lang w:val="es-UY"/>
        </w:rPr>
      </w:pPr>
      <w:r>
        <w:rPr>
          <w:lang w:val="es-UY"/>
        </w:rPr>
        <w:t>EL TRIBUNAL ACUERDA</w:t>
      </w:r>
    </w:p>
    <w:p w:rsidR="004C7CB0" w:rsidRDefault="002F3F57" w:rsidP="004C7CB0">
      <w:pPr>
        <w:pStyle w:val="Ttulo4"/>
        <w:numPr>
          <w:ilvl w:val="0"/>
          <w:numId w:val="2"/>
        </w:numPr>
        <w:ind w:left="284" w:hanging="284"/>
        <w:rPr>
          <w:u w:val="none"/>
        </w:rPr>
      </w:pPr>
      <w:r>
        <w:rPr>
          <w:u w:val="none"/>
        </w:rPr>
        <w:t>Observar el gasto por lo expresado en los  Considerando 2 y 3); y</w:t>
      </w:r>
    </w:p>
    <w:p w:rsidR="002F3F57" w:rsidRPr="004C7CB0" w:rsidRDefault="002F3F57" w:rsidP="004C7CB0">
      <w:pPr>
        <w:pStyle w:val="Ttulo4"/>
        <w:numPr>
          <w:ilvl w:val="0"/>
          <w:numId w:val="2"/>
        </w:numPr>
        <w:ind w:left="284" w:hanging="284"/>
        <w:rPr>
          <w:u w:val="none"/>
        </w:rPr>
      </w:pPr>
      <w:r w:rsidRPr="004C7CB0">
        <w:rPr>
          <w:bCs w:val="0"/>
          <w:u w:val="none"/>
        </w:rPr>
        <w:t xml:space="preserve">Devolver las actuaciones. </w:t>
      </w:r>
    </w:p>
    <w:p w:rsidR="002F3F57" w:rsidRDefault="002F3F57" w:rsidP="004C7CB0">
      <w:pPr>
        <w:spacing w:line="360" w:lineRule="auto"/>
        <w:ind w:left="284" w:hanging="284"/>
        <w:jc w:val="both"/>
        <w:rPr>
          <w:rFonts w:ascii="Arial" w:hAnsi="Arial" w:cs="Arial"/>
          <w:b w:val="0"/>
          <w:bCs/>
          <w:lang w:val="es-ES_tradnl"/>
        </w:rPr>
      </w:pPr>
    </w:p>
    <w:p w:rsidR="00F649BB" w:rsidRDefault="00F649BB" w:rsidP="00D71A3A">
      <w:pPr>
        <w:spacing w:line="360" w:lineRule="auto"/>
        <w:jc w:val="both"/>
        <w:rPr>
          <w:rFonts w:ascii="Arial" w:hAnsi="Arial" w:cs="Arial"/>
          <w:b w:val="0"/>
          <w:bCs/>
          <w:lang w:val="es-ES_tradnl"/>
        </w:rPr>
      </w:pPr>
      <w:r>
        <w:rPr>
          <w:rFonts w:ascii="Arial" w:hAnsi="Arial" w:cs="Arial"/>
          <w:b w:val="0"/>
          <w:bCs/>
          <w:lang w:val="es-ES_tradnl"/>
        </w:rPr>
        <w:t>C</w:t>
      </w:r>
      <w:r w:rsidR="004C7CB0">
        <w:rPr>
          <w:rFonts w:ascii="Arial" w:hAnsi="Arial" w:cs="Arial"/>
          <w:b w:val="0"/>
          <w:bCs/>
          <w:lang w:val="es-ES_tradnl"/>
        </w:rPr>
        <w:t>r</w:t>
      </w:r>
    </w:p>
    <w:p w:rsidR="00F649BB" w:rsidRPr="00C97979" w:rsidRDefault="00F649BB" w:rsidP="00C97979">
      <w:pPr>
        <w:spacing w:line="360" w:lineRule="auto"/>
        <w:jc w:val="both"/>
        <w:rPr>
          <w:rFonts w:ascii="Arial" w:eastAsia="Calibri" w:hAnsi="Arial" w:cs="Arial"/>
          <w:b w:val="0"/>
          <w:color w:val="auto"/>
        </w:rPr>
      </w:pPr>
      <w:r w:rsidRPr="00C97979">
        <w:rPr>
          <w:rFonts w:ascii="Arial" w:hAnsi="Arial" w:cs="Arial"/>
          <w:szCs w:val="24"/>
          <w:lang w:val="es-UY"/>
        </w:rPr>
        <w:lastRenderedPageBreak/>
        <w:t>CONSTANCIA DE FUNDAMENTO DE VOTO DISCORDE DEL MINISTRO               ING. MIGUEL AUMENTO: “</w:t>
      </w:r>
      <w:r w:rsidRPr="00C97979">
        <w:rPr>
          <w:rFonts w:ascii="Arial" w:eastAsia="Calibri" w:hAnsi="Arial" w:cs="Arial"/>
          <w:b w:val="0"/>
          <w:color w:val="auto"/>
        </w:rPr>
        <w:t>He concluido que no corresponde la causal de observación formulada por el Tribunal de Cuentas en oportunidad del gasto originario (respecto al Artículo 48 Literal C y Artículo 65 del TOCAF), según se explicará seguidamente.</w:t>
      </w:r>
    </w:p>
    <w:p w:rsidR="00C97979" w:rsidRDefault="00C97979" w:rsidP="00C97979">
      <w:pPr>
        <w:spacing w:line="360" w:lineRule="auto"/>
        <w:jc w:val="both"/>
        <w:rPr>
          <w:rFonts w:ascii="Arial" w:eastAsia="Calibri" w:hAnsi="Arial" w:cs="Arial"/>
          <w:b w:val="0"/>
          <w:color w:val="auto"/>
        </w:rPr>
      </w:pPr>
    </w:p>
    <w:p w:rsidR="00F649BB" w:rsidRPr="00F649BB" w:rsidRDefault="00F649BB" w:rsidP="00C97979">
      <w:pPr>
        <w:spacing w:line="360" w:lineRule="auto"/>
        <w:jc w:val="both"/>
        <w:rPr>
          <w:rFonts w:ascii="Arial" w:eastAsia="Calibri" w:hAnsi="Arial" w:cs="Arial"/>
          <w:b w:val="0"/>
          <w:color w:val="auto"/>
        </w:rPr>
      </w:pPr>
      <w:r w:rsidRPr="00F649BB">
        <w:rPr>
          <w:rFonts w:ascii="Arial" w:eastAsia="Calibri" w:hAnsi="Arial" w:cs="Arial"/>
          <w:b w:val="0"/>
          <w:color w:val="auto"/>
        </w:rPr>
        <w:t xml:space="preserve">La cuestión aquí es dirimir el grado de previsibilidad pretendido por el Legislador para la determinación de la calificación de ofertas, </w:t>
      </w:r>
      <w:r w:rsidRPr="00F649BB">
        <w:rPr>
          <w:rFonts w:ascii="Arial" w:eastAsia="Calibri" w:hAnsi="Arial" w:cs="Arial"/>
          <w:b w:val="0"/>
          <w:color w:val="auto"/>
          <w:u w:val="single"/>
        </w:rPr>
        <w:t>al momento de confeccionarse</w:t>
      </w:r>
      <w:r w:rsidRPr="00F649BB">
        <w:rPr>
          <w:rFonts w:ascii="Arial" w:eastAsia="Calibri" w:hAnsi="Arial" w:cs="Arial"/>
          <w:b w:val="0"/>
          <w:color w:val="auto"/>
        </w:rPr>
        <w:t xml:space="preserve"> </w:t>
      </w:r>
      <w:r w:rsidRPr="00F649BB">
        <w:rPr>
          <w:rFonts w:ascii="Arial" w:eastAsia="Calibri" w:hAnsi="Arial" w:cs="Arial"/>
          <w:b w:val="0"/>
          <w:color w:val="auto"/>
          <w:u w:val="single"/>
        </w:rPr>
        <w:t>el pliego</w:t>
      </w:r>
      <w:r w:rsidRPr="00F649BB">
        <w:rPr>
          <w:rFonts w:ascii="Arial" w:eastAsia="Calibri" w:hAnsi="Arial" w:cs="Arial"/>
          <w:b w:val="0"/>
          <w:color w:val="auto"/>
        </w:rPr>
        <w:t>.</w:t>
      </w:r>
    </w:p>
    <w:p w:rsidR="00C97979" w:rsidRDefault="00C97979" w:rsidP="00C97979">
      <w:pPr>
        <w:spacing w:line="360" w:lineRule="auto"/>
        <w:jc w:val="both"/>
        <w:rPr>
          <w:rFonts w:ascii="Arial" w:eastAsia="Calibri" w:hAnsi="Arial" w:cs="Arial"/>
          <w:b w:val="0"/>
          <w:color w:val="auto"/>
        </w:rPr>
      </w:pPr>
    </w:p>
    <w:p w:rsidR="00F649BB" w:rsidRPr="00F649BB" w:rsidRDefault="00F649BB" w:rsidP="00C97979">
      <w:pPr>
        <w:spacing w:line="360" w:lineRule="auto"/>
        <w:jc w:val="both"/>
        <w:rPr>
          <w:rFonts w:ascii="Arial" w:eastAsia="Calibri" w:hAnsi="Arial" w:cs="Arial"/>
          <w:b w:val="0"/>
          <w:color w:val="auto"/>
        </w:rPr>
      </w:pPr>
      <w:r w:rsidRPr="00F649BB">
        <w:rPr>
          <w:rFonts w:ascii="Arial" w:eastAsia="Calibri" w:hAnsi="Arial" w:cs="Arial"/>
          <w:b w:val="0"/>
          <w:color w:val="auto"/>
        </w:rPr>
        <w:t xml:space="preserve">A continuación se cita textualmente la normativa en cuestión: </w:t>
      </w:r>
      <w:r w:rsidRPr="00F649BB">
        <w:rPr>
          <w:rFonts w:ascii="Arial" w:eastAsia="Calibri" w:hAnsi="Arial" w:cs="Arial"/>
          <w:b w:val="0"/>
          <w:i/>
          <w:color w:val="auto"/>
        </w:rPr>
        <w:t xml:space="preserve">“Dicho pliego deberá contener como mínimo: A. La descripción del objeto. B. Las condiciones especiales o técnicas requeridas. C. </w:t>
      </w:r>
      <w:r w:rsidRPr="00F649BB">
        <w:rPr>
          <w:rFonts w:ascii="Arial" w:eastAsia="Calibri" w:hAnsi="Arial" w:cs="Arial"/>
          <w:b w:val="0"/>
          <w:i/>
          <w:color w:val="auto"/>
          <w:u w:val="single"/>
        </w:rPr>
        <w:t>El o los principales factores que se tendrán en cuenta para evaluar las ofertas, así</w:t>
      </w:r>
      <w:r w:rsidRPr="00F649BB">
        <w:rPr>
          <w:rFonts w:ascii="Arial" w:eastAsia="Calibri" w:hAnsi="Arial" w:cs="Arial"/>
          <w:b w:val="0"/>
          <w:i/>
          <w:color w:val="auto"/>
        </w:rPr>
        <w:t xml:space="preserve"> </w:t>
      </w:r>
      <w:r w:rsidRPr="00F649BB">
        <w:rPr>
          <w:rFonts w:ascii="Arial" w:eastAsia="Calibri" w:hAnsi="Arial" w:cs="Arial"/>
          <w:b w:val="0"/>
          <w:i/>
          <w:color w:val="auto"/>
          <w:u w:val="single"/>
        </w:rPr>
        <w:t>como la ponderación de cada uno a efectos de determinar la calificación asignada a cada oferta, en su caso</w:t>
      </w:r>
      <w:r w:rsidRPr="00F649BB">
        <w:rPr>
          <w:rFonts w:ascii="Arial" w:eastAsia="Calibri" w:hAnsi="Arial" w:cs="Arial"/>
          <w:b w:val="0"/>
          <w:i/>
          <w:color w:val="auto"/>
        </w:rPr>
        <w:t>…”</w:t>
      </w:r>
      <w:r w:rsidRPr="00F649BB">
        <w:rPr>
          <w:rFonts w:ascii="Arial" w:eastAsia="Calibri" w:hAnsi="Arial" w:cs="Arial"/>
          <w:b w:val="0"/>
          <w:color w:val="auto"/>
        </w:rPr>
        <w:t xml:space="preserve"> (</w:t>
      </w:r>
      <w:proofErr w:type="gramStart"/>
      <w:r w:rsidRPr="00F649BB">
        <w:rPr>
          <w:rFonts w:ascii="Arial" w:eastAsia="Calibri" w:hAnsi="Arial" w:cs="Arial"/>
          <w:b w:val="0"/>
          <w:color w:val="auto"/>
        </w:rPr>
        <w:t>el</w:t>
      </w:r>
      <w:proofErr w:type="gramEnd"/>
      <w:r w:rsidRPr="00F649BB">
        <w:rPr>
          <w:rFonts w:ascii="Arial" w:eastAsia="Calibri" w:hAnsi="Arial" w:cs="Arial"/>
          <w:b w:val="0"/>
          <w:color w:val="auto"/>
        </w:rPr>
        <w:t xml:space="preserve"> subrayado es mío).</w:t>
      </w:r>
    </w:p>
    <w:p w:rsidR="00F649BB" w:rsidRPr="00F649BB" w:rsidRDefault="00F649BB" w:rsidP="00C97979">
      <w:pPr>
        <w:spacing w:line="360" w:lineRule="auto"/>
        <w:rPr>
          <w:rFonts w:ascii="Arial" w:hAnsi="Arial" w:cs="Arial"/>
          <w:b w:val="0"/>
          <w:color w:val="auto"/>
        </w:rPr>
      </w:pPr>
    </w:p>
    <w:p w:rsidR="00F649BB" w:rsidRPr="00F649BB" w:rsidRDefault="00F649BB" w:rsidP="00C97979">
      <w:pPr>
        <w:spacing w:line="360" w:lineRule="auto"/>
        <w:jc w:val="both"/>
        <w:rPr>
          <w:rFonts w:ascii="Arial" w:eastAsia="Calibri" w:hAnsi="Arial" w:cs="Arial"/>
          <w:b w:val="0"/>
          <w:color w:val="auto"/>
        </w:rPr>
      </w:pPr>
      <w:r w:rsidRPr="00F649BB">
        <w:rPr>
          <w:rFonts w:ascii="Arial" w:eastAsia="Calibri" w:hAnsi="Arial" w:cs="Arial"/>
          <w:b w:val="0"/>
          <w:color w:val="auto"/>
        </w:rPr>
        <w:t>No comparto que se haya vulnerado el Artículo 48 del TOCAF, dado que la Administración actuante estableció los principales factores (a su propio juicio) y sus respectivas ponderaciones (pesos relativos) tal como preceptúa dicha norma, como obligación de mínima. A mi entender, la necesidad de determinar los criterios de asignación de puntajes dentro de cada factor no está indicada (ni para los factores cuantitativos ni mucho menos para los cualitativos, en su caso), efectuándose  dentro de los parámetros de discrecionalidad reglada y sana crítica de la Comisión Asesora de Adjudicaciones y en última instancia del Ordenador.</w:t>
      </w:r>
    </w:p>
    <w:p w:rsidR="00F649BB" w:rsidRPr="00F649BB" w:rsidRDefault="00F649BB" w:rsidP="00C97979">
      <w:pPr>
        <w:spacing w:line="360" w:lineRule="auto"/>
        <w:jc w:val="both"/>
        <w:rPr>
          <w:rFonts w:ascii="Arial" w:eastAsia="Calibri" w:hAnsi="Arial" w:cs="Arial"/>
          <w:b w:val="0"/>
          <w:color w:val="auto"/>
        </w:rPr>
      </w:pPr>
      <w:r w:rsidRPr="00F649BB">
        <w:rPr>
          <w:rFonts w:ascii="Arial" w:eastAsia="Calibri" w:hAnsi="Arial" w:cs="Arial"/>
          <w:b w:val="0"/>
          <w:color w:val="auto"/>
        </w:rPr>
        <w:t xml:space="preserve">De forma adicional, no se puede soslayar que la redacción dada contiene la expresión “principales factores”. En mi opinión, se reduce así la posibilidad interpretativa de que exista también la obligación de determinar la distribución </w:t>
      </w:r>
      <w:r w:rsidRPr="00F649BB">
        <w:rPr>
          <w:rFonts w:ascii="Arial" w:eastAsia="Calibri" w:hAnsi="Arial" w:cs="Arial"/>
          <w:b w:val="0"/>
          <w:color w:val="auto"/>
        </w:rPr>
        <w:lastRenderedPageBreak/>
        <w:t xml:space="preserve">de los puntajes en cada factor, </w:t>
      </w:r>
      <w:r w:rsidRPr="00F649BB">
        <w:rPr>
          <w:rFonts w:ascii="Arial" w:eastAsia="Calibri" w:hAnsi="Arial" w:cs="Arial"/>
          <w:b w:val="0"/>
          <w:color w:val="auto"/>
          <w:u w:val="single"/>
        </w:rPr>
        <w:t>si es que ello -como es el caso- no está consagrado a texto expreso</w:t>
      </w:r>
      <w:r w:rsidRPr="00F649BB">
        <w:rPr>
          <w:rFonts w:ascii="Arial" w:eastAsia="Calibri" w:hAnsi="Arial" w:cs="Arial"/>
          <w:b w:val="0"/>
          <w:color w:val="auto"/>
        </w:rPr>
        <w:t>; dado que además está sujeto a la posibilidad de la Administración circunscribir la definición de factores a los considerados como principales (para luego establecer sus respectivos pesos relativos).</w:t>
      </w:r>
    </w:p>
    <w:p w:rsidR="00F649BB" w:rsidRPr="00F649BB" w:rsidRDefault="00F649BB" w:rsidP="00C97979">
      <w:pPr>
        <w:spacing w:line="360" w:lineRule="auto"/>
        <w:rPr>
          <w:rFonts w:ascii="Arial" w:hAnsi="Arial" w:cs="Arial"/>
          <w:b w:val="0"/>
          <w:color w:val="auto"/>
        </w:rPr>
      </w:pPr>
    </w:p>
    <w:p w:rsidR="00F649BB" w:rsidRPr="00F649BB" w:rsidRDefault="00F649BB" w:rsidP="00C97979">
      <w:pPr>
        <w:spacing w:line="360" w:lineRule="auto"/>
        <w:jc w:val="both"/>
        <w:rPr>
          <w:rFonts w:ascii="Arial" w:eastAsia="Calibri" w:hAnsi="Arial" w:cs="Arial"/>
          <w:b w:val="0"/>
          <w:color w:val="auto"/>
        </w:rPr>
      </w:pPr>
      <w:r w:rsidRPr="00F649BB">
        <w:rPr>
          <w:rFonts w:ascii="Arial" w:eastAsia="Calibri" w:hAnsi="Arial" w:cs="Arial"/>
          <w:b w:val="0"/>
          <w:color w:val="auto"/>
        </w:rPr>
        <w:t xml:space="preserve">En la misma línea, dicha expresión no podría referir a </w:t>
      </w:r>
      <w:r w:rsidRPr="00F649BB">
        <w:rPr>
          <w:rFonts w:ascii="Arial" w:eastAsia="Calibri" w:hAnsi="Arial" w:cs="Arial"/>
          <w:b w:val="0"/>
          <w:color w:val="auto"/>
          <w:u w:val="single"/>
        </w:rPr>
        <w:t>todo factor</w:t>
      </w:r>
      <w:r w:rsidRPr="00F649BB">
        <w:rPr>
          <w:rFonts w:ascii="Arial" w:eastAsia="Calibri" w:hAnsi="Arial" w:cs="Arial"/>
          <w:b w:val="0"/>
          <w:color w:val="auto"/>
        </w:rPr>
        <w:t xml:space="preserve"> del primer nivel (fáctico y potencial) </w:t>
      </w:r>
      <w:r w:rsidRPr="00F649BB">
        <w:rPr>
          <w:rFonts w:ascii="Arial" w:eastAsia="Calibri" w:hAnsi="Arial" w:cs="Arial"/>
          <w:b w:val="0"/>
          <w:color w:val="auto"/>
          <w:u w:val="single"/>
        </w:rPr>
        <w:t>sin que incluya</w:t>
      </w:r>
      <w:r w:rsidRPr="00F649BB">
        <w:rPr>
          <w:rFonts w:ascii="Arial" w:eastAsia="Calibri" w:hAnsi="Arial" w:cs="Arial"/>
          <w:b w:val="0"/>
          <w:color w:val="auto"/>
        </w:rPr>
        <w:t xml:space="preserve"> a sub-factores de aquel que lo pudiera contener, dado que dichos sub-factores resultan imprescindibles para arribar al pretendido grado de previsibilidad en la calificación de ofertas (asignando puntajes dentro de cada sub-factor). Entonces, resultaría aún más difícil concluir que la expresión “principales factores” incluye a todo factor del eventual árbol jerárquico, dado que la facultad discrecional ya señalada sigue en pie.</w:t>
      </w:r>
    </w:p>
    <w:p w:rsidR="00F649BB" w:rsidRPr="00F649BB" w:rsidRDefault="00F649BB" w:rsidP="00C97979">
      <w:pPr>
        <w:spacing w:line="360" w:lineRule="auto"/>
        <w:rPr>
          <w:rFonts w:ascii="Arial" w:hAnsi="Arial" w:cs="Arial"/>
          <w:b w:val="0"/>
          <w:color w:val="auto"/>
        </w:rPr>
      </w:pPr>
    </w:p>
    <w:p w:rsidR="00F649BB" w:rsidRPr="00F649BB" w:rsidRDefault="00F649BB" w:rsidP="00C97979">
      <w:pPr>
        <w:spacing w:line="360" w:lineRule="auto"/>
        <w:jc w:val="both"/>
        <w:rPr>
          <w:rFonts w:ascii="Arial" w:eastAsia="Calibri" w:hAnsi="Arial" w:cs="Arial"/>
          <w:b w:val="0"/>
          <w:color w:val="auto"/>
        </w:rPr>
      </w:pPr>
      <w:r w:rsidRPr="00F649BB">
        <w:rPr>
          <w:rFonts w:ascii="Arial" w:eastAsia="Calibri" w:hAnsi="Arial" w:cs="Arial"/>
          <w:b w:val="0"/>
          <w:color w:val="auto"/>
        </w:rPr>
        <w:t>Por otro lado, cabe detenerse en lo preceptuado por el Artículo 65 del propio TOCAF, que expresa textualmente “…</w:t>
      </w:r>
      <w:r w:rsidRPr="00F649BB">
        <w:rPr>
          <w:rFonts w:ascii="Arial" w:eastAsia="Calibri" w:hAnsi="Arial" w:cs="Arial"/>
          <w:b w:val="0"/>
          <w:i/>
          <w:color w:val="auto"/>
        </w:rPr>
        <w:t>Examinada la admisibilidad de las ofertas, a</w:t>
      </w:r>
      <w:r w:rsidRPr="00F649BB">
        <w:rPr>
          <w:rFonts w:ascii="Arial" w:eastAsia="Calibri" w:hAnsi="Arial" w:cs="Arial"/>
          <w:b w:val="0"/>
          <w:color w:val="auto"/>
        </w:rPr>
        <w:t xml:space="preserve"> </w:t>
      </w:r>
      <w:r w:rsidRPr="00F649BB">
        <w:rPr>
          <w:rFonts w:ascii="Arial" w:eastAsia="Calibri" w:hAnsi="Arial" w:cs="Arial"/>
          <w:b w:val="0"/>
          <w:i/>
          <w:color w:val="auto"/>
        </w:rPr>
        <w:t>los efectos de determinar la oferta más conveniente a los intereses de la</w:t>
      </w:r>
      <w:bookmarkStart w:id="1" w:name="page2"/>
      <w:bookmarkEnd w:id="1"/>
      <w:r w:rsidRPr="00F649BB">
        <w:rPr>
          <w:rFonts w:ascii="Arial" w:eastAsia="Calibri" w:hAnsi="Arial" w:cs="Arial"/>
          <w:b w:val="0"/>
          <w:i/>
          <w:color w:val="auto"/>
        </w:rPr>
        <w:t xml:space="preserve"> Administración pública y las necesidades del servicio, </w:t>
      </w:r>
      <w:r w:rsidRPr="00F649BB">
        <w:rPr>
          <w:rFonts w:ascii="Arial" w:eastAsia="Calibri" w:hAnsi="Arial" w:cs="Arial"/>
          <w:b w:val="0"/>
          <w:i/>
          <w:color w:val="auto"/>
          <w:u w:val="single"/>
        </w:rPr>
        <w:t>se tendrán en cuenta los</w:t>
      </w:r>
      <w:r w:rsidRPr="00F649BB">
        <w:rPr>
          <w:rFonts w:ascii="Arial" w:eastAsia="Calibri" w:hAnsi="Arial" w:cs="Arial"/>
          <w:b w:val="0"/>
          <w:i/>
          <w:color w:val="auto"/>
        </w:rPr>
        <w:t xml:space="preserve"> </w:t>
      </w:r>
      <w:r w:rsidRPr="00F649BB">
        <w:rPr>
          <w:rFonts w:ascii="Arial" w:eastAsia="Calibri" w:hAnsi="Arial" w:cs="Arial"/>
          <w:b w:val="0"/>
          <w:i/>
          <w:color w:val="auto"/>
          <w:u w:val="single"/>
        </w:rPr>
        <w:t>factores de evaluación cuantitativos y cualitativos aplicables en cada caso, que deberán constar en el pliego de condiciones particulares</w:t>
      </w:r>
      <w:r w:rsidRPr="00F649BB">
        <w:rPr>
          <w:rFonts w:ascii="Arial" w:eastAsia="Calibri" w:hAnsi="Arial" w:cs="Arial"/>
          <w:b w:val="0"/>
          <w:i/>
          <w:color w:val="auto"/>
        </w:rPr>
        <w:t xml:space="preserve"> </w:t>
      </w:r>
      <w:r w:rsidRPr="00F649BB">
        <w:rPr>
          <w:rFonts w:ascii="Arial" w:eastAsia="Calibri" w:hAnsi="Arial" w:cs="Arial"/>
          <w:b w:val="0"/>
          <w:color w:val="auto"/>
        </w:rPr>
        <w:t>(el subrayado es mío).</w:t>
      </w:r>
    </w:p>
    <w:p w:rsidR="00F649BB" w:rsidRPr="00F649BB" w:rsidRDefault="00F649BB" w:rsidP="00C97979">
      <w:pPr>
        <w:spacing w:line="360" w:lineRule="auto"/>
        <w:rPr>
          <w:rFonts w:ascii="Arial" w:hAnsi="Arial" w:cs="Arial"/>
          <w:b w:val="0"/>
          <w:color w:val="auto"/>
          <w:sz w:val="20"/>
        </w:rPr>
      </w:pPr>
    </w:p>
    <w:p w:rsidR="00F649BB" w:rsidRPr="00F649BB" w:rsidRDefault="00F649BB" w:rsidP="00C97979">
      <w:pPr>
        <w:spacing w:line="360" w:lineRule="auto"/>
        <w:rPr>
          <w:rFonts w:ascii="Arial" w:eastAsia="Calibri" w:hAnsi="Arial" w:cs="Arial"/>
          <w:b w:val="0"/>
          <w:i/>
          <w:color w:val="auto"/>
        </w:rPr>
      </w:pPr>
      <w:r w:rsidRPr="00F649BB">
        <w:rPr>
          <w:rFonts w:ascii="Arial" w:eastAsia="Calibri" w:hAnsi="Arial" w:cs="Arial"/>
          <w:b w:val="0"/>
          <w:i/>
          <w:color w:val="auto"/>
        </w:rPr>
        <w:t>Se deberá:</w:t>
      </w:r>
    </w:p>
    <w:p w:rsidR="00F649BB" w:rsidRPr="00F649BB" w:rsidRDefault="00F649BB" w:rsidP="00C97979">
      <w:pPr>
        <w:spacing w:line="360" w:lineRule="auto"/>
        <w:rPr>
          <w:rFonts w:ascii="Arial" w:hAnsi="Arial" w:cs="Arial"/>
          <w:b w:val="0"/>
          <w:color w:val="auto"/>
          <w:sz w:val="20"/>
        </w:rPr>
      </w:pPr>
    </w:p>
    <w:p w:rsidR="00F649BB" w:rsidRPr="00F649BB" w:rsidRDefault="00F649BB" w:rsidP="00C97979">
      <w:pPr>
        <w:numPr>
          <w:ilvl w:val="0"/>
          <w:numId w:val="3"/>
        </w:numPr>
        <w:tabs>
          <w:tab w:val="left" w:pos="740"/>
        </w:tabs>
        <w:spacing w:line="360" w:lineRule="auto"/>
        <w:rPr>
          <w:rFonts w:ascii="Arial" w:eastAsia="Calibri" w:hAnsi="Arial" w:cs="Arial"/>
          <w:b w:val="0"/>
          <w:i/>
          <w:color w:val="auto"/>
        </w:rPr>
      </w:pPr>
      <w:r w:rsidRPr="00F649BB">
        <w:rPr>
          <w:rFonts w:ascii="Arial" w:eastAsia="Calibri" w:hAnsi="Arial" w:cs="Arial"/>
          <w:b w:val="0"/>
          <w:i/>
          <w:color w:val="auto"/>
        </w:rPr>
        <w:t>Prever razonablemente una ejecución efectiva y eficiente del contrato.</w:t>
      </w:r>
    </w:p>
    <w:p w:rsidR="00F649BB" w:rsidRPr="00F649BB" w:rsidRDefault="00F649BB" w:rsidP="00C97979">
      <w:pPr>
        <w:spacing w:line="360" w:lineRule="auto"/>
        <w:rPr>
          <w:rFonts w:ascii="Arial" w:eastAsia="Calibri" w:hAnsi="Arial" w:cs="Arial"/>
          <w:b w:val="0"/>
          <w:i/>
          <w:color w:val="auto"/>
        </w:rPr>
      </w:pPr>
    </w:p>
    <w:p w:rsidR="00F649BB" w:rsidRPr="00F649BB" w:rsidRDefault="00F649BB" w:rsidP="00C97979">
      <w:pPr>
        <w:numPr>
          <w:ilvl w:val="0"/>
          <w:numId w:val="3"/>
        </w:numPr>
        <w:tabs>
          <w:tab w:val="left" w:pos="730"/>
        </w:tabs>
        <w:spacing w:line="360" w:lineRule="auto"/>
        <w:rPr>
          <w:rFonts w:ascii="Arial" w:eastAsia="Calibri" w:hAnsi="Arial" w:cs="Arial"/>
          <w:b w:val="0"/>
          <w:i/>
          <w:color w:val="auto"/>
        </w:rPr>
      </w:pPr>
      <w:r w:rsidRPr="00F649BB">
        <w:rPr>
          <w:rFonts w:ascii="Arial" w:eastAsia="Calibri" w:hAnsi="Arial" w:cs="Arial"/>
          <w:b w:val="0"/>
          <w:i/>
          <w:color w:val="auto"/>
        </w:rPr>
        <w:t>Obtener las mejores condiciones de contratación de acuerdo con las necesidades de la Administración.</w:t>
      </w:r>
    </w:p>
    <w:p w:rsidR="00F649BB" w:rsidRPr="00F649BB" w:rsidRDefault="00F649BB" w:rsidP="00C97979">
      <w:pPr>
        <w:spacing w:line="360" w:lineRule="auto"/>
        <w:rPr>
          <w:rFonts w:ascii="Arial" w:eastAsia="Calibri" w:hAnsi="Arial" w:cs="Arial"/>
          <w:b w:val="0"/>
          <w:i/>
          <w:color w:val="auto"/>
        </w:rPr>
      </w:pPr>
    </w:p>
    <w:p w:rsidR="00F649BB" w:rsidRPr="00F649BB" w:rsidRDefault="00F649BB" w:rsidP="00C97979">
      <w:pPr>
        <w:numPr>
          <w:ilvl w:val="0"/>
          <w:numId w:val="3"/>
        </w:numPr>
        <w:tabs>
          <w:tab w:val="left" w:pos="739"/>
        </w:tabs>
        <w:spacing w:line="360" w:lineRule="auto"/>
        <w:rPr>
          <w:rFonts w:ascii="Arial" w:eastAsia="Calibri" w:hAnsi="Arial" w:cs="Arial"/>
          <w:b w:val="0"/>
          <w:i/>
          <w:color w:val="auto"/>
        </w:rPr>
      </w:pPr>
      <w:r w:rsidRPr="00F649BB">
        <w:rPr>
          <w:rFonts w:ascii="Arial" w:eastAsia="Calibri" w:hAnsi="Arial" w:cs="Arial"/>
          <w:b w:val="0"/>
          <w:i/>
          <w:color w:val="auto"/>
          <w:u w:val="single"/>
        </w:rPr>
        <w:lastRenderedPageBreak/>
        <w:t>Juzgar los antecedentes de los oferentes y el contenido de las ofertas en base a los criterios objetivos que se determinen en los pliegos</w:t>
      </w:r>
      <w:r w:rsidRPr="00F649BB">
        <w:rPr>
          <w:rFonts w:ascii="Arial" w:eastAsia="Calibri" w:hAnsi="Arial" w:cs="Arial"/>
          <w:b w:val="0"/>
          <w:i/>
          <w:color w:val="auto"/>
        </w:rPr>
        <w:t xml:space="preserve">” </w:t>
      </w:r>
      <w:r w:rsidRPr="00F649BB">
        <w:rPr>
          <w:rFonts w:ascii="Arial" w:eastAsia="Calibri" w:hAnsi="Arial" w:cs="Arial"/>
          <w:b w:val="0"/>
          <w:color w:val="auto"/>
        </w:rPr>
        <w:t>(el subrayado es mío).</w:t>
      </w:r>
    </w:p>
    <w:p w:rsidR="00F649BB" w:rsidRPr="00F649BB" w:rsidRDefault="00F649BB" w:rsidP="00C97979">
      <w:pPr>
        <w:spacing w:line="360" w:lineRule="auto"/>
        <w:rPr>
          <w:rFonts w:ascii="Arial" w:hAnsi="Arial" w:cs="Arial"/>
          <w:b w:val="0"/>
          <w:color w:val="auto"/>
          <w:sz w:val="20"/>
        </w:rPr>
      </w:pPr>
    </w:p>
    <w:p w:rsidR="00F649BB" w:rsidRPr="00F649BB" w:rsidRDefault="00F649BB" w:rsidP="00C97979">
      <w:pPr>
        <w:spacing w:line="360" w:lineRule="auto"/>
        <w:rPr>
          <w:rFonts w:ascii="Arial" w:hAnsi="Arial" w:cs="Arial"/>
          <w:b w:val="0"/>
          <w:color w:val="auto"/>
          <w:sz w:val="20"/>
        </w:rPr>
      </w:pPr>
    </w:p>
    <w:p w:rsidR="00F649BB" w:rsidRPr="00F649BB" w:rsidRDefault="00F649BB" w:rsidP="00C97979">
      <w:pPr>
        <w:spacing w:line="360" w:lineRule="auto"/>
        <w:jc w:val="both"/>
        <w:rPr>
          <w:rFonts w:ascii="Arial" w:eastAsia="Calibri" w:hAnsi="Arial" w:cs="Arial"/>
          <w:b w:val="0"/>
          <w:color w:val="auto"/>
        </w:rPr>
      </w:pPr>
      <w:r w:rsidRPr="00F649BB">
        <w:rPr>
          <w:rFonts w:ascii="Arial" w:eastAsia="Calibri" w:hAnsi="Arial" w:cs="Arial"/>
          <w:b w:val="0"/>
          <w:color w:val="auto"/>
        </w:rPr>
        <w:t xml:space="preserve">Los Artículos 48 y 65 del TOCAF provienen de la misma Ley 18.834 (Artículos 29 y 39 respectivamente), pero no se puede obviar que éste último refiere a la actuación de la Comisión Asesora de Adjudicaciones (fase esencial), mientras que el Artículo 48 </w:t>
      </w:r>
      <w:r w:rsidRPr="00F649BB">
        <w:rPr>
          <w:rFonts w:ascii="Arial" w:eastAsia="Calibri" w:hAnsi="Arial" w:cs="Arial"/>
          <w:b w:val="0"/>
          <w:color w:val="auto"/>
          <w:u w:val="single"/>
        </w:rPr>
        <w:t>hace inequívocamente a la confección del pliego</w:t>
      </w:r>
      <w:r w:rsidRPr="00F649BB">
        <w:rPr>
          <w:rFonts w:ascii="Arial" w:eastAsia="Calibri" w:hAnsi="Arial" w:cs="Arial"/>
          <w:b w:val="0"/>
          <w:color w:val="auto"/>
        </w:rPr>
        <w:t xml:space="preserve"> (etapa preparatoria). </w:t>
      </w:r>
    </w:p>
    <w:p w:rsidR="00F649BB" w:rsidRPr="00F649BB" w:rsidRDefault="00F649BB" w:rsidP="00C97979">
      <w:pPr>
        <w:spacing w:line="360" w:lineRule="auto"/>
        <w:jc w:val="both"/>
        <w:rPr>
          <w:rFonts w:ascii="Arial" w:eastAsia="Calibri" w:hAnsi="Arial" w:cs="Arial"/>
          <w:b w:val="0"/>
          <w:color w:val="auto"/>
        </w:rPr>
      </w:pPr>
    </w:p>
    <w:p w:rsidR="00F649BB" w:rsidRPr="00F649BB" w:rsidRDefault="00F649BB" w:rsidP="00C97979">
      <w:pPr>
        <w:spacing w:line="360" w:lineRule="auto"/>
        <w:jc w:val="both"/>
        <w:rPr>
          <w:rFonts w:ascii="Arial" w:eastAsia="Calibri" w:hAnsi="Arial" w:cs="Arial"/>
          <w:b w:val="0"/>
          <w:color w:val="auto"/>
        </w:rPr>
      </w:pPr>
      <w:r w:rsidRPr="00F649BB">
        <w:rPr>
          <w:rFonts w:ascii="Arial" w:eastAsia="Calibri" w:hAnsi="Arial" w:cs="Arial"/>
          <w:b w:val="0"/>
          <w:color w:val="auto"/>
        </w:rPr>
        <w:t xml:space="preserve">En mi opinión, el Artículo 65 precitado exige que dicha Comisión evalúe las ofertas en base a la información dada en el pliego sobre los factores allí determinados y sobre las ponderaciones definidas para aquellos. Esto es, más allá de la sana crítica con la que debe observarse cada uno de los factores, no cabe </w:t>
      </w:r>
      <w:r w:rsidRPr="00F649BB">
        <w:rPr>
          <w:rFonts w:ascii="Arial" w:eastAsia="Calibri" w:hAnsi="Arial" w:cs="Arial"/>
          <w:b w:val="0"/>
          <w:color w:val="auto"/>
          <w:u w:val="single"/>
        </w:rPr>
        <w:t>posibilidad alguna de evaluar</w:t>
      </w:r>
      <w:r w:rsidRPr="00F649BB">
        <w:rPr>
          <w:rFonts w:ascii="Arial" w:eastAsia="Calibri" w:hAnsi="Arial" w:cs="Arial"/>
          <w:b w:val="0"/>
          <w:color w:val="FF0000"/>
          <w:u w:val="single"/>
        </w:rPr>
        <w:t xml:space="preserve"> </w:t>
      </w:r>
      <w:r w:rsidRPr="00F649BB">
        <w:rPr>
          <w:rFonts w:ascii="Arial" w:eastAsia="Calibri" w:hAnsi="Arial" w:cs="Arial"/>
          <w:b w:val="0"/>
          <w:color w:val="auto"/>
          <w:u w:val="single"/>
        </w:rPr>
        <w:t>cambiando los factores, ni alterando sus respectivos pesos relativos,</w:t>
      </w:r>
      <w:r w:rsidRPr="00F649BB">
        <w:rPr>
          <w:rFonts w:ascii="Arial" w:eastAsia="Calibri" w:hAnsi="Arial" w:cs="Arial"/>
          <w:b w:val="0"/>
          <w:color w:val="auto"/>
        </w:rPr>
        <w:t xml:space="preserve"> </w:t>
      </w:r>
      <w:r w:rsidRPr="00F649BB">
        <w:rPr>
          <w:rFonts w:ascii="Arial" w:eastAsia="Calibri" w:hAnsi="Arial" w:cs="Arial"/>
          <w:color w:val="auto"/>
        </w:rPr>
        <w:t>como criterio objetivo de actuación</w:t>
      </w:r>
      <w:r w:rsidRPr="00F649BB">
        <w:rPr>
          <w:rFonts w:ascii="Arial" w:eastAsia="Calibri" w:hAnsi="Arial" w:cs="Arial"/>
          <w:b w:val="0"/>
          <w:color w:val="auto"/>
        </w:rPr>
        <w:t>. En suma, entiendo que se procuró aportar previsibilidad normada al obrar de la Comisión en consistencia con los criterios de evaluación especificados en las bases.</w:t>
      </w:r>
    </w:p>
    <w:p w:rsidR="00F649BB" w:rsidRPr="00F649BB" w:rsidRDefault="00F649BB" w:rsidP="00C97979">
      <w:pPr>
        <w:spacing w:line="360" w:lineRule="auto"/>
        <w:rPr>
          <w:rFonts w:ascii="Arial" w:hAnsi="Arial" w:cs="Arial"/>
          <w:b w:val="0"/>
          <w:color w:val="auto"/>
          <w:sz w:val="20"/>
        </w:rPr>
      </w:pPr>
    </w:p>
    <w:p w:rsidR="00F649BB" w:rsidRPr="00F649BB" w:rsidRDefault="00F649BB" w:rsidP="00C97979">
      <w:pPr>
        <w:spacing w:line="360" w:lineRule="auto"/>
        <w:rPr>
          <w:rFonts w:ascii="Arial" w:hAnsi="Arial" w:cs="Arial"/>
          <w:b w:val="0"/>
          <w:color w:val="auto"/>
          <w:sz w:val="20"/>
        </w:rPr>
      </w:pPr>
    </w:p>
    <w:p w:rsidR="00F649BB" w:rsidRPr="00F649BB" w:rsidRDefault="00F649BB" w:rsidP="00C97979">
      <w:pPr>
        <w:spacing w:line="360" w:lineRule="auto"/>
        <w:jc w:val="both"/>
        <w:rPr>
          <w:rFonts w:ascii="Arial" w:eastAsia="Calibri" w:hAnsi="Arial" w:cs="Arial"/>
          <w:b w:val="0"/>
          <w:color w:val="auto"/>
        </w:rPr>
      </w:pPr>
      <w:r w:rsidRPr="00F649BB">
        <w:rPr>
          <w:rFonts w:ascii="Arial" w:eastAsia="Calibri" w:hAnsi="Arial" w:cs="Arial"/>
          <w:b w:val="0"/>
          <w:color w:val="auto"/>
        </w:rPr>
        <w:t>Dicho todo esto, bastaba con que el Legislador hubiera dispuesto, en la norma que hace indubitablemente al contenido mínimo de los pliegos (Artículo 48 del TOCAF), su voluntad expresa de que se elaboraran criterios de valoración al nivel de detalle que nos ocupa en este caso.</w:t>
      </w:r>
    </w:p>
    <w:p w:rsidR="00F649BB" w:rsidRPr="00F649BB" w:rsidRDefault="00F649BB" w:rsidP="00C97979">
      <w:pPr>
        <w:spacing w:line="360" w:lineRule="auto"/>
        <w:rPr>
          <w:rFonts w:ascii="Arial" w:hAnsi="Arial" w:cs="Arial"/>
          <w:b w:val="0"/>
          <w:color w:val="auto"/>
          <w:sz w:val="20"/>
        </w:rPr>
      </w:pPr>
    </w:p>
    <w:p w:rsidR="00F649BB" w:rsidRPr="00F649BB" w:rsidRDefault="00F649BB" w:rsidP="00C97979">
      <w:pPr>
        <w:spacing w:line="360" w:lineRule="auto"/>
        <w:jc w:val="both"/>
        <w:rPr>
          <w:rFonts w:ascii="Arial" w:eastAsia="Calibri" w:hAnsi="Arial" w:cs="Arial"/>
          <w:b w:val="0"/>
          <w:color w:val="auto"/>
        </w:rPr>
      </w:pPr>
      <w:r w:rsidRPr="00F649BB">
        <w:rPr>
          <w:rFonts w:ascii="Arial" w:eastAsia="Calibri" w:hAnsi="Arial" w:cs="Arial"/>
          <w:b w:val="0"/>
          <w:color w:val="auto"/>
        </w:rPr>
        <w:t xml:space="preserve">Al respecto, resulta ahora indispensable señalar que el régimen de contratación pública, y en particular todo lo que refiere a la inclusión de mayor información en los pliegos en lo respecta a evaluación de ofertas, </w:t>
      </w:r>
      <w:r w:rsidRPr="00F649BB">
        <w:rPr>
          <w:rFonts w:ascii="Arial" w:eastAsia="Calibri" w:hAnsi="Arial" w:cs="Arial"/>
          <w:b w:val="0"/>
          <w:color w:val="auto"/>
          <w:u w:val="single"/>
        </w:rPr>
        <w:t>ha tenido una evolución</w:t>
      </w:r>
      <w:r w:rsidRPr="00F649BB">
        <w:rPr>
          <w:rFonts w:ascii="Arial" w:eastAsia="Calibri" w:hAnsi="Arial" w:cs="Arial"/>
          <w:b w:val="0"/>
          <w:color w:val="auto"/>
        </w:rPr>
        <w:t xml:space="preserve"> </w:t>
      </w:r>
      <w:r w:rsidRPr="00F649BB">
        <w:rPr>
          <w:rFonts w:ascii="Arial" w:eastAsia="Calibri" w:hAnsi="Arial" w:cs="Arial"/>
          <w:b w:val="0"/>
          <w:color w:val="auto"/>
          <w:u w:val="single"/>
        </w:rPr>
        <w:t>normativa lógica y gradual</w:t>
      </w:r>
      <w:r w:rsidRPr="00F649BB">
        <w:rPr>
          <w:rFonts w:ascii="Arial" w:eastAsia="Calibri" w:hAnsi="Arial" w:cs="Arial"/>
          <w:b w:val="0"/>
          <w:color w:val="auto"/>
        </w:rPr>
        <w:t xml:space="preserve">. El Decreto No. 104 del año 1968 y posteriormente </w:t>
      </w:r>
      <w:r w:rsidRPr="00F649BB">
        <w:rPr>
          <w:rFonts w:ascii="Arial" w:eastAsia="Calibri" w:hAnsi="Arial" w:cs="Arial"/>
          <w:b w:val="0"/>
          <w:color w:val="auto"/>
        </w:rPr>
        <w:lastRenderedPageBreak/>
        <w:t xml:space="preserve">la Ley 15.903 del año 1987, establecían </w:t>
      </w:r>
      <w:r w:rsidRPr="00F649BB">
        <w:rPr>
          <w:rFonts w:ascii="Arial" w:eastAsia="Calibri" w:hAnsi="Arial" w:cs="Arial"/>
          <w:b w:val="0"/>
          <w:color w:val="auto"/>
          <w:u w:val="single"/>
        </w:rPr>
        <w:t>solamente que la adjudicación se hará a la oferta que se considere más conveniente, sin que sea preciso hacer la adjudicación a favor de la de menor precio, salvo en identidad de circunstancias y calidad</w:t>
      </w:r>
      <w:r w:rsidRPr="00F649BB">
        <w:rPr>
          <w:rFonts w:ascii="Arial" w:eastAsia="Calibri" w:hAnsi="Arial" w:cs="Arial"/>
          <w:b w:val="0"/>
          <w:color w:val="auto"/>
        </w:rPr>
        <w:t xml:space="preserve">. La ley 16.170 del año 1990, configuró reformas significativas en lo que refiere a compras estatales en general. Desde allí, se incluyó la obligación que el pliego contenga </w:t>
      </w:r>
      <w:r w:rsidRPr="00F649BB">
        <w:rPr>
          <w:rFonts w:ascii="Arial" w:eastAsia="Calibri" w:hAnsi="Arial" w:cs="Arial"/>
          <w:b w:val="0"/>
          <w:color w:val="auto"/>
          <w:u w:val="single"/>
        </w:rPr>
        <w:t>los</w:t>
      </w:r>
      <w:r w:rsidRPr="00F649BB">
        <w:rPr>
          <w:rFonts w:ascii="Arial" w:eastAsia="Calibri" w:hAnsi="Arial" w:cs="Arial"/>
          <w:b w:val="0"/>
          <w:color w:val="auto"/>
        </w:rPr>
        <w:t xml:space="preserve"> </w:t>
      </w:r>
      <w:r w:rsidRPr="00F649BB">
        <w:rPr>
          <w:rFonts w:ascii="Arial" w:eastAsia="Calibri" w:hAnsi="Arial" w:cs="Arial"/>
          <w:b w:val="0"/>
          <w:color w:val="auto"/>
          <w:u w:val="single"/>
        </w:rPr>
        <w:t>principales factores que se tendrán en cuenta además del precio para evaluar las ofertas</w:t>
      </w:r>
      <w:r w:rsidRPr="00F649BB">
        <w:rPr>
          <w:rFonts w:ascii="Arial" w:eastAsia="Calibri" w:hAnsi="Arial" w:cs="Arial"/>
          <w:b w:val="0"/>
          <w:color w:val="auto"/>
        </w:rPr>
        <w:t>.</w:t>
      </w:r>
      <w:bookmarkStart w:id="2" w:name="page3"/>
      <w:bookmarkEnd w:id="2"/>
    </w:p>
    <w:p w:rsidR="00F649BB" w:rsidRPr="00F649BB" w:rsidRDefault="00F649BB" w:rsidP="00C97979">
      <w:pPr>
        <w:spacing w:line="360" w:lineRule="auto"/>
        <w:jc w:val="both"/>
        <w:rPr>
          <w:rFonts w:ascii="Arial" w:eastAsia="Calibri" w:hAnsi="Arial" w:cs="Arial"/>
          <w:b w:val="0"/>
          <w:color w:val="auto"/>
        </w:rPr>
      </w:pPr>
      <w:r w:rsidRPr="00F649BB">
        <w:rPr>
          <w:rFonts w:ascii="Arial" w:eastAsia="Calibri" w:hAnsi="Arial" w:cs="Arial"/>
          <w:b w:val="0"/>
          <w:color w:val="auto"/>
        </w:rPr>
        <w:t xml:space="preserve">Finalmente, en el año 2011 a través de la Ley 18.834, se dispuso la actual redacción del Artículo 48 del TOCAF, avanzando en la exigencia -en mi opinión- de que los pliegos al menos determinen, </w:t>
      </w:r>
      <w:r w:rsidRPr="00F649BB">
        <w:rPr>
          <w:rFonts w:ascii="Arial" w:eastAsia="Calibri" w:hAnsi="Arial" w:cs="Arial"/>
          <w:b w:val="0"/>
          <w:color w:val="auto"/>
          <w:u w:val="single"/>
        </w:rPr>
        <w:t>no sólo los principales factores, sino también la</w:t>
      </w:r>
      <w:r w:rsidRPr="00F649BB">
        <w:rPr>
          <w:rFonts w:ascii="Arial" w:eastAsia="Calibri" w:hAnsi="Arial" w:cs="Arial"/>
          <w:b w:val="0"/>
          <w:color w:val="auto"/>
        </w:rPr>
        <w:t xml:space="preserve"> </w:t>
      </w:r>
      <w:r w:rsidRPr="00F649BB">
        <w:rPr>
          <w:rFonts w:ascii="Arial" w:eastAsia="Calibri" w:hAnsi="Arial" w:cs="Arial"/>
          <w:b w:val="0"/>
          <w:color w:val="auto"/>
          <w:u w:val="single"/>
        </w:rPr>
        <w:t>ponderación de cada uno de ellos</w:t>
      </w:r>
      <w:r w:rsidRPr="00F649BB">
        <w:rPr>
          <w:rFonts w:ascii="Arial" w:eastAsia="Calibri" w:hAnsi="Arial" w:cs="Arial"/>
          <w:b w:val="0"/>
          <w:color w:val="auto"/>
        </w:rPr>
        <w:t>.</w:t>
      </w:r>
    </w:p>
    <w:p w:rsidR="00F649BB" w:rsidRPr="00F649BB" w:rsidRDefault="00F649BB" w:rsidP="00C97979">
      <w:pPr>
        <w:spacing w:line="360" w:lineRule="auto"/>
        <w:rPr>
          <w:rFonts w:ascii="Arial" w:hAnsi="Arial" w:cs="Arial"/>
          <w:b w:val="0"/>
          <w:color w:val="auto"/>
          <w:sz w:val="20"/>
        </w:rPr>
      </w:pPr>
    </w:p>
    <w:p w:rsidR="00F649BB" w:rsidRPr="00F649BB" w:rsidRDefault="00F649BB" w:rsidP="00C97979">
      <w:pPr>
        <w:spacing w:line="360" w:lineRule="auto"/>
        <w:jc w:val="both"/>
        <w:rPr>
          <w:rFonts w:ascii="Arial" w:eastAsia="Calibri" w:hAnsi="Arial" w:cs="Arial"/>
          <w:b w:val="0"/>
          <w:color w:val="auto"/>
        </w:rPr>
      </w:pPr>
      <w:r w:rsidRPr="00F649BB">
        <w:rPr>
          <w:rFonts w:ascii="Arial" w:eastAsia="Calibri" w:hAnsi="Arial" w:cs="Arial"/>
          <w:b w:val="0"/>
          <w:color w:val="auto"/>
        </w:rPr>
        <w:t>Por cierto, las entidades públicas estatales pueden confeccionar sus pliegos con criterios superiores a los mínimos exigidos en la normativa vigente, pero luego, inevitablemente, deberán respetarlos a la hora de evaluar las propuestas y tomar luego la decisión de adjudicación.</w:t>
      </w:r>
    </w:p>
    <w:p w:rsidR="00F649BB" w:rsidRPr="00F649BB" w:rsidRDefault="00F649BB" w:rsidP="00C97979">
      <w:pPr>
        <w:spacing w:line="360" w:lineRule="auto"/>
        <w:rPr>
          <w:rFonts w:ascii="Arial" w:hAnsi="Arial" w:cs="Arial"/>
          <w:b w:val="0"/>
          <w:color w:val="auto"/>
          <w:sz w:val="20"/>
        </w:rPr>
      </w:pPr>
    </w:p>
    <w:p w:rsidR="00F649BB" w:rsidRPr="00F649BB" w:rsidRDefault="00F649BB" w:rsidP="00C97979">
      <w:pPr>
        <w:spacing w:line="360" w:lineRule="auto"/>
        <w:jc w:val="both"/>
        <w:rPr>
          <w:rFonts w:ascii="Arial" w:eastAsia="Calibri" w:hAnsi="Arial" w:cs="Arial"/>
          <w:b w:val="0"/>
          <w:color w:val="auto"/>
        </w:rPr>
      </w:pPr>
      <w:r w:rsidRPr="00F649BB">
        <w:rPr>
          <w:rFonts w:ascii="Arial" w:eastAsia="Calibri" w:hAnsi="Arial" w:cs="Arial"/>
          <w:b w:val="0"/>
          <w:color w:val="auto"/>
        </w:rPr>
        <w:t>Por último, entiendo que puede resultar oportuno avanzar normativamente en la temática en cuestión, compartiendo el fin perseguido por el Tribunal respecto a una mayor previsibilidad en los criterios de evaluación de ofertas. No obstante, a mi entender dicha finalidad se encuentra hoy más alineada al concepto de “buenas prácticas” que a lo establecido efectivamente en las normas en vigencia.</w:t>
      </w:r>
    </w:p>
    <w:p w:rsidR="00F649BB" w:rsidRPr="00F649BB" w:rsidRDefault="00F649BB" w:rsidP="00C97979">
      <w:pPr>
        <w:spacing w:line="360" w:lineRule="auto"/>
        <w:rPr>
          <w:rFonts w:ascii="Arial" w:hAnsi="Arial" w:cs="Arial"/>
          <w:b w:val="0"/>
          <w:color w:val="auto"/>
          <w:sz w:val="20"/>
        </w:rPr>
      </w:pPr>
    </w:p>
    <w:p w:rsidR="00F649BB" w:rsidRPr="00F649BB" w:rsidRDefault="00F649BB" w:rsidP="00C97979">
      <w:pPr>
        <w:spacing w:line="360" w:lineRule="auto"/>
        <w:jc w:val="both"/>
        <w:rPr>
          <w:rFonts w:ascii="Arial" w:eastAsia="Calibri" w:hAnsi="Arial" w:cs="Arial"/>
          <w:b w:val="0"/>
          <w:color w:val="auto"/>
        </w:rPr>
      </w:pPr>
      <w:r w:rsidRPr="00F649BB">
        <w:rPr>
          <w:rFonts w:ascii="Arial" w:eastAsia="Calibri" w:hAnsi="Arial" w:cs="Arial"/>
          <w:b w:val="0"/>
          <w:color w:val="auto"/>
        </w:rPr>
        <w:t>Por todo lo expuesto, he votado en forma discorde la Resolución de este expediente.</w:t>
      </w:r>
      <w:r w:rsidR="00C97979">
        <w:rPr>
          <w:rFonts w:ascii="Arial" w:eastAsia="Calibri" w:hAnsi="Arial" w:cs="Arial"/>
          <w:b w:val="0"/>
          <w:color w:val="auto"/>
        </w:rPr>
        <w:t>”</w:t>
      </w:r>
      <w:r w:rsidRPr="00F649BB">
        <w:rPr>
          <w:rFonts w:ascii="Arial" w:eastAsia="Calibri" w:hAnsi="Arial" w:cs="Arial"/>
          <w:b w:val="0"/>
          <w:color w:val="auto"/>
        </w:rPr>
        <w:t>-</w:t>
      </w:r>
    </w:p>
    <w:p w:rsidR="00F649BB" w:rsidRPr="00F649BB" w:rsidRDefault="00F649BB" w:rsidP="00D71A3A">
      <w:pPr>
        <w:spacing w:line="360" w:lineRule="auto"/>
        <w:jc w:val="both"/>
        <w:rPr>
          <w:rFonts w:ascii="Arial" w:hAnsi="Arial" w:cs="Arial"/>
          <w:szCs w:val="24"/>
          <w:lang w:val="es-UY"/>
        </w:rPr>
      </w:pPr>
    </w:p>
    <w:p w:rsidR="00F649BB" w:rsidRPr="00F649BB" w:rsidRDefault="00F649BB" w:rsidP="00D71A3A">
      <w:pPr>
        <w:spacing w:line="360" w:lineRule="auto"/>
        <w:jc w:val="both"/>
        <w:rPr>
          <w:rFonts w:ascii="Arial" w:hAnsi="Arial" w:cs="Arial"/>
          <w:szCs w:val="24"/>
          <w:lang w:val="es-UY"/>
        </w:rPr>
      </w:pPr>
    </w:p>
    <w:p w:rsidR="00C97979" w:rsidRPr="00C97979" w:rsidRDefault="00F649BB" w:rsidP="00C97979">
      <w:pPr>
        <w:spacing w:line="360" w:lineRule="auto"/>
        <w:jc w:val="both"/>
        <w:rPr>
          <w:rFonts w:ascii="Arial" w:eastAsiaTheme="minorHAnsi" w:hAnsi="Arial" w:cs="Arial"/>
          <w:b w:val="0"/>
          <w:color w:val="auto"/>
          <w:szCs w:val="24"/>
          <w:lang w:val="es-UY" w:eastAsia="en-US"/>
        </w:rPr>
      </w:pPr>
      <w:r w:rsidRPr="00C97979">
        <w:rPr>
          <w:rFonts w:ascii="Arial" w:hAnsi="Arial" w:cs="Arial"/>
          <w:szCs w:val="24"/>
          <w:lang w:val="es-UY"/>
        </w:rPr>
        <w:lastRenderedPageBreak/>
        <w:t xml:space="preserve">CONSTANCIA DE FUNDAMENTO DE VOTO DISCORDE DEL MINISTRO CR. ENRIQUE CABRERA: </w:t>
      </w:r>
      <w:r w:rsidR="00C97979" w:rsidRPr="00C97979">
        <w:rPr>
          <w:rFonts w:ascii="Arial" w:hAnsi="Arial" w:cs="Arial"/>
          <w:szCs w:val="24"/>
          <w:lang w:val="es-UY"/>
        </w:rPr>
        <w:t>“</w:t>
      </w:r>
      <w:r w:rsidR="00C97979" w:rsidRPr="00C97979">
        <w:rPr>
          <w:rFonts w:ascii="Arial" w:eastAsiaTheme="minorHAnsi" w:hAnsi="Arial" w:cs="Arial"/>
          <w:b w:val="0"/>
          <w:color w:val="auto"/>
          <w:szCs w:val="24"/>
          <w:lang w:val="es-UY" w:eastAsia="en-US"/>
        </w:rPr>
        <w:t xml:space="preserve">Comparto  los argumentos de fundamento de voto discorde expresados por  el Ministro Miguel Aumento  sobre el  expediente remitido por la  </w:t>
      </w:r>
      <w:proofErr w:type="spellStart"/>
      <w:r w:rsidR="00C97979" w:rsidRPr="00C97979">
        <w:rPr>
          <w:rFonts w:ascii="Arial" w:eastAsiaTheme="minorHAnsi" w:hAnsi="Arial" w:cs="Arial"/>
          <w:b w:val="0"/>
          <w:color w:val="auto"/>
          <w:szCs w:val="24"/>
          <w:lang w:val="es-UY" w:eastAsia="en-US"/>
        </w:rPr>
        <w:t>Cra</w:t>
      </w:r>
      <w:proofErr w:type="spellEnd"/>
      <w:r w:rsidR="00C97979" w:rsidRPr="00C97979">
        <w:rPr>
          <w:rFonts w:ascii="Arial" w:eastAsiaTheme="minorHAnsi" w:hAnsi="Arial" w:cs="Arial"/>
          <w:b w:val="0"/>
          <w:color w:val="auto"/>
          <w:szCs w:val="24"/>
          <w:lang w:val="es-UY" w:eastAsia="en-US"/>
        </w:rPr>
        <w:t>. Delegada en la  Intendencia de Canelones, relacionado con  la ampliación de la Licitación Pública N° 18/2016 para la realización de obras de infraestructura vial e hidráulica en las ciudades de La Paz, Las Piedras, Progreso y 18 de Mayo.</w:t>
      </w:r>
      <w:r w:rsidR="00C97979">
        <w:rPr>
          <w:rFonts w:ascii="Arial" w:eastAsiaTheme="minorHAnsi" w:hAnsi="Arial" w:cs="Arial"/>
          <w:b w:val="0"/>
          <w:color w:val="auto"/>
          <w:szCs w:val="24"/>
          <w:lang w:val="es-UY" w:eastAsia="en-US"/>
        </w:rPr>
        <w:t>”</w:t>
      </w:r>
    </w:p>
    <w:p w:rsidR="00F649BB" w:rsidRPr="00C97979" w:rsidRDefault="00F649BB" w:rsidP="00C97979">
      <w:pPr>
        <w:spacing w:line="360" w:lineRule="auto"/>
        <w:jc w:val="both"/>
        <w:rPr>
          <w:rFonts w:ascii="Arial" w:hAnsi="Arial" w:cs="Arial"/>
          <w:szCs w:val="24"/>
          <w:lang w:val="es-UY"/>
        </w:rPr>
      </w:pPr>
    </w:p>
    <w:p w:rsidR="00F649BB" w:rsidRPr="00F649BB" w:rsidRDefault="00F649BB" w:rsidP="00D71A3A">
      <w:pPr>
        <w:spacing w:line="360" w:lineRule="auto"/>
        <w:jc w:val="both"/>
        <w:rPr>
          <w:rFonts w:ascii="Arial" w:hAnsi="Arial" w:cs="Arial"/>
          <w:szCs w:val="24"/>
          <w:lang w:val="es-UY"/>
        </w:rPr>
      </w:pPr>
    </w:p>
    <w:p w:rsidR="00F649BB" w:rsidRPr="00F649BB" w:rsidRDefault="00F649BB" w:rsidP="00BF5137">
      <w:pPr>
        <w:spacing w:line="360" w:lineRule="auto"/>
        <w:jc w:val="both"/>
        <w:rPr>
          <w:rFonts w:ascii="Arial" w:hAnsi="Arial" w:cs="Arial"/>
          <w:szCs w:val="24"/>
          <w:lang w:val="es-UY"/>
        </w:rPr>
      </w:pPr>
    </w:p>
    <w:p w:rsidR="00F649BB" w:rsidRDefault="00F649BB" w:rsidP="00BF5137">
      <w:pPr>
        <w:spacing w:line="360" w:lineRule="auto"/>
        <w:jc w:val="both"/>
        <w:rPr>
          <w:rFonts w:ascii="Arial" w:hAnsi="Arial" w:cs="Arial"/>
          <w:szCs w:val="24"/>
          <w:lang w:val="es-UY"/>
        </w:rPr>
      </w:pPr>
    </w:p>
    <w:p w:rsidR="00F649BB" w:rsidRPr="00FB4277" w:rsidRDefault="00F649BB" w:rsidP="00305A73">
      <w:pPr>
        <w:spacing w:line="360" w:lineRule="auto"/>
        <w:rPr>
          <w:rFonts w:ascii="Arial" w:hAnsi="Arial" w:cs="Arial"/>
          <w:szCs w:val="24"/>
          <w:lang w:val="es-UY"/>
        </w:rPr>
      </w:pPr>
    </w:p>
    <w:p w:rsidR="00F649BB" w:rsidRDefault="00F649BB" w:rsidP="00FB4277">
      <w:pPr>
        <w:spacing w:line="360" w:lineRule="auto"/>
        <w:rPr>
          <w:rFonts w:ascii="Arial" w:hAnsi="Arial" w:cs="Arial"/>
          <w:szCs w:val="24"/>
          <w:lang w:val="es-UY"/>
        </w:rPr>
      </w:pPr>
    </w:p>
    <w:p w:rsidR="00F649BB" w:rsidRPr="00FB4277" w:rsidRDefault="00F649BB" w:rsidP="00FB4277">
      <w:pPr>
        <w:spacing w:line="360" w:lineRule="auto"/>
        <w:rPr>
          <w:rFonts w:ascii="Arial" w:hAnsi="Arial" w:cs="Arial"/>
          <w:szCs w:val="24"/>
          <w:lang w:val="es-UY"/>
        </w:rPr>
      </w:pPr>
    </w:p>
    <w:p w:rsidR="00F649BB" w:rsidRPr="00FB4277" w:rsidRDefault="00F649BB" w:rsidP="00FB4277">
      <w:pPr>
        <w:spacing w:line="360" w:lineRule="auto"/>
        <w:rPr>
          <w:rFonts w:ascii="Arial" w:hAnsi="Arial" w:cs="Arial"/>
          <w:szCs w:val="24"/>
          <w:lang w:val="es-UY"/>
        </w:rPr>
      </w:pPr>
      <w:r w:rsidRPr="00FB4277">
        <w:rPr>
          <w:rFonts w:ascii="Arial" w:hAnsi="Arial" w:cs="Arial"/>
          <w:szCs w:val="24"/>
          <w:lang w:val="es-UY"/>
        </w:rPr>
        <w:t xml:space="preserve">        </w:t>
      </w:r>
    </w:p>
    <w:p w:rsidR="00F649BB" w:rsidRPr="006A2B03" w:rsidRDefault="00F649BB" w:rsidP="006A2B03">
      <w:pPr>
        <w:rPr>
          <w:lang w:val="es-UY"/>
        </w:rPr>
      </w:pPr>
    </w:p>
    <w:p w:rsidR="002F3F57" w:rsidRDefault="002F3F57" w:rsidP="002F3F57">
      <w:pPr>
        <w:spacing w:line="360" w:lineRule="auto"/>
        <w:jc w:val="both"/>
        <w:rPr>
          <w:rFonts w:ascii="Arial" w:hAnsi="Arial" w:cs="Arial"/>
          <w:b w:val="0"/>
          <w:bCs/>
          <w:lang w:val="es-ES_tradnl"/>
        </w:rPr>
      </w:pPr>
    </w:p>
    <w:p w:rsidR="007347B2" w:rsidRPr="002F3F57" w:rsidRDefault="007347B2">
      <w:pPr>
        <w:rPr>
          <w:lang w:val="es-ES_tradnl"/>
        </w:rPr>
      </w:pPr>
    </w:p>
    <w:sectPr w:rsidR="007347B2" w:rsidRPr="002F3F57" w:rsidSect="00C97979">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GothicPS">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344E5CAC"/>
    <w:multiLevelType w:val="hybridMultilevel"/>
    <w:tmpl w:val="33E2C458"/>
    <w:lvl w:ilvl="0" w:tplc="11960A3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26E43C0"/>
    <w:multiLevelType w:val="hybridMultilevel"/>
    <w:tmpl w:val="793450BE"/>
    <w:lvl w:ilvl="0" w:tplc="21B0A4FE">
      <w:start w:val="1"/>
      <w:numFmt w:val="upperRoman"/>
      <w:pStyle w:val="Ttulo8"/>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F57"/>
    <w:rsid w:val="002F3F57"/>
    <w:rsid w:val="004C7CB0"/>
    <w:rsid w:val="007347B2"/>
    <w:rsid w:val="00803AA8"/>
    <w:rsid w:val="00C45E4A"/>
    <w:rsid w:val="00C97979"/>
    <w:rsid w:val="00F649B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F57"/>
    <w:pPr>
      <w:spacing w:after="0" w:line="240" w:lineRule="auto"/>
    </w:pPr>
    <w:rPr>
      <w:rFonts w:ascii="GothicPS" w:eastAsia="Times New Roman" w:hAnsi="GothicPS" w:cs="Times New Roman"/>
      <w:b/>
      <w:color w:val="000000"/>
      <w:sz w:val="24"/>
      <w:szCs w:val="20"/>
      <w:lang w:val="es-ES" w:eastAsia="es-ES"/>
    </w:rPr>
  </w:style>
  <w:style w:type="paragraph" w:styleId="Ttulo2">
    <w:name w:val="heading 2"/>
    <w:basedOn w:val="Normal"/>
    <w:next w:val="Normal"/>
    <w:link w:val="Ttulo2Car"/>
    <w:qFormat/>
    <w:rsid w:val="002F3F57"/>
    <w:pPr>
      <w:keepNext/>
      <w:jc w:val="center"/>
      <w:outlineLvl w:val="1"/>
    </w:pPr>
    <w:rPr>
      <w:rFonts w:ascii="Arial" w:hAnsi="Arial" w:cs="Arial"/>
      <w:lang w:val="es-ES_tradnl"/>
    </w:rPr>
  </w:style>
  <w:style w:type="paragraph" w:styleId="Ttulo4">
    <w:name w:val="heading 4"/>
    <w:basedOn w:val="Normal"/>
    <w:next w:val="Normal"/>
    <w:link w:val="Ttulo4Car"/>
    <w:qFormat/>
    <w:rsid w:val="002F3F57"/>
    <w:pPr>
      <w:keepNext/>
      <w:spacing w:line="360" w:lineRule="auto"/>
      <w:jc w:val="both"/>
      <w:outlineLvl w:val="3"/>
    </w:pPr>
    <w:rPr>
      <w:rFonts w:ascii="Arial" w:hAnsi="Arial" w:cs="Arial"/>
      <w:b w:val="0"/>
      <w:bCs/>
      <w:u w:val="single"/>
      <w:lang w:val="es-ES_tradnl"/>
    </w:rPr>
  </w:style>
  <w:style w:type="paragraph" w:styleId="Ttulo8">
    <w:name w:val="heading 8"/>
    <w:basedOn w:val="Normal"/>
    <w:next w:val="Normal"/>
    <w:link w:val="Ttulo8Car"/>
    <w:qFormat/>
    <w:rsid w:val="002F3F57"/>
    <w:pPr>
      <w:keepNext/>
      <w:numPr>
        <w:numId w:val="1"/>
      </w:numPr>
      <w:spacing w:line="360" w:lineRule="auto"/>
      <w:jc w:val="both"/>
      <w:outlineLvl w:val="7"/>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F3F57"/>
    <w:rPr>
      <w:rFonts w:ascii="Arial" w:eastAsia="Times New Roman" w:hAnsi="Arial" w:cs="Arial"/>
      <w:b/>
      <w:color w:val="000000"/>
      <w:sz w:val="24"/>
      <w:szCs w:val="20"/>
      <w:lang w:val="es-ES_tradnl" w:eastAsia="es-ES"/>
    </w:rPr>
  </w:style>
  <w:style w:type="character" w:customStyle="1" w:styleId="Ttulo4Car">
    <w:name w:val="Título 4 Car"/>
    <w:basedOn w:val="Fuentedeprrafopredeter"/>
    <w:link w:val="Ttulo4"/>
    <w:rsid w:val="002F3F57"/>
    <w:rPr>
      <w:rFonts w:ascii="Arial" w:eastAsia="Times New Roman" w:hAnsi="Arial" w:cs="Arial"/>
      <w:bCs/>
      <w:color w:val="000000"/>
      <w:sz w:val="24"/>
      <w:szCs w:val="20"/>
      <w:u w:val="single"/>
      <w:lang w:val="es-ES_tradnl" w:eastAsia="es-ES"/>
    </w:rPr>
  </w:style>
  <w:style w:type="character" w:customStyle="1" w:styleId="Ttulo8Car">
    <w:name w:val="Título 8 Car"/>
    <w:basedOn w:val="Fuentedeprrafopredeter"/>
    <w:link w:val="Ttulo8"/>
    <w:rsid w:val="002F3F57"/>
    <w:rPr>
      <w:rFonts w:ascii="Arial" w:eastAsia="Times New Roman" w:hAnsi="Arial" w:cs="Arial"/>
      <w:b/>
      <w:color w:val="000000"/>
      <w:sz w:val="24"/>
      <w:szCs w:val="20"/>
      <w:lang w:val="es-ES_tradnl" w:eastAsia="es-ES"/>
    </w:rPr>
  </w:style>
  <w:style w:type="paragraph" w:styleId="Ttulo">
    <w:name w:val="Title"/>
    <w:basedOn w:val="Normal"/>
    <w:link w:val="TtuloCar"/>
    <w:qFormat/>
    <w:rsid w:val="002F3F57"/>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2F3F57"/>
    <w:rPr>
      <w:rFonts w:ascii="Arial" w:eastAsia="Times New Roman" w:hAnsi="Arial" w:cs="Times New Roman"/>
      <w:b/>
      <w:sz w:val="24"/>
      <w:szCs w:val="24"/>
      <w:u w:val="single"/>
      <w:lang w:eastAsia="es-ES"/>
    </w:rPr>
  </w:style>
  <w:style w:type="paragraph" w:styleId="Subttulo">
    <w:name w:val="Subtitle"/>
    <w:basedOn w:val="Normal"/>
    <w:link w:val="SubttuloCar"/>
    <w:qFormat/>
    <w:rsid w:val="002F3F57"/>
    <w:pPr>
      <w:spacing w:line="360" w:lineRule="auto"/>
      <w:jc w:val="center"/>
    </w:pPr>
    <w:rPr>
      <w:rFonts w:ascii="Arial" w:hAnsi="Arial" w:cs="Arial"/>
    </w:rPr>
  </w:style>
  <w:style w:type="character" w:customStyle="1" w:styleId="SubttuloCar">
    <w:name w:val="Subtítulo Car"/>
    <w:basedOn w:val="Fuentedeprrafopredeter"/>
    <w:link w:val="Subttulo"/>
    <w:rsid w:val="002F3F57"/>
    <w:rPr>
      <w:rFonts w:ascii="Arial" w:eastAsia="Times New Roman" w:hAnsi="Arial" w:cs="Arial"/>
      <w:b/>
      <w:color w:val="000000"/>
      <w:sz w:val="24"/>
      <w:szCs w:val="20"/>
      <w:lang w:val="es-ES" w:eastAsia="es-ES"/>
    </w:rPr>
  </w:style>
  <w:style w:type="paragraph" w:styleId="Textodeglobo">
    <w:name w:val="Balloon Text"/>
    <w:basedOn w:val="Normal"/>
    <w:link w:val="TextodegloboCar"/>
    <w:uiPriority w:val="99"/>
    <w:semiHidden/>
    <w:unhideWhenUsed/>
    <w:rsid w:val="00803AA8"/>
    <w:rPr>
      <w:rFonts w:ascii="Tahoma" w:hAnsi="Tahoma" w:cs="Tahoma"/>
      <w:sz w:val="16"/>
      <w:szCs w:val="16"/>
    </w:rPr>
  </w:style>
  <w:style w:type="character" w:customStyle="1" w:styleId="TextodegloboCar">
    <w:name w:val="Texto de globo Car"/>
    <w:basedOn w:val="Fuentedeprrafopredeter"/>
    <w:link w:val="Textodeglobo"/>
    <w:uiPriority w:val="99"/>
    <w:semiHidden/>
    <w:rsid w:val="00803AA8"/>
    <w:rPr>
      <w:rFonts w:ascii="Tahoma" w:eastAsia="Times New Roman" w:hAnsi="Tahoma" w:cs="Tahoma"/>
      <w:b/>
      <w:color w:val="000000"/>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F57"/>
    <w:pPr>
      <w:spacing w:after="0" w:line="240" w:lineRule="auto"/>
    </w:pPr>
    <w:rPr>
      <w:rFonts w:ascii="GothicPS" w:eastAsia="Times New Roman" w:hAnsi="GothicPS" w:cs="Times New Roman"/>
      <w:b/>
      <w:color w:val="000000"/>
      <w:sz w:val="24"/>
      <w:szCs w:val="20"/>
      <w:lang w:val="es-ES" w:eastAsia="es-ES"/>
    </w:rPr>
  </w:style>
  <w:style w:type="paragraph" w:styleId="Ttulo2">
    <w:name w:val="heading 2"/>
    <w:basedOn w:val="Normal"/>
    <w:next w:val="Normal"/>
    <w:link w:val="Ttulo2Car"/>
    <w:qFormat/>
    <w:rsid w:val="002F3F57"/>
    <w:pPr>
      <w:keepNext/>
      <w:jc w:val="center"/>
      <w:outlineLvl w:val="1"/>
    </w:pPr>
    <w:rPr>
      <w:rFonts w:ascii="Arial" w:hAnsi="Arial" w:cs="Arial"/>
      <w:lang w:val="es-ES_tradnl"/>
    </w:rPr>
  </w:style>
  <w:style w:type="paragraph" w:styleId="Ttulo4">
    <w:name w:val="heading 4"/>
    <w:basedOn w:val="Normal"/>
    <w:next w:val="Normal"/>
    <w:link w:val="Ttulo4Car"/>
    <w:qFormat/>
    <w:rsid w:val="002F3F57"/>
    <w:pPr>
      <w:keepNext/>
      <w:spacing w:line="360" w:lineRule="auto"/>
      <w:jc w:val="both"/>
      <w:outlineLvl w:val="3"/>
    </w:pPr>
    <w:rPr>
      <w:rFonts w:ascii="Arial" w:hAnsi="Arial" w:cs="Arial"/>
      <w:b w:val="0"/>
      <w:bCs/>
      <w:u w:val="single"/>
      <w:lang w:val="es-ES_tradnl"/>
    </w:rPr>
  </w:style>
  <w:style w:type="paragraph" w:styleId="Ttulo8">
    <w:name w:val="heading 8"/>
    <w:basedOn w:val="Normal"/>
    <w:next w:val="Normal"/>
    <w:link w:val="Ttulo8Car"/>
    <w:qFormat/>
    <w:rsid w:val="002F3F57"/>
    <w:pPr>
      <w:keepNext/>
      <w:numPr>
        <w:numId w:val="1"/>
      </w:numPr>
      <w:spacing w:line="360" w:lineRule="auto"/>
      <w:jc w:val="both"/>
      <w:outlineLvl w:val="7"/>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F3F57"/>
    <w:rPr>
      <w:rFonts w:ascii="Arial" w:eastAsia="Times New Roman" w:hAnsi="Arial" w:cs="Arial"/>
      <w:b/>
      <w:color w:val="000000"/>
      <w:sz w:val="24"/>
      <w:szCs w:val="20"/>
      <w:lang w:val="es-ES_tradnl" w:eastAsia="es-ES"/>
    </w:rPr>
  </w:style>
  <w:style w:type="character" w:customStyle="1" w:styleId="Ttulo4Car">
    <w:name w:val="Título 4 Car"/>
    <w:basedOn w:val="Fuentedeprrafopredeter"/>
    <w:link w:val="Ttulo4"/>
    <w:rsid w:val="002F3F57"/>
    <w:rPr>
      <w:rFonts w:ascii="Arial" w:eastAsia="Times New Roman" w:hAnsi="Arial" w:cs="Arial"/>
      <w:bCs/>
      <w:color w:val="000000"/>
      <w:sz w:val="24"/>
      <w:szCs w:val="20"/>
      <w:u w:val="single"/>
      <w:lang w:val="es-ES_tradnl" w:eastAsia="es-ES"/>
    </w:rPr>
  </w:style>
  <w:style w:type="character" w:customStyle="1" w:styleId="Ttulo8Car">
    <w:name w:val="Título 8 Car"/>
    <w:basedOn w:val="Fuentedeprrafopredeter"/>
    <w:link w:val="Ttulo8"/>
    <w:rsid w:val="002F3F57"/>
    <w:rPr>
      <w:rFonts w:ascii="Arial" w:eastAsia="Times New Roman" w:hAnsi="Arial" w:cs="Arial"/>
      <w:b/>
      <w:color w:val="000000"/>
      <w:sz w:val="24"/>
      <w:szCs w:val="20"/>
      <w:lang w:val="es-ES_tradnl" w:eastAsia="es-ES"/>
    </w:rPr>
  </w:style>
  <w:style w:type="paragraph" w:styleId="Ttulo">
    <w:name w:val="Title"/>
    <w:basedOn w:val="Normal"/>
    <w:link w:val="TtuloCar"/>
    <w:qFormat/>
    <w:rsid w:val="002F3F57"/>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2F3F57"/>
    <w:rPr>
      <w:rFonts w:ascii="Arial" w:eastAsia="Times New Roman" w:hAnsi="Arial" w:cs="Times New Roman"/>
      <w:b/>
      <w:sz w:val="24"/>
      <w:szCs w:val="24"/>
      <w:u w:val="single"/>
      <w:lang w:eastAsia="es-ES"/>
    </w:rPr>
  </w:style>
  <w:style w:type="paragraph" w:styleId="Subttulo">
    <w:name w:val="Subtitle"/>
    <w:basedOn w:val="Normal"/>
    <w:link w:val="SubttuloCar"/>
    <w:qFormat/>
    <w:rsid w:val="002F3F57"/>
    <w:pPr>
      <w:spacing w:line="360" w:lineRule="auto"/>
      <w:jc w:val="center"/>
    </w:pPr>
    <w:rPr>
      <w:rFonts w:ascii="Arial" w:hAnsi="Arial" w:cs="Arial"/>
    </w:rPr>
  </w:style>
  <w:style w:type="character" w:customStyle="1" w:styleId="SubttuloCar">
    <w:name w:val="Subtítulo Car"/>
    <w:basedOn w:val="Fuentedeprrafopredeter"/>
    <w:link w:val="Subttulo"/>
    <w:rsid w:val="002F3F57"/>
    <w:rPr>
      <w:rFonts w:ascii="Arial" w:eastAsia="Times New Roman" w:hAnsi="Arial" w:cs="Arial"/>
      <w:b/>
      <w:color w:val="000000"/>
      <w:sz w:val="24"/>
      <w:szCs w:val="20"/>
      <w:lang w:val="es-ES" w:eastAsia="es-ES"/>
    </w:rPr>
  </w:style>
  <w:style w:type="paragraph" w:styleId="Textodeglobo">
    <w:name w:val="Balloon Text"/>
    <w:basedOn w:val="Normal"/>
    <w:link w:val="TextodegloboCar"/>
    <w:uiPriority w:val="99"/>
    <w:semiHidden/>
    <w:unhideWhenUsed/>
    <w:rsid w:val="00803AA8"/>
    <w:rPr>
      <w:rFonts w:ascii="Tahoma" w:hAnsi="Tahoma" w:cs="Tahoma"/>
      <w:sz w:val="16"/>
      <w:szCs w:val="16"/>
    </w:rPr>
  </w:style>
  <w:style w:type="character" w:customStyle="1" w:styleId="TextodegloboCar">
    <w:name w:val="Texto de globo Car"/>
    <w:basedOn w:val="Fuentedeprrafopredeter"/>
    <w:link w:val="Textodeglobo"/>
    <w:uiPriority w:val="99"/>
    <w:semiHidden/>
    <w:rsid w:val="00803AA8"/>
    <w:rPr>
      <w:rFonts w:ascii="Tahoma" w:eastAsia="Times New Roman" w:hAnsi="Tahoma" w:cs="Tahoma"/>
      <w:b/>
      <w:color w:val="000000"/>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1591</Words>
  <Characters>8753</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Miriam Cristina Rivero</cp:lastModifiedBy>
  <cp:revision>2</cp:revision>
  <cp:lastPrinted>2019-05-07T17:33:00Z</cp:lastPrinted>
  <dcterms:created xsi:type="dcterms:W3CDTF">2019-05-07T17:33:00Z</dcterms:created>
  <dcterms:modified xsi:type="dcterms:W3CDTF">2019-05-07T17:33:00Z</dcterms:modified>
</cp:coreProperties>
</file>