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19" w:rsidRPr="003F3A3F" w:rsidRDefault="00AE1619" w:rsidP="00AE1619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1048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AE1619" w:rsidRPr="000F48AC" w:rsidRDefault="00AE1619" w:rsidP="00AE1619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E1619" w:rsidRPr="000F48AC" w:rsidRDefault="00AE1619" w:rsidP="00AE1619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E1619" w:rsidRPr="000F48AC" w:rsidRDefault="00AE1619" w:rsidP="00AE1619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25 DE ABRIL DE 2019</w:t>
      </w:r>
    </w:p>
    <w:p w:rsidR="00AE1619" w:rsidRDefault="00AE1619" w:rsidP="00AE161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1555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1233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AE1619" w:rsidRPr="00BB4DEC" w:rsidRDefault="00AE1619" w:rsidP="00AE161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D0E" w:rsidRDefault="00262D0E" w:rsidP="00AE16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3605">
        <w:rPr>
          <w:rFonts w:ascii="Arial" w:hAnsi="Arial" w:cs="Arial"/>
          <w:b/>
          <w:sz w:val="24"/>
          <w:szCs w:val="24"/>
        </w:rPr>
        <w:t>VISTO:</w:t>
      </w:r>
      <w:r w:rsidR="00833980">
        <w:rPr>
          <w:rFonts w:ascii="Arial" w:hAnsi="Arial" w:cs="Arial"/>
          <w:sz w:val="24"/>
          <w:szCs w:val="24"/>
        </w:rPr>
        <w:t xml:space="preserve"> l</w:t>
      </w:r>
      <w:r w:rsidR="00AE1619">
        <w:rPr>
          <w:rFonts w:ascii="Arial" w:hAnsi="Arial" w:cs="Arial"/>
          <w:sz w:val="24"/>
          <w:szCs w:val="24"/>
        </w:rPr>
        <w:t>as actuaciones remitidas por</w:t>
      </w:r>
      <w:r>
        <w:rPr>
          <w:rFonts w:ascii="Arial" w:hAnsi="Arial" w:cs="Arial"/>
          <w:sz w:val="24"/>
          <w:szCs w:val="24"/>
        </w:rPr>
        <w:t xml:space="preserve"> </w:t>
      </w:r>
      <w:r w:rsidR="001F7883" w:rsidRPr="001F7883">
        <w:rPr>
          <w:rFonts w:ascii="Arial" w:hAnsi="Arial" w:cs="Arial"/>
          <w:sz w:val="24"/>
          <w:szCs w:val="24"/>
        </w:rPr>
        <w:t>Administración Nacional de Usinas y Trasmisiones Eléctricas</w:t>
      </w:r>
      <w:r w:rsidR="001F7883">
        <w:t xml:space="preserve"> </w:t>
      </w:r>
      <w:r w:rsidR="005B586B">
        <w:rPr>
          <w:rFonts w:ascii="Arial" w:hAnsi="Arial" w:cs="Arial"/>
          <w:sz w:val="24"/>
          <w:szCs w:val="24"/>
        </w:rPr>
        <w:t>relacionadas con</w:t>
      </w:r>
      <w:r w:rsidR="00FD0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Licitación </w:t>
      </w:r>
      <w:r w:rsidR="00026527">
        <w:rPr>
          <w:rFonts w:ascii="Arial" w:hAnsi="Arial" w:cs="Arial"/>
          <w:sz w:val="24"/>
          <w:szCs w:val="24"/>
        </w:rPr>
        <w:t>Publica</w:t>
      </w:r>
      <w:r w:rsidR="008D4E30">
        <w:rPr>
          <w:rFonts w:ascii="Arial" w:hAnsi="Arial" w:cs="Arial"/>
          <w:sz w:val="24"/>
          <w:szCs w:val="24"/>
        </w:rPr>
        <w:t xml:space="preserve"> </w:t>
      </w:r>
      <w:r w:rsidR="000F03E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N° P 51908, para la ej</w:t>
      </w:r>
      <w:r w:rsidR="00FD0903">
        <w:rPr>
          <w:rFonts w:ascii="Arial" w:hAnsi="Arial" w:cs="Arial"/>
          <w:sz w:val="24"/>
          <w:szCs w:val="24"/>
        </w:rPr>
        <w:t xml:space="preserve">ecución </w:t>
      </w:r>
      <w:r w:rsidR="00C05C55">
        <w:rPr>
          <w:rFonts w:ascii="Arial" w:hAnsi="Arial" w:cs="Arial"/>
          <w:sz w:val="24"/>
          <w:szCs w:val="24"/>
        </w:rPr>
        <w:t>actividades dependientes de las áreas de servicios c</w:t>
      </w:r>
      <w:r w:rsidR="00FD0903">
        <w:rPr>
          <w:rFonts w:ascii="Arial" w:hAnsi="Arial" w:cs="Arial"/>
          <w:sz w:val="24"/>
          <w:szCs w:val="24"/>
        </w:rPr>
        <w:t>omerciales</w:t>
      </w:r>
      <w:r>
        <w:rPr>
          <w:rFonts w:ascii="Arial" w:hAnsi="Arial" w:cs="Arial"/>
          <w:sz w:val="24"/>
          <w:szCs w:val="24"/>
        </w:rPr>
        <w:t xml:space="preserve"> (</w:t>
      </w:r>
      <w:r w:rsidR="008D4E3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orte, </w:t>
      </w:r>
      <w:r w:rsidR="008D4E3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econexiones y adecuaciones de puesto de medida Montevideo);</w:t>
      </w:r>
    </w:p>
    <w:p w:rsidR="00262D0E" w:rsidRDefault="00262D0E" w:rsidP="000F03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3605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cumplidos los </w:t>
      </w:r>
      <w:r w:rsidR="001F7883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</w:t>
      </w:r>
      <w:r w:rsidR="00FD0903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acto de apertura </w:t>
      </w:r>
      <w:r w:rsidR="000F03EC">
        <w:rPr>
          <w:rFonts w:ascii="Arial" w:hAnsi="Arial" w:cs="Arial"/>
          <w:sz w:val="24"/>
          <w:szCs w:val="24"/>
        </w:rPr>
        <w:t xml:space="preserve">de fecha </w:t>
      </w:r>
      <w:r w:rsidR="00FD0903">
        <w:rPr>
          <w:rFonts w:ascii="Arial" w:hAnsi="Arial" w:cs="Arial"/>
          <w:sz w:val="24"/>
          <w:szCs w:val="24"/>
        </w:rPr>
        <w:t>23.</w:t>
      </w:r>
      <w:r w:rsidR="000F03EC">
        <w:rPr>
          <w:rFonts w:ascii="Arial" w:hAnsi="Arial" w:cs="Arial"/>
          <w:sz w:val="24"/>
          <w:szCs w:val="24"/>
        </w:rPr>
        <w:t xml:space="preserve">11.19 </w:t>
      </w:r>
      <w:r>
        <w:rPr>
          <w:rFonts w:ascii="Arial" w:hAnsi="Arial" w:cs="Arial"/>
          <w:sz w:val="24"/>
          <w:szCs w:val="24"/>
        </w:rPr>
        <w:t>se presentaron</w:t>
      </w:r>
      <w:r w:rsidR="00FD09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CANDELAS SA, TECNOS INGENIERIA SRL, MONTELECNOR SA  ELECTROSISTEMAS II quienes manifiestan la intención de </w:t>
      </w:r>
      <w:proofErr w:type="spellStart"/>
      <w:r>
        <w:rPr>
          <w:rFonts w:ascii="Arial" w:hAnsi="Arial" w:cs="Arial"/>
          <w:sz w:val="24"/>
          <w:szCs w:val="24"/>
        </w:rPr>
        <w:t>consorciarse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D0903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“CONSORCIO </w:t>
      </w:r>
      <w:r w:rsidR="000F03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MONTELECNOR</w:t>
      </w:r>
      <w:r w:rsidR="000F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0F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ELECTROSISTEMAS II” y ELECTRONTECNIA NOVAS SA.;</w:t>
      </w:r>
    </w:p>
    <w:p w:rsidR="000F03EC" w:rsidRDefault="00262D0E" w:rsidP="000F03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7360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8D4E30">
        <w:rPr>
          <w:rFonts w:ascii="Arial" w:hAnsi="Arial" w:cs="Arial"/>
          <w:sz w:val="24"/>
          <w:szCs w:val="24"/>
        </w:rPr>
        <w:t xml:space="preserve"> con fecha 8/1/19, </w:t>
      </w:r>
      <w:r w:rsidR="002736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ealizado el estudio de las ofertas </w:t>
      </w:r>
      <w:r w:rsidR="008D4E30">
        <w:rPr>
          <w:rFonts w:ascii="Arial" w:hAnsi="Arial" w:cs="Arial"/>
          <w:sz w:val="24"/>
          <w:szCs w:val="24"/>
        </w:rPr>
        <w:t xml:space="preserve">y luego de efectuada la calificación </w:t>
      </w:r>
      <w:r w:rsidR="00C05C55">
        <w:rPr>
          <w:rFonts w:ascii="Arial" w:hAnsi="Arial" w:cs="Arial"/>
          <w:sz w:val="24"/>
          <w:szCs w:val="24"/>
        </w:rPr>
        <w:t>técnica, de</w:t>
      </w:r>
      <w:r>
        <w:rPr>
          <w:rFonts w:ascii="Arial" w:hAnsi="Arial" w:cs="Arial"/>
          <w:sz w:val="24"/>
          <w:szCs w:val="24"/>
        </w:rPr>
        <w:t xml:space="preserve"> acuerdo a lo establecido por el punto 5.2.2 </w:t>
      </w:r>
      <w:r w:rsidR="000F03EC">
        <w:rPr>
          <w:rFonts w:ascii="Arial" w:hAnsi="Arial" w:cs="Arial"/>
          <w:sz w:val="24"/>
          <w:szCs w:val="24"/>
        </w:rPr>
        <w:t>-Calificación técnica</w:t>
      </w:r>
      <w:r w:rsidR="00FD090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del Pliego que </w:t>
      </w:r>
      <w:r w:rsidR="001F7883">
        <w:rPr>
          <w:rFonts w:ascii="Arial" w:hAnsi="Arial" w:cs="Arial"/>
          <w:sz w:val="24"/>
          <w:szCs w:val="24"/>
        </w:rPr>
        <w:t>rigió</w:t>
      </w:r>
      <w:r>
        <w:rPr>
          <w:rFonts w:ascii="Arial" w:hAnsi="Arial" w:cs="Arial"/>
          <w:sz w:val="24"/>
          <w:szCs w:val="24"/>
        </w:rPr>
        <w:t xml:space="preserve"> el llamado </w:t>
      </w:r>
      <w:r w:rsidR="001F7883">
        <w:rPr>
          <w:rFonts w:ascii="Arial" w:hAnsi="Arial" w:cs="Arial"/>
          <w:sz w:val="24"/>
          <w:szCs w:val="24"/>
        </w:rPr>
        <w:t>(antecedentes</w:t>
      </w:r>
      <w:r>
        <w:rPr>
          <w:rFonts w:ascii="Arial" w:hAnsi="Arial" w:cs="Arial"/>
          <w:sz w:val="24"/>
          <w:szCs w:val="24"/>
        </w:rPr>
        <w:t xml:space="preserve"> y capacidad técnica</w:t>
      </w:r>
      <w:r w:rsidR="008D4E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debiendo las ofertas tener un promedio ma</w:t>
      </w:r>
      <w:r w:rsidR="000F03EC">
        <w:rPr>
          <w:rFonts w:ascii="Arial" w:hAnsi="Arial" w:cs="Arial"/>
          <w:sz w:val="24"/>
          <w:szCs w:val="24"/>
        </w:rPr>
        <w:t>yor o igual a 3 para</w:t>
      </w:r>
      <w:r w:rsidR="00FD0903">
        <w:rPr>
          <w:rFonts w:ascii="Arial" w:hAnsi="Arial" w:cs="Arial"/>
          <w:sz w:val="24"/>
          <w:szCs w:val="24"/>
        </w:rPr>
        <w:t xml:space="preserve"> calificar, se </w:t>
      </w:r>
      <w:r w:rsidR="008D4E30">
        <w:rPr>
          <w:rFonts w:ascii="Arial" w:hAnsi="Arial" w:cs="Arial"/>
          <w:sz w:val="24"/>
          <w:szCs w:val="24"/>
        </w:rPr>
        <w:t xml:space="preserve">obtuvieron los siguientes puntajes: </w:t>
      </w:r>
      <w:r>
        <w:rPr>
          <w:rFonts w:ascii="Arial" w:hAnsi="Arial" w:cs="Arial"/>
          <w:sz w:val="24"/>
          <w:szCs w:val="24"/>
        </w:rPr>
        <w:t xml:space="preserve"> CANDELA</w:t>
      </w:r>
      <w:r w:rsidR="005B58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</w:t>
      </w:r>
      <w:r w:rsidR="000F03EC">
        <w:rPr>
          <w:rFonts w:ascii="Arial" w:hAnsi="Arial" w:cs="Arial"/>
          <w:sz w:val="24"/>
          <w:szCs w:val="24"/>
        </w:rPr>
        <w:t>A:</w:t>
      </w:r>
      <w:r w:rsidR="00FD09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3,4; TECNOS INGENIERIA SRL: 3</w:t>
      </w:r>
      <w:r w:rsidR="00FD0903">
        <w:rPr>
          <w:rFonts w:ascii="Arial" w:hAnsi="Arial" w:cs="Arial"/>
          <w:sz w:val="24"/>
          <w:szCs w:val="24"/>
        </w:rPr>
        <w:t xml:space="preserve"> puntos</w:t>
      </w:r>
      <w:r>
        <w:rPr>
          <w:rFonts w:ascii="Arial" w:hAnsi="Arial" w:cs="Arial"/>
          <w:sz w:val="24"/>
          <w:szCs w:val="24"/>
        </w:rPr>
        <w:t>; “CONSORCIO MONTELECNOR</w:t>
      </w:r>
      <w:r w:rsidR="000F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0F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ELECTROSISTEMAS II”: 4</w:t>
      </w:r>
      <w:r w:rsidR="00FD0903">
        <w:rPr>
          <w:rFonts w:ascii="Arial" w:hAnsi="Arial" w:cs="Arial"/>
          <w:sz w:val="24"/>
          <w:szCs w:val="24"/>
        </w:rPr>
        <w:t xml:space="preserve"> puntos y </w:t>
      </w:r>
      <w:r w:rsidR="000F03EC">
        <w:rPr>
          <w:rFonts w:ascii="Arial" w:hAnsi="Arial" w:cs="Arial"/>
          <w:sz w:val="24"/>
          <w:szCs w:val="24"/>
        </w:rPr>
        <w:t xml:space="preserve"> ELECTRONTECNIA NOVAS SA</w:t>
      </w:r>
      <w:r>
        <w:rPr>
          <w:rFonts w:ascii="Arial" w:hAnsi="Arial" w:cs="Arial"/>
          <w:sz w:val="24"/>
          <w:szCs w:val="24"/>
        </w:rPr>
        <w:t>: 3</w:t>
      </w:r>
      <w:r w:rsidR="00FD0903">
        <w:rPr>
          <w:rFonts w:ascii="Arial" w:hAnsi="Arial" w:cs="Arial"/>
          <w:sz w:val="24"/>
          <w:szCs w:val="24"/>
        </w:rPr>
        <w:t xml:space="preserve"> puntos; </w:t>
      </w:r>
    </w:p>
    <w:p w:rsidR="000F03EC" w:rsidRDefault="00262D0E" w:rsidP="000F03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7360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resultando todas las o</w:t>
      </w:r>
      <w:r w:rsidR="00FD0903">
        <w:rPr>
          <w:rFonts w:ascii="Arial" w:hAnsi="Arial" w:cs="Arial"/>
          <w:sz w:val="24"/>
          <w:szCs w:val="24"/>
        </w:rPr>
        <w:t>fert</w:t>
      </w:r>
      <w:r w:rsidR="000F03EC">
        <w:rPr>
          <w:rFonts w:ascii="Arial" w:hAnsi="Arial" w:cs="Arial"/>
          <w:sz w:val="24"/>
          <w:szCs w:val="24"/>
        </w:rPr>
        <w:t>as admisibles se confeccionó el</w:t>
      </w:r>
      <w:r>
        <w:rPr>
          <w:rFonts w:ascii="Arial" w:hAnsi="Arial" w:cs="Arial"/>
          <w:sz w:val="24"/>
          <w:szCs w:val="24"/>
        </w:rPr>
        <w:t xml:space="preserve"> cuadro comparativo de precios</w:t>
      </w:r>
      <w:r w:rsidR="00A63E71">
        <w:rPr>
          <w:rFonts w:ascii="Arial" w:hAnsi="Arial" w:cs="Arial"/>
          <w:sz w:val="24"/>
          <w:szCs w:val="24"/>
        </w:rPr>
        <w:t xml:space="preserve"> considerándose:</w:t>
      </w:r>
      <w:r w:rsidR="00966615">
        <w:rPr>
          <w:rFonts w:ascii="Arial" w:hAnsi="Arial" w:cs="Arial"/>
          <w:sz w:val="24"/>
          <w:szCs w:val="24"/>
        </w:rPr>
        <w:t xml:space="preserve"> </w:t>
      </w:r>
    </w:p>
    <w:p w:rsidR="000F03EC" w:rsidRDefault="00966615" w:rsidP="000F03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6615">
        <w:rPr>
          <w:rFonts w:ascii="Arial" w:hAnsi="Arial" w:cs="Arial"/>
          <w:b/>
          <w:sz w:val="24"/>
          <w:szCs w:val="24"/>
        </w:rPr>
        <w:lastRenderedPageBreak/>
        <w:t>3.1</w:t>
      </w:r>
      <w:r w:rsidR="000F03E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la </w:t>
      </w:r>
      <w:r w:rsidR="00262D0E">
        <w:rPr>
          <w:rFonts w:ascii="Arial" w:hAnsi="Arial" w:cs="Arial"/>
          <w:sz w:val="24"/>
          <w:szCs w:val="24"/>
        </w:rPr>
        <w:t xml:space="preserve">bonificación OHSAS 18001 </w:t>
      </w:r>
      <w:r>
        <w:rPr>
          <w:rFonts w:ascii="Arial" w:hAnsi="Arial" w:cs="Arial"/>
          <w:sz w:val="24"/>
          <w:szCs w:val="24"/>
        </w:rPr>
        <w:t>(</w:t>
      </w:r>
      <w:r w:rsidR="00262D0E">
        <w:rPr>
          <w:rFonts w:ascii="Arial" w:hAnsi="Arial" w:cs="Arial"/>
          <w:sz w:val="24"/>
          <w:szCs w:val="24"/>
        </w:rPr>
        <w:t xml:space="preserve">todas las empresas presentaron la documentación </w:t>
      </w:r>
      <w:r w:rsidR="00603721">
        <w:rPr>
          <w:rFonts w:ascii="Arial" w:hAnsi="Arial" w:cs="Arial"/>
          <w:sz w:val="24"/>
          <w:szCs w:val="24"/>
        </w:rPr>
        <w:t xml:space="preserve">para </w:t>
      </w:r>
      <w:r w:rsidR="001F7883">
        <w:rPr>
          <w:rFonts w:ascii="Arial" w:hAnsi="Arial" w:cs="Arial"/>
          <w:sz w:val="24"/>
          <w:szCs w:val="24"/>
        </w:rPr>
        <w:t>acredita</w:t>
      </w:r>
      <w:r w:rsidR="000E0026">
        <w:rPr>
          <w:rFonts w:ascii="Arial" w:hAnsi="Arial" w:cs="Arial"/>
          <w:sz w:val="24"/>
          <w:szCs w:val="24"/>
        </w:rPr>
        <w:t>rs</w:t>
      </w:r>
      <w:r w:rsidR="001F788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  <w:r w:rsidR="00262D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1054" w:rsidRDefault="00E91054" w:rsidP="000F03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6615">
        <w:rPr>
          <w:rFonts w:ascii="Arial" w:hAnsi="Arial" w:cs="Arial"/>
          <w:b/>
          <w:sz w:val="24"/>
          <w:szCs w:val="24"/>
        </w:rPr>
        <w:t>3.2</w:t>
      </w:r>
      <w:r w:rsidR="000F03E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A63E71">
        <w:rPr>
          <w:rFonts w:ascii="Arial" w:hAnsi="Arial" w:cs="Arial"/>
          <w:sz w:val="24"/>
          <w:szCs w:val="24"/>
        </w:rPr>
        <w:t>l</w:t>
      </w:r>
      <w:r w:rsidR="00262D0E">
        <w:rPr>
          <w:rFonts w:ascii="Arial" w:hAnsi="Arial" w:cs="Arial"/>
          <w:sz w:val="24"/>
          <w:szCs w:val="24"/>
        </w:rPr>
        <w:t>as empresas CANDELA</w:t>
      </w:r>
      <w:r w:rsidR="000E0026">
        <w:rPr>
          <w:rFonts w:ascii="Arial" w:hAnsi="Arial" w:cs="Arial"/>
          <w:sz w:val="24"/>
          <w:szCs w:val="24"/>
        </w:rPr>
        <w:t>S</w:t>
      </w:r>
      <w:r w:rsidR="00262D0E">
        <w:rPr>
          <w:rFonts w:ascii="Arial" w:hAnsi="Arial" w:cs="Arial"/>
          <w:sz w:val="24"/>
          <w:szCs w:val="24"/>
        </w:rPr>
        <w:t xml:space="preserve"> SA y TECNOS INGENIERIA SRL</w:t>
      </w:r>
      <w:r w:rsidR="008F61D0">
        <w:rPr>
          <w:rFonts w:ascii="Arial" w:hAnsi="Arial" w:cs="Arial"/>
          <w:sz w:val="24"/>
          <w:szCs w:val="24"/>
        </w:rPr>
        <w:t>, declaran calificar como MPYME</w:t>
      </w:r>
      <w:r w:rsidR="008D4E30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>el mencionado cuadro comparativo result</w:t>
      </w:r>
      <w:r w:rsidR="000E002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que l</w:t>
      </w:r>
      <w:r w:rsidR="00262D0E">
        <w:rPr>
          <w:rFonts w:ascii="Arial" w:hAnsi="Arial" w:cs="Arial"/>
          <w:sz w:val="24"/>
          <w:szCs w:val="24"/>
        </w:rPr>
        <w:t>as</w:t>
      </w:r>
      <w:r w:rsidR="000F03EC">
        <w:rPr>
          <w:rFonts w:ascii="Arial" w:hAnsi="Arial" w:cs="Arial"/>
          <w:sz w:val="24"/>
          <w:szCs w:val="24"/>
        </w:rPr>
        <w:t xml:space="preserve"> propuestas correspondientes a </w:t>
      </w:r>
      <w:r w:rsidR="00262D0E">
        <w:rPr>
          <w:rFonts w:ascii="Arial" w:hAnsi="Arial" w:cs="Arial"/>
          <w:sz w:val="24"/>
          <w:szCs w:val="24"/>
        </w:rPr>
        <w:t>CANDELA</w:t>
      </w:r>
      <w:r w:rsidR="000E0026">
        <w:rPr>
          <w:rFonts w:ascii="Arial" w:hAnsi="Arial" w:cs="Arial"/>
          <w:sz w:val="24"/>
          <w:szCs w:val="24"/>
        </w:rPr>
        <w:t>S</w:t>
      </w:r>
      <w:r w:rsidR="00262D0E">
        <w:rPr>
          <w:rFonts w:ascii="Arial" w:hAnsi="Arial" w:cs="Arial"/>
          <w:sz w:val="24"/>
          <w:szCs w:val="24"/>
        </w:rPr>
        <w:t xml:space="preserve"> SA; TE</w:t>
      </w:r>
      <w:r w:rsidR="000F03EC">
        <w:rPr>
          <w:rFonts w:ascii="Arial" w:hAnsi="Arial" w:cs="Arial"/>
          <w:sz w:val="24"/>
          <w:szCs w:val="24"/>
        </w:rPr>
        <w:t xml:space="preserve">CNOS INGENIERIA SRL; “CONSORCIO </w:t>
      </w:r>
      <w:r w:rsidR="00262D0E">
        <w:rPr>
          <w:rFonts w:ascii="Arial" w:hAnsi="Arial" w:cs="Arial"/>
          <w:sz w:val="24"/>
          <w:szCs w:val="24"/>
        </w:rPr>
        <w:t>MONTELECNOR</w:t>
      </w:r>
      <w:r w:rsidR="000F03EC">
        <w:rPr>
          <w:rFonts w:ascii="Arial" w:hAnsi="Arial" w:cs="Arial"/>
          <w:sz w:val="24"/>
          <w:szCs w:val="24"/>
        </w:rPr>
        <w:t xml:space="preserve"> </w:t>
      </w:r>
      <w:r w:rsidR="00262D0E">
        <w:rPr>
          <w:rFonts w:ascii="Arial" w:hAnsi="Arial" w:cs="Arial"/>
          <w:sz w:val="24"/>
          <w:szCs w:val="24"/>
        </w:rPr>
        <w:t>-</w:t>
      </w:r>
      <w:r w:rsidR="000F03EC">
        <w:rPr>
          <w:rFonts w:ascii="Arial" w:hAnsi="Arial" w:cs="Arial"/>
          <w:sz w:val="24"/>
          <w:szCs w:val="24"/>
        </w:rPr>
        <w:t xml:space="preserve"> </w:t>
      </w:r>
      <w:r w:rsidR="00262D0E">
        <w:rPr>
          <w:rFonts w:ascii="Arial" w:hAnsi="Arial" w:cs="Arial"/>
          <w:sz w:val="24"/>
          <w:szCs w:val="24"/>
        </w:rPr>
        <w:t xml:space="preserve">ELECTROSISTEMAS II”, </w:t>
      </w:r>
      <w:r w:rsidR="008D4E30">
        <w:rPr>
          <w:rFonts w:ascii="Arial" w:hAnsi="Arial" w:cs="Arial"/>
          <w:sz w:val="24"/>
          <w:szCs w:val="24"/>
        </w:rPr>
        <w:t xml:space="preserve">se ajustan </w:t>
      </w:r>
      <w:r w:rsidR="00262D0E">
        <w:rPr>
          <w:rFonts w:ascii="Arial" w:hAnsi="Arial" w:cs="Arial"/>
          <w:sz w:val="24"/>
          <w:szCs w:val="24"/>
        </w:rPr>
        <w:t>sustancialment</w:t>
      </w:r>
      <w:r w:rsidR="008D4E30">
        <w:rPr>
          <w:rFonts w:ascii="Arial" w:hAnsi="Arial" w:cs="Arial"/>
          <w:sz w:val="24"/>
          <w:szCs w:val="24"/>
        </w:rPr>
        <w:t>e a</w:t>
      </w:r>
      <w:r w:rsidR="00A63E71">
        <w:rPr>
          <w:rFonts w:ascii="Arial" w:hAnsi="Arial" w:cs="Arial"/>
          <w:sz w:val="24"/>
          <w:szCs w:val="24"/>
        </w:rPr>
        <w:t xml:space="preserve"> las especificaciones del P</w:t>
      </w:r>
      <w:r w:rsidR="00262D0E">
        <w:rPr>
          <w:rFonts w:ascii="Arial" w:hAnsi="Arial" w:cs="Arial"/>
          <w:sz w:val="24"/>
          <w:szCs w:val="24"/>
        </w:rPr>
        <w:t>liego y se encuentran en el entorno del 5%</w:t>
      </w:r>
      <w:r w:rsidR="008D4E30">
        <w:rPr>
          <w:rFonts w:ascii="Arial" w:hAnsi="Arial" w:cs="Arial"/>
          <w:sz w:val="24"/>
          <w:szCs w:val="24"/>
        </w:rPr>
        <w:t>,</w:t>
      </w:r>
      <w:r w:rsidR="00262D0E">
        <w:rPr>
          <w:rFonts w:ascii="Arial" w:hAnsi="Arial" w:cs="Arial"/>
          <w:sz w:val="24"/>
          <w:szCs w:val="24"/>
        </w:rPr>
        <w:t xml:space="preserve"> por lo que s</w:t>
      </w:r>
      <w:r>
        <w:rPr>
          <w:rFonts w:ascii="Arial" w:hAnsi="Arial" w:cs="Arial"/>
          <w:sz w:val="24"/>
          <w:szCs w:val="24"/>
        </w:rPr>
        <w:t xml:space="preserve">e </w:t>
      </w:r>
      <w:r w:rsidR="008D4E30">
        <w:rPr>
          <w:rFonts w:ascii="Arial" w:hAnsi="Arial" w:cs="Arial"/>
          <w:sz w:val="24"/>
          <w:szCs w:val="24"/>
        </w:rPr>
        <w:t xml:space="preserve">las </w:t>
      </w:r>
      <w:r w:rsidR="001F7883">
        <w:rPr>
          <w:rFonts w:ascii="Arial" w:hAnsi="Arial" w:cs="Arial"/>
          <w:sz w:val="24"/>
          <w:szCs w:val="24"/>
        </w:rPr>
        <w:t>invitó</w:t>
      </w:r>
      <w:r>
        <w:rPr>
          <w:rFonts w:ascii="Arial" w:hAnsi="Arial" w:cs="Arial"/>
          <w:sz w:val="24"/>
          <w:szCs w:val="24"/>
        </w:rPr>
        <w:t xml:space="preserve">  a  mejorar </w:t>
      </w:r>
      <w:r w:rsidR="00966615"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z w:val="24"/>
          <w:szCs w:val="24"/>
        </w:rPr>
        <w:t xml:space="preserve"> ofertas;</w:t>
      </w:r>
    </w:p>
    <w:p w:rsidR="00E91054" w:rsidRDefault="00C05C55" w:rsidP="000F03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91054" w:rsidRPr="00966615">
        <w:rPr>
          <w:rFonts w:ascii="Arial" w:hAnsi="Arial" w:cs="Arial"/>
          <w:b/>
          <w:sz w:val="24"/>
          <w:szCs w:val="24"/>
        </w:rPr>
        <w:t>)</w:t>
      </w:r>
      <w:r w:rsidR="00E91054">
        <w:rPr>
          <w:rFonts w:ascii="Arial" w:hAnsi="Arial" w:cs="Arial"/>
          <w:sz w:val="24"/>
          <w:szCs w:val="24"/>
        </w:rPr>
        <w:t xml:space="preserve"> que </w:t>
      </w:r>
      <w:r w:rsidR="00A63E71">
        <w:rPr>
          <w:rFonts w:ascii="Arial" w:hAnsi="Arial" w:cs="Arial"/>
          <w:sz w:val="24"/>
          <w:szCs w:val="24"/>
        </w:rPr>
        <w:t xml:space="preserve">por acta de fecha </w:t>
      </w:r>
      <w:r w:rsidR="00262D0E">
        <w:rPr>
          <w:rFonts w:ascii="Arial" w:hAnsi="Arial" w:cs="Arial"/>
          <w:sz w:val="24"/>
          <w:szCs w:val="24"/>
        </w:rPr>
        <w:t xml:space="preserve">15.1.19, </w:t>
      </w:r>
      <w:r w:rsidR="00A63E71">
        <w:rPr>
          <w:rFonts w:ascii="Arial" w:hAnsi="Arial" w:cs="Arial"/>
          <w:sz w:val="24"/>
          <w:szCs w:val="24"/>
        </w:rPr>
        <w:t xml:space="preserve">se da cuenta que </w:t>
      </w:r>
      <w:r w:rsidR="00262D0E">
        <w:rPr>
          <w:rFonts w:ascii="Arial" w:hAnsi="Arial" w:cs="Arial"/>
          <w:sz w:val="24"/>
          <w:szCs w:val="24"/>
        </w:rPr>
        <w:t xml:space="preserve"> se recibieron propuestas de mejora </w:t>
      </w:r>
      <w:r w:rsidR="00A63E71">
        <w:rPr>
          <w:rFonts w:ascii="Arial" w:hAnsi="Arial" w:cs="Arial"/>
          <w:sz w:val="24"/>
          <w:szCs w:val="24"/>
        </w:rPr>
        <w:t xml:space="preserve">de ofertas </w:t>
      </w:r>
      <w:r w:rsidR="00262D0E">
        <w:rPr>
          <w:rFonts w:ascii="Arial" w:hAnsi="Arial" w:cs="Arial"/>
          <w:sz w:val="24"/>
          <w:szCs w:val="24"/>
        </w:rPr>
        <w:t>de las empresas CANDELA</w:t>
      </w:r>
      <w:r w:rsidR="000E0026">
        <w:rPr>
          <w:rFonts w:ascii="Arial" w:hAnsi="Arial" w:cs="Arial"/>
          <w:sz w:val="24"/>
          <w:szCs w:val="24"/>
        </w:rPr>
        <w:t>S</w:t>
      </w:r>
      <w:r w:rsidR="00262D0E">
        <w:rPr>
          <w:rFonts w:ascii="Arial" w:hAnsi="Arial" w:cs="Arial"/>
          <w:sz w:val="24"/>
          <w:szCs w:val="24"/>
        </w:rPr>
        <w:t xml:space="preserve"> SA y “CONSORCIO </w:t>
      </w:r>
      <w:r w:rsidR="00E91054">
        <w:rPr>
          <w:rFonts w:ascii="Arial" w:hAnsi="Arial" w:cs="Arial"/>
          <w:sz w:val="24"/>
          <w:szCs w:val="24"/>
        </w:rPr>
        <w:t xml:space="preserve">MONTELECNOR-ELECTROSISTEMAS II”; </w:t>
      </w:r>
      <w:r w:rsidR="001F7883">
        <w:rPr>
          <w:rFonts w:ascii="Arial" w:hAnsi="Arial" w:cs="Arial"/>
          <w:sz w:val="24"/>
          <w:szCs w:val="24"/>
        </w:rPr>
        <w:t>realizándose</w:t>
      </w:r>
      <w:r w:rsidR="00262D0E">
        <w:rPr>
          <w:rFonts w:ascii="Arial" w:hAnsi="Arial" w:cs="Arial"/>
          <w:sz w:val="24"/>
          <w:szCs w:val="24"/>
        </w:rPr>
        <w:t xml:space="preserve"> un nue</w:t>
      </w:r>
      <w:r w:rsidR="00A63E71">
        <w:rPr>
          <w:rFonts w:ascii="Arial" w:hAnsi="Arial" w:cs="Arial"/>
          <w:sz w:val="24"/>
          <w:szCs w:val="24"/>
        </w:rPr>
        <w:t>vo cuadro comparativo según el siguiente detalle</w:t>
      </w:r>
      <w:r w:rsidR="00262D0E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aconcuadrcula"/>
        <w:tblW w:w="8644" w:type="dxa"/>
        <w:tblInd w:w="429" w:type="dxa"/>
        <w:tblLook w:val="04A0" w:firstRow="1" w:lastRow="0" w:firstColumn="1" w:lastColumn="0" w:noHBand="0" w:noVBand="1"/>
      </w:tblPr>
      <w:tblGrid>
        <w:gridCol w:w="5495"/>
        <w:gridCol w:w="3149"/>
      </w:tblGrid>
      <w:tr w:rsidR="00E91054" w:rsidRPr="003B559B" w:rsidTr="000F03EC">
        <w:tc>
          <w:tcPr>
            <w:tcW w:w="5495" w:type="dxa"/>
          </w:tcPr>
          <w:p w:rsidR="00E91054" w:rsidRPr="003B559B" w:rsidRDefault="00E91054" w:rsidP="00966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59B">
              <w:rPr>
                <w:rFonts w:ascii="Arial" w:hAnsi="Arial" w:cs="Arial"/>
                <w:b/>
                <w:sz w:val="24"/>
                <w:szCs w:val="24"/>
              </w:rPr>
              <w:t>OFERENTE</w:t>
            </w:r>
          </w:p>
        </w:tc>
        <w:tc>
          <w:tcPr>
            <w:tcW w:w="3149" w:type="dxa"/>
          </w:tcPr>
          <w:p w:rsidR="00E91054" w:rsidRPr="003B559B" w:rsidRDefault="00E91054" w:rsidP="00966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59B">
              <w:rPr>
                <w:rFonts w:ascii="Arial" w:hAnsi="Arial" w:cs="Arial"/>
                <w:b/>
                <w:sz w:val="24"/>
                <w:szCs w:val="24"/>
              </w:rPr>
              <w:t>PRECIO COMPARATIVO</w:t>
            </w:r>
          </w:p>
        </w:tc>
      </w:tr>
      <w:tr w:rsidR="00E91054" w:rsidTr="000F03EC">
        <w:tc>
          <w:tcPr>
            <w:tcW w:w="5495" w:type="dxa"/>
          </w:tcPr>
          <w:p w:rsidR="00E91054" w:rsidRDefault="00E91054" w:rsidP="00966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CONSORCIO MONTELECNOR-ELECTROSISTEMAS II”</w:t>
            </w:r>
          </w:p>
        </w:tc>
        <w:tc>
          <w:tcPr>
            <w:tcW w:w="3149" w:type="dxa"/>
          </w:tcPr>
          <w:p w:rsidR="00E91054" w:rsidRDefault="00E91054" w:rsidP="00966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1.65</w:t>
            </w:r>
          </w:p>
        </w:tc>
      </w:tr>
      <w:tr w:rsidR="00E91054" w:rsidTr="000F03EC">
        <w:tc>
          <w:tcPr>
            <w:tcW w:w="5495" w:type="dxa"/>
          </w:tcPr>
          <w:p w:rsidR="00E91054" w:rsidRDefault="00E91054" w:rsidP="00966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“CANDELA</w:t>
            </w:r>
            <w:r w:rsidR="000E002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SA</w:t>
            </w:r>
          </w:p>
        </w:tc>
        <w:tc>
          <w:tcPr>
            <w:tcW w:w="3149" w:type="dxa"/>
          </w:tcPr>
          <w:p w:rsidR="00E91054" w:rsidRDefault="00E91054" w:rsidP="00966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1.67</w:t>
            </w:r>
          </w:p>
        </w:tc>
      </w:tr>
      <w:tr w:rsidR="00E91054" w:rsidTr="000F03EC">
        <w:tc>
          <w:tcPr>
            <w:tcW w:w="5495" w:type="dxa"/>
          </w:tcPr>
          <w:p w:rsidR="00E91054" w:rsidRDefault="00E91054" w:rsidP="00966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TECNOS INGENIERIA SRL</w:t>
            </w:r>
          </w:p>
        </w:tc>
        <w:tc>
          <w:tcPr>
            <w:tcW w:w="3149" w:type="dxa"/>
          </w:tcPr>
          <w:p w:rsidR="00E91054" w:rsidRDefault="00E91054" w:rsidP="00966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1.69</w:t>
            </w:r>
          </w:p>
        </w:tc>
      </w:tr>
      <w:tr w:rsidR="00E91054" w:rsidTr="000F03EC">
        <w:tc>
          <w:tcPr>
            <w:tcW w:w="5495" w:type="dxa"/>
          </w:tcPr>
          <w:p w:rsidR="00E91054" w:rsidRDefault="00E91054" w:rsidP="00966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ELECTRONTECNIA NOVAS SA</w:t>
            </w:r>
          </w:p>
        </w:tc>
        <w:tc>
          <w:tcPr>
            <w:tcW w:w="3149" w:type="dxa"/>
          </w:tcPr>
          <w:p w:rsidR="00E91054" w:rsidRDefault="00E91054" w:rsidP="00966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1,79</w:t>
            </w:r>
          </w:p>
        </w:tc>
      </w:tr>
    </w:tbl>
    <w:p w:rsidR="00316CC1" w:rsidRDefault="00C05C55" w:rsidP="00316C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E1619">
        <w:rPr>
          <w:rFonts w:ascii="Arial" w:hAnsi="Arial" w:cs="Arial"/>
          <w:b/>
          <w:sz w:val="24"/>
          <w:szCs w:val="24"/>
        </w:rPr>
        <w:t>5</w:t>
      </w:r>
      <w:r w:rsidR="00E91054" w:rsidRPr="00123AB0">
        <w:rPr>
          <w:rFonts w:ascii="Arial" w:hAnsi="Arial" w:cs="Arial"/>
          <w:b/>
          <w:sz w:val="24"/>
          <w:szCs w:val="24"/>
        </w:rPr>
        <w:t>)</w:t>
      </w:r>
      <w:r w:rsidR="00E910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1054">
        <w:rPr>
          <w:rFonts w:ascii="Arial" w:hAnsi="Arial" w:cs="Arial"/>
          <w:sz w:val="24"/>
          <w:szCs w:val="24"/>
        </w:rPr>
        <w:t>que</w:t>
      </w:r>
      <w:proofErr w:type="gramEnd"/>
      <w:r w:rsidR="00E91054">
        <w:rPr>
          <w:rFonts w:ascii="Arial" w:hAnsi="Arial" w:cs="Arial"/>
          <w:sz w:val="24"/>
          <w:szCs w:val="24"/>
        </w:rPr>
        <w:t xml:space="preserve"> en conse</w:t>
      </w:r>
      <w:r w:rsidR="00A63E71">
        <w:rPr>
          <w:rFonts w:ascii="Arial" w:hAnsi="Arial" w:cs="Arial"/>
          <w:sz w:val="24"/>
          <w:szCs w:val="24"/>
        </w:rPr>
        <w:t xml:space="preserve">cuencia, la Comisión Asesora </w:t>
      </w:r>
      <w:r w:rsidR="00E91054">
        <w:rPr>
          <w:rFonts w:ascii="Arial" w:hAnsi="Arial" w:cs="Arial"/>
          <w:sz w:val="24"/>
          <w:szCs w:val="24"/>
        </w:rPr>
        <w:t xml:space="preserve"> aconsej</w:t>
      </w:r>
      <w:r w:rsidR="008D4E30">
        <w:rPr>
          <w:rFonts w:ascii="Arial" w:hAnsi="Arial" w:cs="Arial"/>
          <w:sz w:val="24"/>
          <w:szCs w:val="24"/>
        </w:rPr>
        <w:t>o</w:t>
      </w:r>
      <w:r w:rsidR="00E91054">
        <w:rPr>
          <w:rFonts w:ascii="Arial" w:hAnsi="Arial" w:cs="Arial"/>
          <w:sz w:val="24"/>
          <w:szCs w:val="24"/>
        </w:rPr>
        <w:t xml:space="preserve"> la adjudicación al CONSORCIO </w:t>
      </w:r>
      <w:r w:rsidR="00316CC1">
        <w:rPr>
          <w:rFonts w:ascii="Arial" w:hAnsi="Arial" w:cs="Arial"/>
          <w:sz w:val="24"/>
          <w:szCs w:val="24"/>
        </w:rPr>
        <w:t xml:space="preserve">                                  </w:t>
      </w:r>
      <w:r w:rsidR="00E91054">
        <w:rPr>
          <w:rFonts w:ascii="Arial" w:hAnsi="Arial" w:cs="Arial"/>
          <w:sz w:val="24"/>
          <w:szCs w:val="24"/>
        </w:rPr>
        <w:t>MONTELECNOR</w:t>
      </w:r>
      <w:r w:rsidR="00316CC1">
        <w:rPr>
          <w:rFonts w:ascii="Arial" w:hAnsi="Arial" w:cs="Arial"/>
          <w:sz w:val="24"/>
          <w:szCs w:val="24"/>
        </w:rPr>
        <w:t xml:space="preserve"> </w:t>
      </w:r>
      <w:r w:rsidR="00E91054">
        <w:rPr>
          <w:rFonts w:ascii="Arial" w:hAnsi="Arial" w:cs="Arial"/>
          <w:sz w:val="24"/>
          <w:szCs w:val="24"/>
        </w:rPr>
        <w:t>-</w:t>
      </w:r>
      <w:r w:rsidR="00316CC1">
        <w:rPr>
          <w:rFonts w:ascii="Arial" w:hAnsi="Arial" w:cs="Arial"/>
          <w:sz w:val="24"/>
          <w:szCs w:val="24"/>
        </w:rPr>
        <w:t xml:space="preserve"> </w:t>
      </w:r>
      <w:r w:rsidR="00E91054">
        <w:rPr>
          <w:rFonts w:ascii="Arial" w:hAnsi="Arial" w:cs="Arial"/>
          <w:sz w:val="24"/>
          <w:szCs w:val="24"/>
        </w:rPr>
        <w:t>ELECTROSISTEMAS II” por un monto $ 468.425.214,94  impuestos y ajustes incluidos;</w:t>
      </w:r>
    </w:p>
    <w:p w:rsidR="00316CC1" w:rsidRDefault="00C05C55" w:rsidP="00316C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91054" w:rsidRPr="00123AB0">
        <w:rPr>
          <w:rFonts w:ascii="Arial" w:hAnsi="Arial" w:cs="Arial"/>
          <w:b/>
          <w:sz w:val="24"/>
          <w:szCs w:val="24"/>
        </w:rPr>
        <w:t>)</w:t>
      </w:r>
      <w:r w:rsidR="00316CC1">
        <w:rPr>
          <w:rFonts w:ascii="Arial" w:hAnsi="Arial" w:cs="Arial"/>
          <w:sz w:val="24"/>
          <w:szCs w:val="24"/>
        </w:rPr>
        <w:t xml:space="preserve"> </w:t>
      </w:r>
      <w:r w:rsidR="00E91054">
        <w:rPr>
          <w:rFonts w:ascii="Arial" w:hAnsi="Arial" w:cs="Arial"/>
          <w:sz w:val="24"/>
          <w:szCs w:val="24"/>
        </w:rPr>
        <w:t>que puesto de manifiesto</w:t>
      </w:r>
      <w:r w:rsidR="008D4E30">
        <w:rPr>
          <w:rFonts w:ascii="Arial" w:hAnsi="Arial" w:cs="Arial"/>
          <w:sz w:val="24"/>
          <w:szCs w:val="24"/>
        </w:rPr>
        <w:t>,</w:t>
      </w:r>
      <w:r w:rsidR="00E91054">
        <w:rPr>
          <w:rFonts w:ascii="Arial" w:hAnsi="Arial" w:cs="Arial"/>
          <w:sz w:val="24"/>
          <w:szCs w:val="24"/>
        </w:rPr>
        <w:t xml:space="preserve"> al am</w:t>
      </w:r>
      <w:r w:rsidR="00A63E71">
        <w:rPr>
          <w:rFonts w:ascii="Arial" w:hAnsi="Arial" w:cs="Arial"/>
          <w:sz w:val="24"/>
          <w:szCs w:val="24"/>
        </w:rPr>
        <w:t xml:space="preserve">paro de lo dispuesto por el artículo </w:t>
      </w:r>
      <w:r w:rsidR="00E91054">
        <w:rPr>
          <w:rFonts w:ascii="Arial" w:hAnsi="Arial" w:cs="Arial"/>
          <w:sz w:val="24"/>
          <w:szCs w:val="24"/>
        </w:rPr>
        <w:t xml:space="preserve"> 67 del TOCAF, se notificaron las firmas oferentes </w:t>
      </w:r>
      <w:r w:rsidR="00A63E71">
        <w:rPr>
          <w:rFonts w:ascii="Arial" w:hAnsi="Arial" w:cs="Arial"/>
          <w:sz w:val="24"/>
          <w:szCs w:val="24"/>
        </w:rPr>
        <w:t xml:space="preserve">no </w:t>
      </w:r>
      <w:r w:rsidR="00E91054">
        <w:rPr>
          <w:rFonts w:ascii="Arial" w:hAnsi="Arial" w:cs="Arial"/>
          <w:sz w:val="24"/>
          <w:szCs w:val="24"/>
        </w:rPr>
        <w:t>formulando observaciones  respecto del procedimiento;</w:t>
      </w:r>
    </w:p>
    <w:p w:rsidR="00316CC1" w:rsidRDefault="00C05C55" w:rsidP="00316CC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C14D0">
        <w:rPr>
          <w:rFonts w:ascii="Arial" w:hAnsi="Arial" w:cs="Arial"/>
          <w:b/>
          <w:sz w:val="24"/>
          <w:szCs w:val="24"/>
        </w:rPr>
        <w:t>7</w:t>
      </w:r>
      <w:r w:rsidR="00E91054" w:rsidRPr="00BC14D0">
        <w:rPr>
          <w:rFonts w:ascii="Arial" w:hAnsi="Arial" w:cs="Arial"/>
          <w:b/>
          <w:sz w:val="24"/>
          <w:szCs w:val="24"/>
        </w:rPr>
        <w:t>)</w:t>
      </w:r>
      <w:r w:rsidR="00E91054">
        <w:rPr>
          <w:rFonts w:ascii="Arial" w:hAnsi="Arial" w:cs="Arial"/>
          <w:sz w:val="24"/>
          <w:szCs w:val="24"/>
        </w:rPr>
        <w:t xml:space="preserve"> que por Resolución N°  GG 027/19, de fecha  20.3.19 dictada por el Gerente G</w:t>
      </w:r>
      <w:r w:rsidR="00A63E71">
        <w:rPr>
          <w:rFonts w:ascii="Arial" w:hAnsi="Arial" w:cs="Arial"/>
          <w:sz w:val="24"/>
          <w:szCs w:val="24"/>
        </w:rPr>
        <w:t>ene</w:t>
      </w:r>
      <w:r w:rsidR="00316CC1">
        <w:rPr>
          <w:rFonts w:ascii="Arial" w:hAnsi="Arial" w:cs="Arial"/>
          <w:sz w:val="24"/>
          <w:szCs w:val="24"/>
        </w:rPr>
        <w:t>ral</w:t>
      </w:r>
      <w:r w:rsidR="00E91054">
        <w:rPr>
          <w:rFonts w:ascii="Arial" w:hAnsi="Arial" w:cs="Arial"/>
          <w:sz w:val="24"/>
          <w:szCs w:val="24"/>
        </w:rPr>
        <w:t xml:space="preserve"> </w:t>
      </w:r>
      <w:r w:rsidR="00316CC1">
        <w:rPr>
          <w:rFonts w:ascii="Arial" w:hAnsi="Arial" w:cs="Arial"/>
          <w:sz w:val="24"/>
          <w:szCs w:val="24"/>
        </w:rPr>
        <w:t>en uso de</w:t>
      </w:r>
      <w:r w:rsidR="00E91054">
        <w:rPr>
          <w:rFonts w:ascii="Arial" w:hAnsi="Arial" w:cs="Arial"/>
          <w:sz w:val="24"/>
          <w:szCs w:val="24"/>
        </w:rPr>
        <w:t xml:space="preserve"> atribuciones delegada</w:t>
      </w:r>
      <w:r w:rsidR="00A63E71">
        <w:rPr>
          <w:rFonts w:ascii="Arial" w:hAnsi="Arial" w:cs="Arial"/>
          <w:sz w:val="24"/>
          <w:szCs w:val="24"/>
        </w:rPr>
        <w:t>s</w:t>
      </w:r>
      <w:r w:rsidR="00316CC1">
        <w:rPr>
          <w:rFonts w:ascii="Arial" w:hAnsi="Arial" w:cs="Arial"/>
          <w:sz w:val="24"/>
          <w:szCs w:val="24"/>
        </w:rPr>
        <w:t xml:space="preserve"> en Resolución </w:t>
      </w:r>
      <w:r w:rsidR="00E91054">
        <w:rPr>
          <w:rFonts w:ascii="Arial" w:hAnsi="Arial" w:cs="Arial"/>
          <w:sz w:val="24"/>
          <w:szCs w:val="24"/>
        </w:rPr>
        <w:t>del Directorio R 11.-1990 del 22.12.2011</w:t>
      </w:r>
      <w:r w:rsidR="00A63E71">
        <w:rPr>
          <w:rFonts w:ascii="Arial" w:hAnsi="Arial" w:cs="Arial"/>
          <w:sz w:val="24"/>
          <w:szCs w:val="24"/>
        </w:rPr>
        <w:t xml:space="preserve">, </w:t>
      </w:r>
      <w:r w:rsidR="00316CC1">
        <w:rPr>
          <w:rFonts w:ascii="Arial" w:hAnsi="Arial" w:cs="Arial"/>
          <w:sz w:val="24"/>
          <w:szCs w:val="24"/>
        </w:rPr>
        <w:t>se</w:t>
      </w:r>
      <w:r w:rsidR="00E91054">
        <w:rPr>
          <w:rFonts w:ascii="Arial" w:hAnsi="Arial" w:cs="Arial"/>
          <w:sz w:val="24"/>
          <w:szCs w:val="24"/>
        </w:rPr>
        <w:t xml:space="preserve"> adjudicó</w:t>
      </w:r>
      <w:r w:rsidR="008D4E30">
        <w:rPr>
          <w:rFonts w:ascii="Arial" w:hAnsi="Arial" w:cs="Arial"/>
          <w:sz w:val="24"/>
          <w:szCs w:val="24"/>
        </w:rPr>
        <w:t xml:space="preserve"> ad referéndum de la intervención del T. de Cuentas, </w:t>
      </w:r>
      <w:r w:rsidR="00E91054">
        <w:rPr>
          <w:rFonts w:ascii="Arial" w:hAnsi="Arial" w:cs="Arial"/>
          <w:sz w:val="24"/>
          <w:szCs w:val="24"/>
        </w:rPr>
        <w:t>el llamado de acuerdo a lo aconsejado por la Comisión Asesora, por el plazo de 24 meses o hasta agotar el monto adjudicado,  lo que ocurra primero;</w:t>
      </w:r>
    </w:p>
    <w:p w:rsidR="00273605" w:rsidRPr="00AC1846" w:rsidRDefault="00273605" w:rsidP="00316C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3AB0">
        <w:rPr>
          <w:rFonts w:ascii="Arial" w:hAnsi="Arial" w:cs="Arial"/>
          <w:b/>
          <w:sz w:val="24"/>
          <w:szCs w:val="24"/>
        </w:rPr>
        <w:lastRenderedPageBreak/>
        <w:t>CONSIDERANDO: 1</w:t>
      </w:r>
      <w:r w:rsidR="00C05C55">
        <w:rPr>
          <w:rFonts w:ascii="Arial" w:hAnsi="Arial" w:cs="Arial"/>
          <w:b/>
          <w:sz w:val="24"/>
          <w:szCs w:val="24"/>
        </w:rPr>
        <w:t>)</w:t>
      </w:r>
      <w:r w:rsidR="00C05C55" w:rsidRPr="00AC1846">
        <w:rPr>
          <w:rFonts w:ascii="Arial" w:hAnsi="Arial" w:cs="Arial"/>
          <w:sz w:val="24"/>
          <w:szCs w:val="24"/>
        </w:rPr>
        <w:t xml:space="preserve"> que</w:t>
      </w:r>
      <w:r w:rsidRPr="00AC1846">
        <w:rPr>
          <w:rFonts w:ascii="Arial" w:hAnsi="Arial" w:cs="Arial"/>
          <w:sz w:val="24"/>
          <w:szCs w:val="24"/>
        </w:rPr>
        <w:t xml:space="preserve"> la información correspondiente a la </w:t>
      </w:r>
      <w:r w:rsidR="008D4E30">
        <w:rPr>
          <w:rFonts w:ascii="Arial" w:hAnsi="Arial" w:cs="Arial"/>
          <w:sz w:val="24"/>
          <w:szCs w:val="24"/>
        </w:rPr>
        <w:t xml:space="preserve">imputación del gasto y de la </w:t>
      </w:r>
      <w:r w:rsidRPr="00AC1846">
        <w:rPr>
          <w:rFonts w:ascii="Arial" w:hAnsi="Arial" w:cs="Arial"/>
          <w:sz w:val="24"/>
          <w:szCs w:val="24"/>
        </w:rPr>
        <w:t xml:space="preserve">disponibilidad presupuestal en el rubro adecuado debe constar en la documentación que se tramita, según lo establecido en el  Artículo </w:t>
      </w:r>
      <w:r w:rsidR="00ED6814">
        <w:rPr>
          <w:rFonts w:ascii="Arial" w:hAnsi="Arial" w:cs="Arial"/>
          <w:sz w:val="24"/>
          <w:szCs w:val="24"/>
        </w:rPr>
        <w:t>13 numeral D) de la Ordenanza Nº</w:t>
      </w:r>
      <w:r w:rsidRPr="00AC1846">
        <w:rPr>
          <w:rFonts w:ascii="Arial" w:hAnsi="Arial" w:cs="Arial"/>
          <w:sz w:val="24"/>
          <w:szCs w:val="24"/>
        </w:rPr>
        <w:t xml:space="preserve"> 27 del Tribunal de Cuentas de fecha 22.05.1958; </w:t>
      </w:r>
    </w:p>
    <w:p w:rsidR="00316CC1" w:rsidRDefault="008D4E30" w:rsidP="00316CC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D7015C">
        <w:rPr>
          <w:rFonts w:ascii="Arial" w:hAnsi="Arial" w:cs="Arial"/>
          <w:b/>
          <w:sz w:val="24"/>
          <w:szCs w:val="24"/>
        </w:rPr>
        <w:t xml:space="preserve"> </w:t>
      </w:r>
      <w:r w:rsidRPr="004E5A5A">
        <w:rPr>
          <w:rFonts w:ascii="Arial" w:hAnsi="Arial" w:cs="Arial"/>
          <w:sz w:val="24"/>
          <w:szCs w:val="24"/>
        </w:rPr>
        <w:t>que de acuerdo al art. 5.2 del Pliego, la adjudicación se hará respecto de la oferta de precio más conveniente dentro</w:t>
      </w:r>
      <w:r w:rsidR="00D7015C">
        <w:rPr>
          <w:rFonts w:ascii="Arial" w:hAnsi="Arial" w:cs="Arial"/>
          <w:sz w:val="24"/>
          <w:szCs w:val="24"/>
        </w:rPr>
        <w:t xml:space="preserve"> de las técnicamente aceptadas, “que el precio unitario es el que resulte de multiplicar los referidos valores unitarios por el valor “P” cotizado y l</w:t>
      </w:r>
      <w:r w:rsidRPr="004E5A5A">
        <w:rPr>
          <w:rFonts w:ascii="Arial" w:hAnsi="Arial" w:cs="Arial"/>
          <w:sz w:val="24"/>
          <w:szCs w:val="24"/>
        </w:rPr>
        <w:t xml:space="preserve">a oferta económica </w:t>
      </w:r>
      <w:r w:rsidR="00D7015C">
        <w:rPr>
          <w:rFonts w:ascii="Arial" w:hAnsi="Arial" w:cs="Arial"/>
          <w:sz w:val="24"/>
          <w:szCs w:val="24"/>
        </w:rPr>
        <w:t xml:space="preserve">será </w:t>
      </w:r>
      <w:r w:rsidRPr="004E5A5A">
        <w:rPr>
          <w:rFonts w:ascii="Arial" w:hAnsi="Arial" w:cs="Arial"/>
          <w:sz w:val="24"/>
          <w:szCs w:val="24"/>
        </w:rPr>
        <w:t>el valor</w:t>
      </w:r>
      <w:r w:rsidR="00D7015C">
        <w:rPr>
          <w:rFonts w:ascii="Arial" w:hAnsi="Arial" w:cs="Arial"/>
          <w:sz w:val="24"/>
          <w:szCs w:val="24"/>
        </w:rPr>
        <w:t xml:space="preserve"> “</w:t>
      </w:r>
      <w:r w:rsidRPr="004E5A5A">
        <w:rPr>
          <w:rFonts w:ascii="Arial" w:hAnsi="Arial" w:cs="Arial"/>
          <w:sz w:val="24"/>
          <w:szCs w:val="24"/>
        </w:rPr>
        <w:t>P</w:t>
      </w:r>
      <w:r w:rsidR="00D7015C">
        <w:rPr>
          <w:rFonts w:ascii="Arial" w:hAnsi="Arial" w:cs="Arial"/>
          <w:sz w:val="24"/>
          <w:szCs w:val="24"/>
        </w:rPr>
        <w:t>”</w:t>
      </w:r>
      <w:r w:rsidRPr="004E5A5A">
        <w:rPr>
          <w:rFonts w:ascii="Arial" w:hAnsi="Arial" w:cs="Arial"/>
          <w:sz w:val="24"/>
          <w:szCs w:val="24"/>
        </w:rPr>
        <w:t xml:space="preserve"> cotizado</w:t>
      </w:r>
      <w:r w:rsidR="00316CC1">
        <w:rPr>
          <w:rFonts w:ascii="Arial" w:hAnsi="Arial" w:cs="Arial"/>
          <w:sz w:val="24"/>
          <w:szCs w:val="24"/>
        </w:rPr>
        <w:t>,</w:t>
      </w:r>
      <w:r w:rsidRPr="004E5A5A">
        <w:rPr>
          <w:rFonts w:ascii="Arial" w:hAnsi="Arial" w:cs="Arial"/>
          <w:sz w:val="24"/>
          <w:szCs w:val="24"/>
        </w:rPr>
        <w:t xml:space="preserve"> el cual será tomado como base del</w:t>
      </w:r>
      <w:r w:rsidR="00D7015C">
        <w:rPr>
          <w:rFonts w:ascii="Arial" w:hAnsi="Arial" w:cs="Arial"/>
          <w:sz w:val="24"/>
          <w:szCs w:val="24"/>
        </w:rPr>
        <w:t xml:space="preserve"> estudio comparativo de ofertas, a efectos del comparativo de precios”; </w:t>
      </w:r>
    </w:p>
    <w:p w:rsidR="008D4E30" w:rsidRPr="004E5A5A" w:rsidRDefault="008D4E30" w:rsidP="00316CC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D7015C">
        <w:rPr>
          <w:rFonts w:ascii="Arial" w:hAnsi="Arial" w:cs="Arial"/>
          <w:b/>
          <w:sz w:val="24"/>
          <w:szCs w:val="24"/>
        </w:rPr>
        <w:t>3)</w:t>
      </w:r>
      <w:r w:rsidRPr="004E5A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5A5A">
        <w:rPr>
          <w:rFonts w:ascii="Arial" w:hAnsi="Arial" w:cs="Arial"/>
          <w:sz w:val="24"/>
          <w:szCs w:val="24"/>
        </w:rPr>
        <w:t>que</w:t>
      </w:r>
      <w:proofErr w:type="gramEnd"/>
      <w:r w:rsidRPr="004E5A5A">
        <w:rPr>
          <w:rFonts w:ascii="Arial" w:hAnsi="Arial" w:cs="Arial"/>
          <w:sz w:val="24"/>
          <w:szCs w:val="24"/>
        </w:rPr>
        <w:t xml:space="preserve"> </w:t>
      </w:r>
      <w:r w:rsidR="00D7015C">
        <w:rPr>
          <w:rFonts w:ascii="Arial" w:hAnsi="Arial" w:cs="Arial"/>
          <w:sz w:val="24"/>
          <w:szCs w:val="24"/>
        </w:rPr>
        <w:t>en el informe de fecha 8/1/19 (R</w:t>
      </w:r>
      <w:r w:rsidRPr="004E5A5A">
        <w:rPr>
          <w:rFonts w:ascii="Arial" w:hAnsi="Arial" w:cs="Arial"/>
          <w:sz w:val="24"/>
          <w:szCs w:val="24"/>
        </w:rPr>
        <w:t xml:space="preserve">esultando 2) se establece el puntaje que obtuvieron las ofertas en la </w:t>
      </w:r>
      <w:r w:rsidR="004E5A5A" w:rsidRPr="004E5A5A">
        <w:rPr>
          <w:rFonts w:ascii="Arial" w:hAnsi="Arial" w:cs="Arial"/>
          <w:sz w:val="24"/>
          <w:szCs w:val="24"/>
        </w:rPr>
        <w:t>calificación</w:t>
      </w:r>
      <w:r w:rsidRPr="004E5A5A">
        <w:rPr>
          <w:rFonts w:ascii="Arial" w:hAnsi="Arial" w:cs="Arial"/>
          <w:sz w:val="24"/>
          <w:szCs w:val="24"/>
        </w:rPr>
        <w:t xml:space="preserve"> técnica, pero no surge en dicho informe el análisis previo de </w:t>
      </w:r>
      <w:r w:rsidR="004E5A5A" w:rsidRPr="004E5A5A">
        <w:rPr>
          <w:rFonts w:ascii="Arial" w:hAnsi="Arial" w:cs="Arial"/>
          <w:sz w:val="24"/>
          <w:szCs w:val="24"/>
        </w:rPr>
        <w:t>las</w:t>
      </w:r>
      <w:r w:rsidRPr="004E5A5A">
        <w:rPr>
          <w:rFonts w:ascii="Arial" w:hAnsi="Arial" w:cs="Arial"/>
          <w:sz w:val="24"/>
          <w:szCs w:val="24"/>
        </w:rPr>
        <w:t xml:space="preserve"> propuesta</w:t>
      </w:r>
      <w:r w:rsidR="00D7015C">
        <w:rPr>
          <w:rFonts w:ascii="Arial" w:hAnsi="Arial" w:cs="Arial"/>
          <w:sz w:val="24"/>
          <w:szCs w:val="24"/>
        </w:rPr>
        <w:t>s que determinó</w:t>
      </w:r>
      <w:r w:rsidR="004E5A5A" w:rsidRPr="004E5A5A">
        <w:rPr>
          <w:rFonts w:ascii="Arial" w:hAnsi="Arial" w:cs="Arial"/>
          <w:sz w:val="24"/>
          <w:szCs w:val="24"/>
        </w:rPr>
        <w:t xml:space="preserve"> que se les  otorgara dicho puntaje;</w:t>
      </w:r>
    </w:p>
    <w:p w:rsidR="00273605" w:rsidRDefault="00273605" w:rsidP="00316C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5C7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 y a lo dispuesto por el art. 211 lit. B) de la Constitución de la Republica;</w:t>
      </w:r>
    </w:p>
    <w:p w:rsidR="00273605" w:rsidRDefault="00273605" w:rsidP="002736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790B">
        <w:rPr>
          <w:rFonts w:ascii="Arial" w:hAnsi="Arial" w:cs="Arial"/>
          <w:b/>
          <w:sz w:val="24"/>
          <w:szCs w:val="24"/>
        </w:rPr>
        <w:t>EL TRIBUNAL ACUERDA</w:t>
      </w:r>
    </w:p>
    <w:p w:rsidR="00273605" w:rsidRPr="00123AB0" w:rsidRDefault="00AE1619" w:rsidP="00AE161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161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16CC1">
        <w:rPr>
          <w:rFonts w:ascii="Arial" w:hAnsi="Arial" w:cs="Arial"/>
          <w:sz w:val="24"/>
          <w:szCs w:val="24"/>
        </w:rPr>
        <w:t xml:space="preserve">Cometer al Contador </w:t>
      </w:r>
      <w:r w:rsidR="00273605" w:rsidRPr="00123AB0">
        <w:rPr>
          <w:rFonts w:ascii="Arial" w:hAnsi="Arial" w:cs="Arial"/>
          <w:sz w:val="24"/>
          <w:szCs w:val="24"/>
        </w:rPr>
        <w:t>Delegado l</w:t>
      </w:r>
      <w:r w:rsidR="00ED6814">
        <w:rPr>
          <w:rFonts w:ascii="Arial" w:hAnsi="Arial" w:cs="Arial"/>
          <w:sz w:val="24"/>
          <w:szCs w:val="24"/>
        </w:rPr>
        <w:t>a intervención del gasto, de  $</w:t>
      </w:r>
      <w:r w:rsidR="00273605" w:rsidRPr="00123AB0">
        <w:rPr>
          <w:rFonts w:ascii="Arial" w:hAnsi="Arial" w:cs="Arial"/>
          <w:sz w:val="24"/>
          <w:szCs w:val="24"/>
        </w:rPr>
        <w:t>468.425.214,94</w:t>
      </w:r>
      <w:r w:rsidR="004E5A5A">
        <w:rPr>
          <w:rFonts w:ascii="Arial" w:hAnsi="Arial" w:cs="Arial"/>
          <w:sz w:val="24"/>
          <w:szCs w:val="24"/>
        </w:rPr>
        <w:t>,</w:t>
      </w:r>
      <w:r w:rsidR="00316CC1">
        <w:rPr>
          <w:rFonts w:ascii="Arial" w:hAnsi="Arial" w:cs="Arial"/>
          <w:sz w:val="24"/>
          <w:szCs w:val="24"/>
        </w:rPr>
        <w:t xml:space="preserve"> impuestos y ajustes incluidos,</w:t>
      </w:r>
      <w:r w:rsidR="00273605" w:rsidRPr="00123AB0">
        <w:rPr>
          <w:rFonts w:ascii="Arial" w:hAnsi="Arial" w:cs="Arial"/>
          <w:sz w:val="24"/>
          <w:szCs w:val="24"/>
        </w:rPr>
        <w:t xml:space="preserve"> previo control de la  imputación en el rubro adecuado con disponib</w:t>
      </w:r>
      <w:r w:rsidR="00ED6814">
        <w:rPr>
          <w:rFonts w:ascii="Arial" w:hAnsi="Arial" w:cs="Arial"/>
          <w:sz w:val="24"/>
          <w:szCs w:val="24"/>
        </w:rPr>
        <w:t xml:space="preserve">ilidad suficiente; </w:t>
      </w:r>
    </w:p>
    <w:p w:rsidR="00273605" w:rsidRPr="00123AB0" w:rsidRDefault="00AE1619" w:rsidP="00AE161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161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273605" w:rsidRPr="00123AB0">
        <w:rPr>
          <w:rFonts w:ascii="Arial" w:hAnsi="Arial" w:cs="Arial"/>
          <w:sz w:val="24"/>
          <w:szCs w:val="24"/>
        </w:rPr>
        <w:t>Tén</w:t>
      </w:r>
      <w:r w:rsidR="00D7015C">
        <w:rPr>
          <w:rFonts w:ascii="Arial" w:hAnsi="Arial" w:cs="Arial"/>
          <w:sz w:val="24"/>
          <w:szCs w:val="24"/>
        </w:rPr>
        <w:t>gase presente lo expresado en los</w:t>
      </w:r>
      <w:r w:rsidR="00273605" w:rsidRPr="00123AB0">
        <w:rPr>
          <w:rFonts w:ascii="Arial" w:hAnsi="Arial" w:cs="Arial"/>
          <w:sz w:val="24"/>
          <w:szCs w:val="24"/>
        </w:rPr>
        <w:t xml:space="preserve"> Considerando</w:t>
      </w:r>
      <w:r w:rsidR="00316CC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D7015C">
        <w:rPr>
          <w:rFonts w:ascii="Arial" w:hAnsi="Arial" w:cs="Arial"/>
          <w:sz w:val="24"/>
          <w:szCs w:val="24"/>
        </w:rPr>
        <w:t xml:space="preserve"> 1) y </w:t>
      </w:r>
      <w:r w:rsidR="00273605" w:rsidRPr="00123AB0">
        <w:rPr>
          <w:rFonts w:ascii="Arial" w:hAnsi="Arial" w:cs="Arial"/>
          <w:sz w:val="24"/>
          <w:szCs w:val="24"/>
        </w:rPr>
        <w:t xml:space="preserve"> </w:t>
      </w:r>
      <w:r w:rsidR="004E5A5A">
        <w:rPr>
          <w:rFonts w:ascii="Arial" w:hAnsi="Arial" w:cs="Arial"/>
          <w:sz w:val="24"/>
          <w:szCs w:val="24"/>
        </w:rPr>
        <w:t>3</w:t>
      </w:r>
      <w:r w:rsidR="00273605" w:rsidRPr="00123AB0">
        <w:rPr>
          <w:rFonts w:ascii="Arial" w:hAnsi="Arial" w:cs="Arial"/>
          <w:sz w:val="24"/>
          <w:szCs w:val="24"/>
        </w:rPr>
        <w:t xml:space="preserve">); </w:t>
      </w:r>
    </w:p>
    <w:p w:rsidR="00273605" w:rsidRPr="00123AB0" w:rsidRDefault="00AE1619" w:rsidP="00AE161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161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273605" w:rsidRPr="00123AB0">
        <w:rPr>
          <w:rFonts w:ascii="Arial" w:hAnsi="Arial" w:cs="Arial"/>
          <w:sz w:val="24"/>
          <w:szCs w:val="24"/>
        </w:rPr>
        <w:t>Comunicar al Contador Delegado; y</w:t>
      </w:r>
    </w:p>
    <w:p w:rsidR="00273605" w:rsidRPr="00123AB0" w:rsidRDefault="00AE1619" w:rsidP="00AE1619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161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273605" w:rsidRPr="00123AB0">
        <w:rPr>
          <w:rFonts w:ascii="Arial" w:hAnsi="Arial" w:cs="Arial"/>
          <w:sz w:val="24"/>
          <w:szCs w:val="24"/>
        </w:rPr>
        <w:t>Devolver las actuaciones.</w:t>
      </w:r>
    </w:p>
    <w:p w:rsidR="00273605" w:rsidRDefault="00273605" w:rsidP="00123AB0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ED6814" w:rsidRDefault="00AE1619" w:rsidP="00096D8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ED6814" w:rsidRPr="00096D8E" w:rsidRDefault="00ED6814" w:rsidP="00096D8E">
      <w:pPr>
        <w:rPr>
          <w:rFonts w:ascii="Arial" w:hAnsi="Arial" w:cs="Arial"/>
          <w:sz w:val="24"/>
          <w:szCs w:val="24"/>
        </w:rPr>
      </w:pPr>
    </w:p>
    <w:sectPr w:rsidR="00ED6814" w:rsidRPr="00096D8E" w:rsidSect="00316CC1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C1" w:rsidRDefault="00316CC1" w:rsidP="00316CC1">
      <w:pPr>
        <w:spacing w:after="0" w:line="240" w:lineRule="auto"/>
      </w:pPr>
      <w:r>
        <w:separator/>
      </w:r>
    </w:p>
  </w:endnote>
  <w:endnote w:type="continuationSeparator" w:id="0">
    <w:p w:rsidR="00316CC1" w:rsidRDefault="00316CC1" w:rsidP="0031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225494"/>
      <w:docPartObj>
        <w:docPartGallery w:val="Page Numbers (Bottom of Page)"/>
        <w:docPartUnique/>
      </w:docPartObj>
    </w:sdtPr>
    <w:sdtContent>
      <w:p w:rsidR="00316CC1" w:rsidRDefault="00316C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6CC1">
          <w:rPr>
            <w:noProof/>
            <w:lang w:val="es-ES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C1" w:rsidRDefault="00316CC1" w:rsidP="00316CC1">
      <w:pPr>
        <w:spacing w:after="0" w:line="240" w:lineRule="auto"/>
      </w:pPr>
      <w:r>
        <w:separator/>
      </w:r>
    </w:p>
  </w:footnote>
  <w:footnote w:type="continuationSeparator" w:id="0">
    <w:p w:rsidR="00316CC1" w:rsidRDefault="00316CC1" w:rsidP="0031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45F5"/>
    <w:multiLevelType w:val="hybridMultilevel"/>
    <w:tmpl w:val="DF321420"/>
    <w:lvl w:ilvl="0" w:tplc="95B0FA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508D"/>
    <w:multiLevelType w:val="hybridMultilevel"/>
    <w:tmpl w:val="E44A7FFE"/>
    <w:lvl w:ilvl="0" w:tplc="FAA655D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257AA4"/>
    <w:multiLevelType w:val="hybridMultilevel"/>
    <w:tmpl w:val="26B68040"/>
    <w:lvl w:ilvl="0" w:tplc="744264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8E"/>
    <w:rsid w:val="00026527"/>
    <w:rsid w:val="00092C23"/>
    <w:rsid w:val="00096D8E"/>
    <w:rsid w:val="000E0026"/>
    <w:rsid w:val="000F03EC"/>
    <w:rsid w:val="00100DDE"/>
    <w:rsid w:val="00123AB0"/>
    <w:rsid w:val="00177BE8"/>
    <w:rsid w:val="001F7883"/>
    <w:rsid w:val="00262D0E"/>
    <w:rsid w:val="002728DA"/>
    <w:rsid w:val="00273605"/>
    <w:rsid w:val="00316CC1"/>
    <w:rsid w:val="003519B6"/>
    <w:rsid w:val="003B559B"/>
    <w:rsid w:val="004E5A5A"/>
    <w:rsid w:val="005B586B"/>
    <w:rsid w:val="00603721"/>
    <w:rsid w:val="006C0869"/>
    <w:rsid w:val="0073740C"/>
    <w:rsid w:val="00801255"/>
    <w:rsid w:val="00833980"/>
    <w:rsid w:val="008B3B19"/>
    <w:rsid w:val="008D4E30"/>
    <w:rsid w:val="008F61D0"/>
    <w:rsid w:val="00966615"/>
    <w:rsid w:val="00A63E71"/>
    <w:rsid w:val="00AE1619"/>
    <w:rsid w:val="00B21C83"/>
    <w:rsid w:val="00B25DFE"/>
    <w:rsid w:val="00BC14D0"/>
    <w:rsid w:val="00C05C55"/>
    <w:rsid w:val="00D7015C"/>
    <w:rsid w:val="00E22D72"/>
    <w:rsid w:val="00E33A27"/>
    <w:rsid w:val="00E37199"/>
    <w:rsid w:val="00E91054"/>
    <w:rsid w:val="00ED6814"/>
    <w:rsid w:val="00F87763"/>
    <w:rsid w:val="00FA3F00"/>
    <w:rsid w:val="00F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36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CC1"/>
  </w:style>
  <w:style w:type="paragraph" w:styleId="Piedepgina">
    <w:name w:val="footer"/>
    <w:basedOn w:val="Normal"/>
    <w:link w:val="PiedepginaCar"/>
    <w:uiPriority w:val="99"/>
    <w:unhideWhenUsed/>
    <w:rsid w:val="0031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36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CC1"/>
  </w:style>
  <w:style w:type="paragraph" w:styleId="Piedepgina">
    <w:name w:val="footer"/>
    <w:basedOn w:val="Normal"/>
    <w:link w:val="PiedepginaCar"/>
    <w:uiPriority w:val="99"/>
    <w:unhideWhenUsed/>
    <w:rsid w:val="0031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663B-20C7-49D5-AAA6-78F52D37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2019-05-02T15:16:00Z</dcterms:created>
  <dcterms:modified xsi:type="dcterms:W3CDTF">2019-05-02T16:49:00Z</dcterms:modified>
</cp:coreProperties>
</file>