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95A" w:rsidRPr="00786EEB" w:rsidRDefault="0079595A"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908/19</w:t>
      </w:r>
    </w:p>
    <w:p w:rsidR="0079595A" w:rsidRDefault="0079595A" w:rsidP="00786EEB">
      <w:pPr>
        <w:tabs>
          <w:tab w:val="center" w:pos="4253"/>
        </w:tabs>
        <w:suppressAutoHyphens/>
        <w:jc w:val="right"/>
        <w:rPr>
          <w:rFonts w:ascii="Arial" w:hAnsi="Arial" w:cs="Arial"/>
          <w:b/>
          <w:lang w:val="es-ES_tradnl"/>
        </w:rPr>
      </w:pPr>
    </w:p>
    <w:p w:rsidR="0079595A" w:rsidRPr="0079595A" w:rsidRDefault="0079595A" w:rsidP="0079595A">
      <w:pPr>
        <w:tabs>
          <w:tab w:val="center" w:pos="4253"/>
        </w:tabs>
        <w:suppressAutoHyphens/>
        <w:spacing w:after="0" w:line="240" w:lineRule="auto"/>
        <w:jc w:val="center"/>
        <w:rPr>
          <w:rFonts w:ascii="Arial" w:hAnsi="Arial" w:cs="Arial"/>
          <w:b/>
          <w:sz w:val="24"/>
          <w:szCs w:val="24"/>
          <w:lang w:val="es-ES_tradnl"/>
        </w:rPr>
      </w:pPr>
      <w:r w:rsidRPr="0079595A">
        <w:rPr>
          <w:rFonts w:ascii="Arial" w:hAnsi="Arial" w:cs="Arial"/>
          <w:b/>
          <w:sz w:val="24"/>
          <w:szCs w:val="24"/>
          <w:lang w:val="es-ES_tradnl"/>
        </w:rPr>
        <w:t>RESOLUCION ADOPTADA POR EL</w:t>
      </w:r>
    </w:p>
    <w:p w:rsidR="0079595A" w:rsidRPr="0079595A" w:rsidRDefault="0079595A" w:rsidP="0079595A">
      <w:pPr>
        <w:tabs>
          <w:tab w:val="left" w:pos="-720"/>
        </w:tabs>
        <w:suppressAutoHyphens/>
        <w:spacing w:after="0" w:line="240" w:lineRule="auto"/>
        <w:jc w:val="center"/>
        <w:rPr>
          <w:rFonts w:ascii="Arial" w:hAnsi="Arial" w:cs="Arial"/>
          <w:b/>
          <w:sz w:val="24"/>
          <w:szCs w:val="24"/>
          <w:lang w:val="es-ES_tradnl"/>
        </w:rPr>
      </w:pPr>
    </w:p>
    <w:p w:rsidR="0079595A" w:rsidRPr="0079595A" w:rsidRDefault="0079595A" w:rsidP="0079595A">
      <w:pPr>
        <w:tabs>
          <w:tab w:val="center" w:pos="4253"/>
        </w:tabs>
        <w:suppressAutoHyphens/>
        <w:spacing w:after="0" w:line="240" w:lineRule="auto"/>
        <w:jc w:val="center"/>
        <w:rPr>
          <w:rFonts w:ascii="Arial" w:hAnsi="Arial" w:cs="Arial"/>
          <w:b/>
          <w:sz w:val="24"/>
          <w:szCs w:val="24"/>
          <w:lang w:val="es-ES_tradnl"/>
        </w:rPr>
      </w:pPr>
      <w:r w:rsidRPr="0079595A">
        <w:rPr>
          <w:rFonts w:ascii="Arial" w:hAnsi="Arial" w:cs="Arial"/>
          <w:b/>
          <w:sz w:val="24"/>
          <w:szCs w:val="24"/>
          <w:lang w:val="es-ES_tradnl"/>
        </w:rPr>
        <w:t>TRIBUNAL DE CUENTAS</w:t>
      </w:r>
    </w:p>
    <w:p w:rsidR="0079595A" w:rsidRPr="0079595A" w:rsidRDefault="0079595A" w:rsidP="0079595A">
      <w:pPr>
        <w:tabs>
          <w:tab w:val="left" w:pos="-720"/>
        </w:tabs>
        <w:suppressAutoHyphens/>
        <w:spacing w:after="0" w:line="240" w:lineRule="auto"/>
        <w:jc w:val="center"/>
        <w:rPr>
          <w:rFonts w:ascii="Arial" w:hAnsi="Arial" w:cs="Arial"/>
          <w:b/>
          <w:sz w:val="24"/>
          <w:szCs w:val="24"/>
          <w:lang w:val="es-ES_tradnl"/>
        </w:rPr>
      </w:pPr>
    </w:p>
    <w:p w:rsidR="0079595A" w:rsidRPr="0079595A" w:rsidRDefault="0079595A" w:rsidP="0079595A">
      <w:pPr>
        <w:tabs>
          <w:tab w:val="center" w:pos="4253"/>
        </w:tabs>
        <w:suppressAutoHyphens/>
        <w:spacing w:after="0" w:line="240" w:lineRule="auto"/>
        <w:jc w:val="center"/>
        <w:rPr>
          <w:rFonts w:ascii="Arial" w:hAnsi="Arial" w:cs="Arial"/>
          <w:b/>
          <w:sz w:val="24"/>
          <w:szCs w:val="24"/>
          <w:lang w:val="es-ES_tradnl"/>
        </w:rPr>
      </w:pPr>
      <w:r w:rsidRPr="0079595A">
        <w:rPr>
          <w:rFonts w:ascii="Arial" w:hAnsi="Arial" w:cs="Arial"/>
          <w:b/>
          <w:sz w:val="24"/>
          <w:szCs w:val="24"/>
          <w:lang w:val="es-ES_tradnl"/>
        </w:rPr>
        <w:t xml:space="preserve">EN SESION DE FECHA </w:t>
      </w:r>
      <w:r w:rsidRPr="0079595A">
        <w:rPr>
          <w:rFonts w:ascii="Helvetica" w:hAnsi="Helvetica"/>
          <w:b/>
          <w:sz w:val="24"/>
          <w:szCs w:val="24"/>
          <w:lang w:val="es-ES_tradnl"/>
        </w:rPr>
        <w:t>10 DE ABRIL DE 2019</w:t>
      </w:r>
    </w:p>
    <w:p w:rsidR="0079595A" w:rsidRPr="0079595A" w:rsidRDefault="0079595A" w:rsidP="0079595A">
      <w:pPr>
        <w:tabs>
          <w:tab w:val="center" w:pos="4253"/>
        </w:tabs>
        <w:suppressAutoHyphens/>
        <w:spacing w:after="0" w:line="240" w:lineRule="auto"/>
        <w:jc w:val="center"/>
        <w:rPr>
          <w:rFonts w:ascii="Arial" w:hAnsi="Arial" w:cs="Arial"/>
          <w:b/>
          <w:sz w:val="24"/>
          <w:szCs w:val="24"/>
          <w:lang w:val="es-ES_tradnl"/>
        </w:rPr>
      </w:pPr>
    </w:p>
    <w:p w:rsidR="0079595A" w:rsidRPr="00767AEE" w:rsidRDefault="0079595A" w:rsidP="0079595A">
      <w:pPr>
        <w:tabs>
          <w:tab w:val="center" w:pos="4253"/>
        </w:tabs>
        <w:suppressAutoHyphens/>
        <w:spacing w:after="0" w:line="240" w:lineRule="auto"/>
        <w:jc w:val="center"/>
        <w:rPr>
          <w:rFonts w:ascii="Arial" w:hAnsi="Arial" w:cs="Arial"/>
          <w:b/>
          <w:sz w:val="24"/>
          <w:szCs w:val="24"/>
        </w:rPr>
      </w:pPr>
      <w:r w:rsidRPr="00767AEE">
        <w:rPr>
          <w:rFonts w:ascii="Arial" w:hAnsi="Arial" w:cs="Arial"/>
          <w:b/>
          <w:sz w:val="24"/>
          <w:szCs w:val="24"/>
        </w:rPr>
        <w:t xml:space="preserve">(E. E. Nº 2013-17-1-0005460, </w:t>
      </w:r>
      <w:proofErr w:type="spellStart"/>
      <w:r w:rsidRPr="00767AEE">
        <w:rPr>
          <w:rFonts w:ascii="Arial" w:hAnsi="Arial" w:cs="Arial"/>
          <w:b/>
          <w:sz w:val="24"/>
          <w:szCs w:val="24"/>
        </w:rPr>
        <w:t>Ent</w:t>
      </w:r>
      <w:proofErr w:type="spellEnd"/>
      <w:r w:rsidRPr="00767AEE">
        <w:rPr>
          <w:rFonts w:ascii="Arial" w:hAnsi="Arial" w:cs="Arial"/>
          <w:b/>
          <w:sz w:val="24"/>
          <w:szCs w:val="24"/>
        </w:rPr>
        <w:t>. N° 1263/19)</w:t>
      </w:r>
    </w:p>
    <w:p w:rsidR="0079595A" w:rsidRPr="00767AEE" w:rsidRDefault="0079595A">
      <w:pPr>
        <w:tabs>
          <w:tab w:val="center" w:pos="4253"/>
        </w:tabs>
        <w:suppressAutoHyphens/>
        <w:jc w:val="center"/>
        <w:rPr>
          <w:rFonts w:ascii="Helvetica" w:hAnsi="Helvetica"/>
          <w:b/>
        </w:rPr>
      </w:pPr>
    </w:p>
    <w:p w:rsidR="0079595A" w:rsidRDefault="009D2202" w:rsidP="0079595A">
      <w:pPr>
        <w:spacing w:after="0" w:line="360" w:lineRule="auto"/>
        <w:ind w:firstLine="851"/>
        <w:jc w:val="both"/>
        <w:rPr>
          <w:rFonts w:ascii="Arial" w:hAnsi="Arial" w:cs="Arial"/>
          <w:sz w:val="24"/>
          <w:szCs w:val="24"/>
          <w:lang w:val="es-ES"/>
        </w:rPr>
      </w:pPr>
      <w:r w:rsidRPr="009D2202">
        <w:rPr>
          <w:rFonts w:ascii="Arial" w:hAnsi="Arial" w:cs="Arial"/>
          <w:b/>
          <w:bCs/>
          <w:sz w:val="24"/>
          <w:szCs w:val="24"/>
          <w:lang w:val="es-ES"/>
        </w:rPr>
        <w:t>VISTO</w:t>
      </w:r>
      <w:r w:rsidRPr="009D2202">
        <w:rPr>
          <w:rFonts w:ascii="Arial" w:hAnsi="Arial" w:cs="Arial"/>
          <w:sz w:val="24"/>
          <w:szCs w:val="24"/>
          <w:lang w:val="es-ES"/>
        </w:rPr>
        <w:t>: estas actuaciones relacionadas con los convenios suscritos por el Ministerio de Desarrollo Social (MIDES), y Repúb</w:t>
      </w:r>
      <w:r w:rsidR="0079595A">
        <w:rPr>
          <w:rFonts w:ascii="Arial" w:hAnsi="Arial" w:cs="Arial"/>
          <w:sz w:val="24"/>
          <w:szCs w:val="24"/>
          <w:lang w:val="es-ES"/>
        </w:rPr>
        <w:t xml:space="preserve">lica </w:t>
      </w:r>
      <w:proofErr w:type="spellStart"/>
      <w:r w:rsidR="0079595A">
        <w:rPr>
          <w:rFonts w:ascii="Arial" w:hAnsi="Arial" w:cs="Arial"/>
          <w:sz w:val="24"/>
          <w:szCs w:val="24"/>
          <w:lang w:val="es-ES"/>
        </w:rPr>
        <w:t>Microfinanzas</w:t>
      </w:r>
      <w:proofErr w:type="spellEnd"/>
      <w:r w:rsidR="0079595A">
        <w:rPr>
          <w:rFonts w:ascii="Arial" w:hAnsi="Arial" w:cs="Arial"/>
          <w:sz w:val="24"/>
          <w:szCs w:val="24"/>
          <w:lang w:val="es-ES"/>
        </w:rPr>
        <w:t xml:space="preserve"> S.A. (RMSA);</w:t>
      </w:r>
    </w:p>
    <w:p w:rsidR="0079595A" w:rsidRDefault="009D2202" w:rsidP="0079595A">
      <w:pPr>
        <w:spacing w:after="0" w:line="360" w:lineRule="auto"/>
        <w:ind w:firstLine="851"/>
        <w:jc w:val="both"/>
        <w:rPr>
          <w:rFonts w:ascii="Arial" w:hAnsi="Arial" w:cs="Arial"/>
          <w:sz w:val="24"/>
          <w:szCs w:val="24"/>
          <w:lang w:val="es-ES"/>
        </w:rPr>
      </w:pPr>
      <w:r w:rsidRPr="009D2202">
        <w:rPr>
          <w:rFonts w:ascii="Arial" w:hAnsi="Arial" w:cs="Arial"/>
          <w:b/>
          <w:bCs/>
          <w:sz w:val="24"/>
          <w:szCs w:val="24"/>
          <w:lang w:val="es-ES"/>
        </w:rPr>
        <w:t xml:space="preserve">RESULTANDO: 1) </w:t>
      </w:r>
      <w:r w:rsidRPr="009D2202">
        <w:rPr>
          <w:rFonts w:ascii="Arial" w:hAnsi="Arial" w:cs="Arial"/>
          <w:sz w:val="24"/>
          <w:szCs w:val="24"/>
          <w:lang w:val="es-ES"/>
        </w:rPr>
        <w:t xml:space="preserve">que con fecha 25 de mayo de 2017, este Tribunal resolvió no formular observaciones al convenio  a </w:t>
      </w:r>
      <w:r w:rsidR="0079595A">
        <w:rPr>
          <w:rFonts w:ascii="Arial" w:hAnsi="Arial" w:cs="Arial"/>
          <w:sz w:val="24"/>
          <w:szCs w:val="24"/>
          <w:lang w:val="es-ES"/>
        </w:rPr>
        <w:t xml:space="preserve">suscribir por el MIDES y RMSA, </w:t>
      </w:r>
      <w:r w:rsidRPr="009D2202">
        <w:rPr>
          <w:rFonts w:ascii="Arial" w:hAnsi="Arial" w:cs="Arial"/>
          <w:sz w:val="24"/>
          <w:szCs w:val="24"/>
          <w:lang w:val="es-ES"/>
        </w:rPr>
        <w:t>con el objeto de apoyar los procesos que vienen desarrollando emprendedores e integrantes de Cooperativas Sociales en condiciones de vulnerabilidad en todo el territorio nacional. Por dicha resolución se cometió al Contador Auditor destacado ante el Ministerio, la intervención de los gastos, luego de dictada la Resolución por el Poder Ejecutivo en concordancia con los antecedentes remitidos a este Tribunal y suscripto el convenio, previa verificación de su imputación con cargo a grupo adecuado con disponibilidad;</w:t>
      </w:r>
    </w:p>
    <w:p w:rsidR="0079595A" w:rsidRDefault="009D2202" w:rsidP="0079595A">
      <w:pPr>
        <w:spacing w:after="0" w:line="360" w:lineRule="auto"/>
        <w:ind w:firstLine="2835"/>
        <w:jc w:val="both"/>
        <w:rPr>
          <w:rFonts w:ascii="Arial" w:hAnsi="Arial" w:cs="Arial"/>
          <w:sz w:val="24"/>
          <w:szCs w:val="24"/>
          <w:lang w:val="es-ES"/>
        </w:rPr>
      </w:pPr>
      <w:r w:rsidRPr="009D2202">
        <w:rPr>
          <w:rFonts w:ascii="Arial" w:hAnsi="Arial" w:cs="Arial"/>
          <w:b/>
          <w:sz w:val="24"/>
          <w:szCs w:val="24"/>
          <w:lang w:val="es-ES"/>
        </w:rPr>
        <w:t>2)</w:t>
      </w:r>
      <w:r w:rsidRPr="009D2202">
        <w:rPr>
          <w:rFonts w:ascii="Arial" w:hAnsi="Arial" w:cs="Arial"/>
          <w:sz w:val="24"/>
          <w:szCs w:val="24"/>
          <w:lang w:val="es-ES"/>
        </w:rPr>
        <w:t xml:space="preserve"> que el Poder Ejecutivo con fecha 14 de julio de 2017 autorizó la celebración del convenio en los términos propuestos, y éste fue suscrito el 3 de agosto de 2017 y la Contadora Auditora de este Tribunal desatacada ante el MIDES el 14 de setiembre de 2017, intervino el gasto emergente del</w:t>
      </w:r>
      <w:r w:rsidR="0079595A">
        <w:rPr>
          <w:rFonts w:ascii="Arial" w:hAnsi="Arial" w:cs="Arial"/>
          <w:sz w:val="24"/>
          <w:szCs w:val="24"/>
          <w:lang w:val="es-ES"/>
        </w:rPr>
        <w:t xml:space="preserve"> convenio, por la suma de $ 117:</w:t>
      </w:r>
      <w:r w:rsidRPr="009D2202">
        <w:rPr>
          <w:rFonts w:ascii="Arial" w:hAnsi="Arial" w:cs="Arial"/>
          <w:sz w:val="24"/>
          <w:szCs w:val="24"/>
          <w:lang w:val="es-ES"/>
        </w:rPr>
        <w:t>350.700;</w:t>
      </w:r>
    </w:p>
    <w:p w:rsidR="0079595A" w:rsidRDefault="009D2202" w:rsidP="0079595A">
      <w:pPr>
        <w:spacing w:after="0" w:line="360" w:lineRule="auto"/>
        <w:ind w:firstLine="2835"/>
        <w:jc w:val="both"/>
        <w:rPr>
          <w:rFonts w:ascii="Arial" w:hAnsi="Arial" w:cs="Arial"/>
          <w:sz w:val="24"/>
          <w:szCs w:val="24"/>
          <w:lang w:val="es-ES"/>
        </w:rPr>
      </w:pPr>
      <w:r w:rsidRPr="009D2202">
        <w:rPr>
          <w:rFonts w:ascii="Arial" w:hAnsi="Arial" w:cs="Arial"/>
          <w:b/>
          <w:sz w:val="24"/>
          <w:szCs w:val="24"/>
          <w:lang w:val="es-ES"/>
        </w:rPr>
        <w:t>3)</w:t>
      </w:r>
      <w:r w:rsidRPr="009D2202">
        <w:rPr>
          <w:rFonts w:ascii="Arial" w:hAnsi="Arial" w:cs="Arial"/>
          <w:sz w:val="24"/>
          <w:szCs w:val="24"/>
          <w:lang w:val="es-ES"/>
        </w:rPr>
        <w:t xml:space="preserve"> que la cláusula cuarta de dicho Acuerdo dispone que su plazo es de un año, prorrogable por períodos iguales o menores por </w:t>
      </w:r>
      <w:r w:rsidRPr="009D2202">
        <w:rPr>
          <w:rFonts w:ascii="Arial" w:hAnsi="Arial" w:cs="Arial"/>
          <w:sz w:val="24"/>
          <w:szCs w:val="24"/>
          <w:lang w:val="es-ES"/>
        </w:rPr>
        <w:lastRenderedPageBreak/>
        <w:t>acuerdo de partes, reservándose el Mides en ese caso la facultad de determinar el monto a transferir a RMSA;</w:t>
      </w:r>
    </w:p>
    <w:p w:rsidR="00354D75" w:rsidRDefault="009D2202" w:rsidP="00354D75">
      <w:pPr>
        <w:spacing w:after="0" w:line="360" w:lineRule="auto"/>
        <w:ind w:firstLine="2835"/>
        <w:jc w:val="both"/>
        <w:rPr>
          <w:rFonts w:ascii="Arial" w:hAnsi="Arial" w:cs="Arial"/>
          <w:sz w:val="24"/>
          <w:szCs w:val="24"/>
          <w:lang w:val="es-ES"/>
        </w:rPr>
      </w:pPr>
      <w:r w:rsidRPr="009D2202">
        <w:rPr>
          <w:rFonts w:ascii="Arial" w:hAnsi="Arial" w:cs="Arial"/>
          <w:b/>
          <w:sz w:val="24"/>
          <w:szCs w:val="24"/>
          <w:lang w:val="es-ES"/>
        </w:rPr>
        <w:t>4)</w:t>
      </w:r>
      <w:r w:rsidR="0077689F">
        <w:rPr>
          <w:rFonts w:ascii="Arial" w:hAnsi="Arial" w:cs="Arial"/>
          <w:sz w:val="24"/>
          <w:szCs w:val="24"/>
          <w:lang w:val="es-ES"/>
        </w:rPr>
        <w:t xml:space="preserve"> que posteriormente, </w:t>
      </w:r>
      <w:r w:rsidRPr="009D2202">
        <w:rPr>
          <w:rFonts w:ascii="Arial" w:hAnsi="Arial" w:cs="Arial"/>
          <w:sz w:val="24"/>
          <w:szCs w:val="24"/>
          <w:lang w:val="es-ES"/>
        </w:rPr>
        <w:t>en el marco de lo dispuesto, las partes por notas de fecha  2 y 5 de abril de 2018,  manifestaron su voluntad de</w:t>
      </w:r>
      <w:r w:rsidR="0079595A">
        <w:rPr>
          <w:rFonts w:ascii="Arial" w:hAnsi="Arial" w:cs="Arial"/>
          <w:sz w:val="24"/>
          <w:szCs w:val="24"/>
          <w:lang w:val="es-ES"/>
        </w:rPr>
        <w:t>:</w:t>
      </w:r>
      <w:r w:rsidRPr="009D2202">
        <w:rPr>
          <w:rFonts w:ascii="Arial" w:hAnsi="Arial" w:cs="Arial"/>
          <w:sz w:val="24"/>
          <w:szCs w:val="24"/>
          <w:lang w:val="es-ES"/>
        </w:rPr>
        <w:t xml:space="preserve"> </w:t>
      </w:r>
      <w:r w:rsidRPr="009D2202">
        <w:rPr>
          <w:rFonts w:ascii="Arial" w:hAnsi="Arial" w:cs="Arial"/>
          <w:b/>
          <w:sz w:val="24"/>
          <w:szCs w:val="24"/>
          <w:lang w:val="es-ES"/>
        </w:rPr>
        <w:t>a)</w:t>
      </w:r>
      <w:r w:rsidRPr="009D2202">
        <w:rPr>
          <w:rFonts w:ascii="Arial" w:hAnsi="Arial" w:cs="Arial"/>
          <w:sz w:val="24"/>
          <w:szCs w:val="24"/>
          <w:lang w:val="es-ES"/>
        </w:rPr>
        <w:t xml:space="preserve"> prorrogar el convenio por el plazo de 1 año a partir del 8 de junio</w:t>
      </w:r>
      <w:r w:rsidR="0079595A">
        <w:rPr>
          <w:rFonts w:ascii="Arial" w:hAnsi="Arial" w:cs="Arial"/>
          <w:sz w:val="24"/>
          <w:szCs w:val="24"/>
          <w:lang w:val="es-ES"/>
        </w:rPr>
        <w:t xml:space="preserve"> de 2018, por el monto de $ 117:</w:t>
      </w:r>
      <w:r w:rsidRPr="009D2202">
        <w:rPr>
          <w:rFonts w:ascii="Arial" w:hAnsi="Arial" w:cs="Arial"/>
          <w:sz w:val="24"/>
          <w:szCs w:val="24"/>
          <w:lang w:val="es-ES"/>
        </w:rPr>
        <w:t>350.700 (transferido en cua</w:t>
      </w:r>
      <w:r w:rsidR="00354D75">
        <w:rPr>
          <w:rFonts w:ascii="Arial" w:hAnsi="Arial" w:cs="Arial"/>
          <w:sz w:val="24"/>
          <w:szCs w:val="24"/>
          <w:lang w:val="es-ES"/>
        </w:rPr>
        <w:t>tro partidas la primera de $ 71:</w:t>
      </w:r>
      <w:r w:rsidRPr="009D2202">
        <w:rPr>
          <w:rFonts w:ascii="Arial" w:hAnsi="Arial" w:cs="Arial"/>
          <w:sz w:val="24"/>
          <w:szCs w:val="24"/>
          <w:lang w:val="es-ES"/>
        </w:rPr>
        <w:t>848.406 pagadera dentro de los 30 días de la suscripción del convenio, la segunda durante el mes de setiembre de 2018 por un m</w:t>
      </w:r>
      <w:r w:rsidR="00354D75">
        <w:rPr>
          <w:rFonts w:ascii="Arial" w:hAnsi="Arial" w:cs="Arial"/>
          <w:sz w:val="24"/>
          <w:szCs w:val="24"/>
          <w:lang w:val="es-ES"/>
        </w:rPr>
        <w:t>onto de $16:</w:t>
      </w:r>
      <w:r w:rsidRPr="009D2202">
        <w:rPr>
          <w:rFonts w:ascii="Arial" w:hAnsi="Arial" w:cs="Arial"/>
          <w:sz w:val="24"/>
          <w:szCs w:val="24"/>
          <w:lang w:val="es-ES"/>
        </w:rPr>
        <w:t>082.054, la tercera durante el mes de dic</w:t>
      </w:r>
      <w:r w:rsidR="00354D75">
        <w:rPr>
          <w:rFonts w:ascii="Arial" w:hAnsi="Arial" w:cs="Arial"/>
          <w:sz w:val="24"/>
          <w:szCs w:val="24"/>
          <w:lang w:val="es-ES"/>
        </w:rPr>
        <w:t>iembre 2018 por un monto de $ 14:</w:t>
      </w:r>
      <w:r w:rsidRPr="009D2202">
        <w:rPr>
          <w:rFonts w:ascii="Arial" w:hAnsi="Arial" w:cs="Arial"/>
          <w:sz w:val="24"/>
          <w:szCs w:val="24"/>
          <w:lang w:val="es-ES"/>
        </w:rPr>
        <w:t>710.120 y la cuarta durante el mes de enero de 201</w:t>
      </w:r>
      <w:r w:rsidR="00354D75">
        <w:rPr>
          <w:rFonts w:ascii="Arial" w:hAnsi="Arial" w:cs="Arial"/>
          <w:sz w:val="24"/>
          <w:szCs w:val="24"/>
          <w:lang w:val="es-ES"/>
        </w:rPr>
        <w:t>9 por un monto de $ 14:710.120)</w:t>
      </w:r>
      <w:r w:rsidR="00767AEE">
        <w:rPr>
          <w:rFonts w:ascii="Arial" w:hAnsi="Arial" w:cs="Arial"/>
          <w:sz w:val="24"/>
          <w:szCs w:val="24"/>
          <w:lang w:val="es-ES"/>
        </w:rPr>
        <w:t xml:space="preserve">, </w:t>
      </w:r>
      <w:r w:rsidRPr="009D2202">
        <w:rPr>
          <w:rFonts w:ascii="Arial" w:hAnsi="Arial" w:cs="Arial"/>
          <w:sz w:val="24"/>
          <w:szCs w:val="24"/>
          <w:lang w:val="es-ES"/>
        </w:rPr>
        <w:t>y</w:t>
      </w:r>
      <w:r w:rsidR="00767AEE">
        <w:rPr>
          <w:rFonts w:ascii="Arial" w:hAnsi="Arial" w:cs="Arial"/>
          <w:sz w:val="24"/>
          <w:szCs w:val="24"/>
          <w:lang w:val="es-ES"/>
        </w:rPr>
        <w:t xml:space="preserve"> </w:t>
      </w:r>
      <w:r w:rsidRPr="009D2202">
        <w:rPr>
          <w:rFonts w:ascii="Arial" w:hAnsi="Arial" w:cs="Arial"/>
          <w:sz w:val="24"/>
          <w:szCs w:val="24"/>
          <w:lang w:val="es-ES"/>
        </w:rPr>
        <w:t xml:space="preserve"> </w:t>
      </w:r>
      <w:r w:rsidR="00767AEE">
        <w:rPr>
          <w:rFonts w:ascii="Arial" w:hAnsi="Arial" w:cs="Arial"/>
          <w:sz w:val="24"/>
          <w:szCs w:val="24"/>
          <w:lang w:val="es-ES"/>
        </w:rPr>
        <w:t xml:space="preserve">    </w:t>
      </w:r>
      <w:r w:rsidRPr="009D2202">
        <w:rPr>
          <w:rFonts w:ascii="Arial" w:hAnsi="Arial" w:cs="Arial"/>
          <w:b/>
          <w:sz w:val="24"/>
          <w:szCs w:val="24"/>
          <w:lang w:val="es-ES"/>
        </w:rPr>
        <w:t>b)</w:t>
      </w:r>
      <w:r w:rsidR="00767AEE">
        <w:rPr>
          <w:rFonts w:ascii="Arial" w:hAnsi="Arial" w:cs="Arial"/>
          <w:b/>
          <w:sz w:val="24"/>
          <w:szCs w:val="24"/>
          <w:lang w:val="es-ES"/>
        </w:rPr>
        <w:t xml:space="preserve"> </w:t>
      </w:r>
      <w:r w:rsidRPr="009D2202">
        <w:rPr>
          <w:rFonts w:ascii="Arial" w:hAnsi="Arial" w:cs="Arial"/>
          <w:sz w:val="24"/>
          <w:szCs w:val="24"/>
          <w:lang w:val="es-ES"/>
        </w:rPr>
        <w:t xml:space="preserve">ampliar la suma a transferir al </w:t>
      </w:r>
      <w:r w:rsidR="00354D75">
        <w:rPr>
          <w:rFonts w:ascii="Arial" w:hAnsi="Arial" w:cs="Arial"/>
          <w:sz w:val="24"/>
          <w:szCs w:val="24"/>
          <w:lang w:val="es-ES"/>
        </w:rPr>
        <w:t>Fideicomiso en un monto de $ 30:</w:t>
      </w:r>
      <w:r w:rsidRPr="009D2202">
        <w:rPr>
          <w:rFonts w:ascii="Arial" w:hAnsi="Arial" w:cs="Arial"/>
          <w:sz w:val="24"/>
          <w:szCs w:val="24"/>
          <w:lang w:val="es-ES"/>
        </w:rPr>
        <w:t>430.414 (pagade</w:t>
      </w:r>
      <w:r w:rsidR="00354D75">
        <w:rPr>
          <w:rFonts w:ascii="Arial" w:hAnsi="Arial" w:cs="Arial"/>
          <w:sz w:val="24"/>
          <w:szCs w:val="24"/>
          <w:lang w:val="es-ES"/>
        </w:rPr>
        <w:t>ra en dos partidas de $ 15:</w:t>
      </w:r>
      <w:r w:rsidRPr="009D2202">
        <w:rPr>
          <w:rFonts w:ascii="Arial" w:hAnsi="Arial" w:cs="Arial"/>
          <w:sz w:val="24"/>
          <w:szCs w:val="24"/>
          <w:lang w:val="es-ES"/>
        </w:rPr>
        <w:t>215.207);</w:t>
      </w:r>
    </w:p>
    <w:p w:rsidR="00354D75" w:rsidRDefault="009D2202" w:rsidP="00354D75">
      <w:pPr>
        <w:spacing w:after="0" w:line="360" w:lineRule="auto"/>
        <w:ind w:firstLine="2835"/>
        <w:jc w:val="both"/>
        <w:rPr>
          <w:rFonts w:ascii="Arial" w:hAnsi="Arial" w:cs="Arial"/>
          <w:sz w:val="24"/>
          <w:szCs w:val="24"/>
          <w:lang w:val="es-ES"/>
        </w:rPr>
      </w:pPr>
      <w:r w:rsidRPr="009D2202">
        <w:rPr>
          <w:rFonts w:ascii="Arial" w:hAnsi="Arial" w:cs="Arial"/>
          <w:b/>
          <w:sz w:val="24"/>
          <w:szCs w:val="24"/>
          <w:lang w:val="es-ES"/>
        </w:rPr>
        <w:t>5)</w:t>
      </w:r>
      <w:r w:rsidRPr="009D2202">
        <w:rPr>
          <w:rFonts w:ascii="Arial" w:hAnsi="Arial" w:cs="Arial"/>
          <w:sz w:val="24"/>
          <w:szCs w:val="24"/>
          <w:lang w:val="es-ES"/>
        </w:rPr>
        <w:t xml:space="preserve"> que dicha modificación fue remitida a este Tribunal, y éste, por Resolución Nº 1752/18, de fecha 30/5/18, acordó no formular observaciones y cometer la intervención de los gastos en los mismos términos que en la Resolución anterior, salvo que se le indicó al Contador que debía verificar se realizara la modificación requerida en el Considerando 2), referida a la necesidad de subsanar la ausencia de especificación de plazo tanto en la Resolución del Poder Ejecutivo cuanto en el Convenio a suscribir;</w:t>
      </w:r>
    </w:p>
    <w:p w:rsidR="00354D75" w:rsidRDefault="009D2202" w:rsidP="00354D75">
      <w:pPr>
        <w:spacing w:after="0" w:line="360" w:lineRule="auto"/>
        <w:ind w:firstLine="2835"/>
        <w:jc w:val="both"/>
        <w:rPr>
          <w:rFonts w:ascii="Arial" w:hAnsi="Arial" w:cs="Arial"/>
          <w:sz w:val="24"/>
          <w:szCs w:val="24"/>
          <w:lang w:val="es-ES"/>
        </w:rPr>
      </w:pPr>
      <w:r w:rsidRPr="009D2202">
        <w:rPr>
          <w:rFonts w:ascii="Arial" w:hAnsi="Arial" w:cs="Arial"/>
          <w:b/>
          <w:sz w:val="24"/>
          <w:szCs w:val="24"/>
          <w:lang w:val="es-ES"/>
        </w:rPr>
        <w:t xml:space="preserve">6) </w:t>
      </w:r>
      <w:r w:rsidRPr="00E00BF2">
        <w:rPr>
          <w:rFonts w:ascii="Arial" w:hAnsi="Arial" w:cs="Arial"/>
          <w:sz w:val="24"/>
          <w:szCs w:val="24"/>
          <w:lang w:val="es-ES"/>
        </w:rPr>
        <w:t xml:space="preserve">que </w:t>
      </w:r>
      <w:r w:rsidR="001D2B6F" w:rsidRPr="00E00BF2">
        <w:rPr>
          <w:rFonts w:ascii="Arial" w:hAnsi="Arial" w:cs="Arial"/>
          <w:sz w:val="24"/>
          <w:szCs w:val="24"/>
          <w:lang w:val="es-ES"/>
        </w:rPr>
        <w:t xml:space="preserve">por Resolución </w:t>
      </w:r>
      <w:r w:rsidR="00E00BF2" w:rsidRPr="00E00BF2">
        <w:rPr>
          <w:rFonts w:ascii="Arial" w:hAnsi="Arial" w:cs="Arial"/>
          <w:sz w:val="24"/>
          <w:szCs w:val="24"/>
          <w:lang w:val="es-ES"/>
        </w:rPr>
        <w:t>N°</w:t>
      </w:r>
      <w:r w:rsidR="00354D75">
        <w:rPr>
          <w:rFonts w:ascii="Arial" w:hAnsi="Arial" w:cs="Arial"/>
          <w:sz w:val="24"/>
          <w:szCs w:val="24"/>
          <w:lang w:val="es-ES"/>
        </w:rPr>
        <w:t xml:space="preserve"> </w:t>
      </w:r>
      <w:r w:rsidR="00E00BF2" w:rsidRPr="00E00BF2">
        <w:rPr>
          <w:rFonts w:ascii="Arial" w:hAnsi="Arial" w:cs="Arial"/>
          <w:sz w:val="24"/>
          <w:szCs w:val="24"/>
          <w:lang w:val="es-ES"/>
        </w:rPr>
        <w:t xml:space="preserve">429/19 de fecha 13 de febrero de 2019 este Tribunal acordó </w:t>
      </w:r>
      <w:r w:rsidR="002E5644" w:rsidRPr="00E00BF2">
        <w:rPr>
          <w:rFonts w:ascii="Arial" w:hAnsi="Arial" w:cs="Arial"/>
          <w:sz w:val="24"/>
          <w:szCs w:val="24"/>
        </w:rPr>
        <w:t>dejar</w:t>
      </w:r>
      <w:r w:rsidR="00E00BF2" w:rsidRPr="00E00BF2">
        <w:rPr>
          <w:rFonts w:ascii="Arial" w:hAnsi="Arial" w:cs="Arial"/>
          <w:sz w:val="24"/>
          <w:szCs w:val="24"/>
        </w:rPr>
        <w:t xml:space="preserve"> sin efecto en lo pertinente, s</w:t>
      </w:r>
      <w:r w:rsidR="00E00BF2">
        <w:rPr>
          <w:rFonts w:ascii="Arial" w:hAnsi="Arial" w:cs="Arial"/>
          <w:sz w:val="24"/>
          <w:szCs w:val="24"/>
        </w:rPr>
        <w:t xml:space="preserve">u resolución de fecha 30/5/18, </w:t>
      </w:r>
      <w:r w:rsidR="0077689F">
        <w:rPr>
          <w:rFonts w:ascii="Arial" w:hAnsi="Arial" w:cs="Arial"/>
          <w:sz w:val="24"/>
          <w:szCs w:val="24"/>
        </w:rPr>
        <w:t>y o</w:t>
      </w:r>
      <w:r w:rsidR="00E00BF2" w:rsidRPr="00E00BF2">
        <w:rPr>
          <w:rFonts w:ascii="Arial" w:hAnsi="Arial" w:cs="Arial"/>
          <w:sz w:val="24"/>
          <w:szCs w:val="24"/>
        </w:rPr>
        <w:t>bserv</w:t>
      </w:r>
      <w:r w:rsidR="0077689F">
        <w:rPr>
          <w:rFonts w:ascii="Arial" w:hAnsi="Arial" w:cs="Arial"/>
          <w:sz w:val="24"/>
          <w:szCs w:val="24"/>
        </w:rPr>
        <w:t>ó</w:t>
      </w:r>
      <w:r w:rsidR="00E00BF2" w:rsidRPr="00E00BF2">
        <w:rPr>
          <w:rFonts w:ascii="Arial" w:hAnsi="Arial" w:cs="Arial"/>
          <w:sz w:val="24"/>
          <w:szCs w:val="24"/>
        </w:rPr>
        <w:t xml:space="preserve"> las tr</w:t>
      </w:r>
      <w:r w:rsidR="00354D75">
        <w:rPr>
          <w:rFonts w:ascii="Arial" w:hAnsi="Arial" w:cs="Arial"/>
          <w:sz w:val="24"/>
          <w:szCs w:val="24"/>
        </w:rPr>
        <w:t>ansferencias de $ 16:082.054, $</w:t>
      </w:r>
      <w:r w:rsidR="00E00BF2" w:rsidRPr="00E00BF2">
        <w:rPr>
          <w:rFonts w:ascii="Arial" w:hAnsi="Arial" w:cs="Arial"/>
          <w:sz w:val="24"/>
          <w:szCs w:val="24"/>
        </w:rPr>
        <w:t>15:215.207, $ 15:215.2</w:t>
      </w:r>
      <w:r w:rsidR="0050083E">
        <w:rPr>
          <w:rFonts w:ascii="Arial" w:hAnsi="Arial" w:cs="Arial"/>
          <w:sz w:val="24"/>
          <w:szCs w:val="24"/>
        </w:rPr>
        <w:t>07, y $ 14:710.120, por considerar que el actuar de la Administración</w:t>
      </w:r>
      <w:r w:rsidR="00E00BF2" w:rsidRPr="00E00BF2">
        <w:rPr>
          <w:rFonts w:ascii="Arial" w:hAnsi="Arial" w:cs="Arial"/>
          <w:sz w:val="24"/>
          <w:szCs w:val="24"/>
        </w:rPr>
        <w:t xml:space="preserve"> </w:t>
      </w:r>
      <w:r w:rsidR="0050083E">
        <w:rPr>
          <w:rFonts w:ascii="Arial" w:hAnsi="Arial" w:cs="Arial"/>
          <w:sz w:val="24"/>
          <w:szCs w:val="24"/>
        </w:rPr>
        <w:t>contravenía</w:t>
      </w:r>
      <w:r w:rsidR="001C202B" w:rsidRPr="001C202B">
        <w:rPr>
          <w:rFonts w:ascii="Arial" w:hAnsi="Arial" w:cs="Arial"/>
          <w:sz w:val="24"/>
          <w:szCs w:val="24"/>
        </w:rPr>
        <w:t xml:space="preserve"> principios elementales del procedimiento administrativo, como el de verdad material, el de transparencia y el de buena administración</w:t>
      </w:r>
      <w:r w:rsidRPr="00E00BF2">
        <w:rPr>
          <w:rFonts w:ascii="Arial" w:hAnsi="Arial" w:cs="Arial"/>
          <w:sz w:val="24"/>
          <w:szCs w:val="24"/>
          <w:lang w:val="es-ES"/>
        </w:rPr>
        <w:t>;</w:t>
      </w:r>
    </w:p>
    <w:p w:rsidR="00354D75" w:rsidRDefault="00E00BF2" w:rsidP="00354D75">
      <w:pPr>
        <w:spacing w:after="0" w:line="360" w:lineRule="auto"/>
        <w:ind w:firstLine="2835"/>
        <w:jc w:val="both"/>
        <w:rPr>
          <w:rFonts w:ascii="Arial" w:hAnsi="Arial" w:cs="Arial"/>
          <w:sz w:val="24"/>
          <w:szCs w:val="24"/>
          <w:lang w:val="es-ES"/>
        </w:rPr>
      </w:pPr>
      <w:r w:rsidRPr="00E00BF2">
        <w:rPr>
          <w:rFonts w:ascii="Arial" w:hAnsi="Arial" w:cs="Arial"/>
          <w:b/>
          <w:sz w:val="24"/>
          <w:szCs w:val="24"/>
          <w:lang w:val="es-ES"/>
        </w:rPr>
        <w:t>7)</w:t>
      </w:r>
      <w:r w:rsidR="008C76E8">
        <w:rPr>
          <w:rFonts w:ascii="Arial" w:hAnsi="Arial" w:cs="Arial"/>
          <w:b/>
          <w:sz w:val="24"/>
          <w:szCs w:val="24"/>
          <w:lang w:val="es-ES"/>
        </w:rPr>
        <w:t xml:space="preserve"> </w:t>
      </w:r>
      <w:r w:rsidR="008C76E8" w:rsidRPr="008C76E8">
        <w:rPr>
          <w:rFonts w:ascii="Arial" w:hAnsi="Arial" w:cs="Arial"/>
          <w:sz w:val="24"/>
          <w:szCs w:val="24"/>
          <w:lang w:val="es-ES"/>
        </w:rPr>
        <w:t xml:space="preserve">que </w:t>
      </w:r>
      <w:r w:rsidR="008C76E8">
        <w:rPr>
          <w:rFonts w:ascii="Arial" w:hAnsi="Arial" w:cs="Arial"/>
          <w:sz w:val="24"/>
          <w:szCs w:val="24"/>
          <w:lang w:val="es-ES"/>
        </w:rPr>
        <w:t>en esta oportunidad</w:t>
      </w:r>
      <w:r w:rsidR="001F3974">
        <w:rPr>
          <w:rFonts w:ascii="Arial" w:hAnsi="Arial" w:cs="Arial"/>
          <w:sz w:val="24"/>
          <w:szCs w:val="24"/>
          <w:lang w:val="es-ES"/>
        </w:rPr>
        <w:t>,</w:t>
      </w:r>
      <w:r w:rsidR="001C202B">
        <w:rPr>
          <w:rFonts w:ascii="Arial" w:hAnsi="Arial" w:cs="Arial"/>
          <w:sz w:val="24"/>
          <w:szCs w:val="24"/>
          <w:lang w:val="es-ES"/>
        </w:rPr>
        <w:t xml:space="preserve"> la Contadora Auditor</w:t>
      </w:r>
      <w:r w:rsidR="00354D75">
        <w:rPr>
          <w:rFonts w:ascii="Arial" w:hAnsi="Arial" w:cs="Arial"/>
          <w:sz w:val="24"/>
          <w:szCs w:val="24"/>
          <w:lang w:val="es-ES"/>
        </w:rPr>
        <w:t>a destacada de este Tribunal ante</w:t>
      </w:r>
      <w:r w:rsidR="008C76E8">
        <w:rPr>
          <w:rFonts w:ascii="Arial" w:hAnsi="Arial" w:cs="Arial"/>
          <w:sz w:val="24"/>
          <w:szCs w:val="24"/>
          <w:lang w:val="es-ES"/>
        </w:rPr>
        <w:t xml:space="preserve"> dicho Ministerio remite actuaciones </w:t>
      </w:r>
      <w:r w:rsidR="00245BD7">
        <w:rPr>
          <w:rFonts w:ascii="Arial" w:hAnsi="Arial" w:cs="Arial"/>
          <w:sz w:val="24"/>
          <w:szCs w:val="24"/>
          <w:lang w:val="es-ES"/>
        </w:rPr>
        <w:t>conteniendo c</w:t>
      </w:r>
      <w:r w:rsidR="008C76E8">
        <w:rPr>
          <w:rFonts w:ascii="Arial" w:hAnsi="Arial" w:cs="Arial"/>
          <w:sz w:val="24"/>
          <w:szCs w:val="24"/>
          <w:lang w:val="es-ES"/>
        </w:rPr>
        <w:t>opia de</w:t>
      </w:r>
      <w:r w:rsidR="008C76E8" w:rsidRPr="008C76E8">
        <w:rPr>
          <w:rFonts w:ascii="Arial" w:hAnsi="Arial" w:cs="Arial"/>
          <w:sz w:val="24"/>
          <w:szCs w:val="24"/>
          <w:lang w:val="es-ES"/>
        </w:rPr>
        <w:t xml:space="preserve"> Resolución N° 0476/019 de fecha 13 de</w:t>
      </w:r>
      <w:r w:rsidR="001F3974">
        <w:rPr>
          <w:rFonts w:ascii="Arial" w:hAnsi="Arial" w:cs="Arial"/>
          <w:sz w:val="24"/>
          <w:szCs w:val="24"/>
          <w:lang w:val="es-ES"/>
        </w:rPr>
        <w:t xml:space="preserve"> </w:t>
      </w:r>
      <w:r w:rsidR="0077689F">
        <w:rPr>
          <w:rFonts w:ascii="Arial" w:hAnsi="Arial" w:cs="Arial"/>
          <w:sz w:val="24"/>
          <w:szCs w:val="24"/>
          <w:lang w:val="es-ES"/>
        </w:rPr>
        <w:t>marzo</w:t>
      </w:r>
      <w:r w:rsidR="001F3974">
        <w:rPr>
          <w:rFonts w:ascii="Arial" w:hAnsi="Arial" w:cs="Arial"/>
          <w:sz w:val="24"/>
          <w:szCs w:val="24"/>
          <w:lang w:val="es-ES"/>
        </w:rPr>
        <w:t xml:space="preserve"> de </w:t>
      </w:r>
      <w:r w:rsidR="008C76E8" w:rsidRPr="008C76E8">
        <w:rPr>
          <w:rFonts w:ascii="Arial" w:hAnsi="Arial" w:cs="Arial"/>
          <w:sz w:val="24"/>
          <w:szCs w:val="24"/>
          <w:lang w:val="es-ES"/>
        </w:rPr>
        <w:t xml:space="preserve"> 2019</w:t>
      </w:r>
      <w:r w:rsidR="008C76E8">
        <w:rPr>
          <w:rFonts w:ascii="Arial" w:hAnsi="Arial" w:cs="Arial"/>
          <w:sz w:val="24"/>
          <w:szCs w:val="24"/>
          <w:lang w:val="es-ES"/>
        </w:rPr>
        <w:t>,</w:t>
      </w:r>
      <w:r w:rsidR="008C76E8" w:rsidRPr="008C76E8">
        <w:rPr>
          <w:rFonts w:ascii="Arial" w:hAnsi="Arial" w:cs="Arial"/>
          <w:sz w:val="24"/>
          <w:szCs w:val="24"/>
          <w:lang w:val="es-ES"/>
        </w:rPr>
        <w:t xml:space="preserve"> </w:t>
      </w:r>
      <w:r w:rsidR="008C76E8">
        <w:rPr>
          <w:rFonts w:ascii="Arial" w:hAnsi="Arial" w:cs="Arial"/>
          <w:sz w:val="24"/>
          <w:szCs w:val="24"/>
          <w:lang w:val="es-ES"/>
        </w:rPr>
        <w:lastRenderedPageBreak/>
        <w:t xml:space="preserve">por la cual </w:t>
      </w:r>
      <w:r w:rsidR="008C76E8" w:rsidRPr="008C76E8">
        <w:rPr>
          <w:rFonts w:ascii="Arial" w:hAnsi="Arial" w:cs="Arial"/>
          <w:sz w:val="24"/>
          <w:szCs w:val="24"/>
          <w:lang w:val="es-ES"/>
        </w:rPr>
        <w:t>la Ministra de Desarrollo Social dispuso la reiteración del gasto</w:t>
      </w:r>
      <w:r w:rsidR="008C76E8">
        <w:rPr>
          <w:rFonts w:ascii="Arial" w:hAnsi="Arial" w:cs="Arial"/>
          <w:sz w:val="24"/>
          <w:szCs w:val="24"/>
          <w:lang w:val="es-ES"/>
        </w:rPr>
        <w:t xml:space="preserve"> </w:t>
      </w:r>
      <w:r w:rsidR="001C202B">
        <w:rPr>
          <w:rFonts w:ascii="Arial" w:hAnsi="Arial" w:cs="Arial"/>
          <w:sz w:val="24"/>
          <w:szCs w:val="24"/>
          <w:lang w:val="es-ES"/>
        </w:rPr>
        <w:t>emergente de las transferencias por las sumas de</w:t>
      </w:r>
      <w:r w:rsidR="00245BD7">
        <w:rPr>
          <w:rFonts w:ascii="Arial" w:hAnsi="Arial" w:cs="Arial"/>
          <w:sz w:val="24"/>
          <w:szCs w:val="24"/>
          <w:lang w:val="es-ES"/>
        </w:rPr>
        <w:t xml:space="preserve"> </w:t>
      </w:r>
      <w:r w:rsidR="008C76E8">
        <w:rPr>
          <w:rFonts w:ascii="Arial" w:hAnsi="Arial" w:cs="Arial"/>
          <w:sz w:val="24"/>
          <w:szCs w:val="24"/>
          <w:lang w:val="es-ES"/>
        </w:rPr>
        <w:t xml:space="preserve"> </w:t>
      </w:r>
      <w:r w:rsidR="00245BD7" w:rsidRPr="00E00BF2">
        <w:rPr>
          <w:rFonts w:ascii="Arial" w:hAnsi="Arial" w:cs="Arial"/>
          <w:sz w:val="24"/>
          <w:szCs w:val="24"/>
        </w:rPr>
        <w:t>$ 16:082.054, $ 15:215.207, $ 15:215.207, y $ 14:710.120</w:t>
      </w:r>
      <w:r w:rsidR="0059712A">
        <w:rPr>
          <w:rFonts w:ascii="Arial" w:hAnsi="Arial" w:cs="Arial"/>
          <w:sz w:val="24"/>
          <w:szCs w:val="24"/>
          <w:lang w:val="es-ES"/>
        </w:rPr>
        <w:t>;</w:t>
      </w:r>
    </w:p>
    <w:p w:rsidR="00354D75" w:rsidRDefault="0059712A" w:rsidP="00354D75">
      <w:pPr>
        <w:spacing w:after="0" w:line="360" w:lineRule="auto"/>
        <w:ind w:firstLine="2835"/>
        <w:jc w:val="both"/>
        <w:rPr>
          <w:rFonts w:ascii="Arial" w:hAnsi="Arial" w:cs="Arial"/>
          <w:sz w:val="24"/>
          <w:szCs w:val="24"/>
          <w:lang w:val="es-ES"/>
        </w:rPr>
      </w:pPr>
      <w:r w:rsidRPr="0059712A">
        <w:rPr>
          <w:rFonts w:ascii="Arial" w:hAnsi="Arial" w:cs="Arial"/>
          <w:b/>
          <w:sz w:val="24"/>
          <w:szCs w:val="24"/>
          <w:lang w:val="es-ES"/>
        </w:rPr>
        <w:t>8)</w:t>
      </w:r>
      <w:r>
        <w:rPr>
          <w:rFonts w:ascii="Arial" w:hAnsi="Arial" w:cs="Arial"/>
          <w:b/>
          <w:sz w:val="24"/>
          <w:szCs w:val="24"/>
          <w:lang w:val="es-ES"/>
        </w:rPr>
        <w:t xml:space="preserve"> </w:t>
      </w:r>
      <w:r w:rsidRPr="0059712A">
        <w:rPr>
          <w:rFonts w:ascii="Arial" w:hAnsi="Arial" w:cs="Arial"/>
          <w:sz w:val="24"/>
          <w:szCs w:val="24"/>
          <w:lang w:val="es-ES"/>
        </w:rPr>
        <w:t xml:space="preserve">que el fundamento de la reiteración expuesto en la resolución citada ut supra, refiere a </w:t>
      </w:r>
      <w:r w:rsidR="008C76E8" w:rsidRPr="0059712A">
        <w:rPr>
          <w:rFonts w:ascii="Arial" w:hAnsi="Arial" w:cs="Arial"/>
          <w:sz w:val="24"/>
          <w:szCs w:val="24"/>
          <w:lang w:val="es-ES"/>
        </w:rPr>
        <w:t>que la contratación resulta de vital importancia para apoyar los procesos</w:t>
      </w:r>
      <w:r w:rsidR="008C76E8" w:rsidRPr="008C76E8">
        <w:rPr>
          <w:rFonts w:ascii="Arial" w:hAnsi="Arial" w:cs="Arial"/>
          <w:sz w:val="24"/>
          <w:szCs w:val="24"/>
          <w:lang w:val="es-ES"/>
        </w:rPr>
        <w:t xml:space="preserve"> que vienen desarrollando emprendedo</w:t>
      </w:r>
      <w:r w:rsidR="00354D75">
        <w:rPr>
          <w:rFonts w:ascii="Arial" w:hAnsi="Arial" w:cs="Arial"/>
          <w:sz w:val="24"/>
          <w:szCs w:val="24"/>
          <w:lang w:val="es-ES"/>
        </w:rPr>
        <w:softHyphen/>
      </w:r>
      <w:r w:rsidR="008C76E8" w:rsidRPr="008C76E8">
        <w:rPr>
          <w:rFonts w:ascii="Arial" w:hAnsi="Arial" w:cs="Arial"/>
          <w:sz w:val="24"/>
          <w:szCs w:val="24"/>
          <w:lang w:val="es-ES"/>
        </w:rPr>
        <w:t>res e integrantes de Cooperativas Sociales en condiciones de vulnerabilidad, en todo el territorio nacional;</w:t>
      </w:r>
    </w:p>
    <w:p w:rsidR="00245BD7" w:rsidRPr="00245BD7" w:rsidRDefault="00782788" w:rsidP="00354D75">
      <w:pPr>
        <w:spacing w:after="0" w:line="360" w:lineRule="auto"/>
        <w:ind w:firstLine="2835"/>
        <w:jc w:val="both"/>
        <w:rPr>
          <w:rFonts w:ascii="Arial" w:hAnsi="Arial" w:cs="Arial"/>
          <w:sz w:val="24"/>
          <w:szCs w:val="24"/>
          <w:lang w:val="es-ES"/>
        </w:rPr>
      </w:pPr>
      <w:r w:rsidRPr="00782788">
        <w:rPr>
          <w:rFonts w:ascii="Arial" w:hAnsi="Arial" w:cs="Arial"/>
          <w:b/>
          <w:sz w:val="24"/>
          <w:szCs w:val="24"/>
          <w:lang w:val="es-ES"/>
        </w:rPr>
        <w:t>9</w:t>
      </w:r>
      <w:r w:rsidR="00245BD7" w:rsidRPr="00782788">
        <w:rPr>
          <w:rFonts w:ascii="Arial" w:hAnsi="Arial" w:cs="Arial"/>
          <w:b/>
          <w:sz w:val="24"/>
          <w:szCs w:val="24"/>
          <w:lang w:val="es-ES"/>
        </w:rPr>
        <w:t>)</w:t>
      </w:r>
      <w:r w:rsidR="00245BD7">
        <w:rPr>
          <w:rFonts w:ascii="Arial" w:hAnsi="Arial" w:cs="Arial"/>
          <w:b/>
          <w:sz w:val="24"/>
          <w:szCs w:val="24"/>
          <w:lang w:val="es-ES"/>
        </w:rPr>
        <w:t xml:space="preserve"> </w:t>
      </w:r>
      <w:r w:rsidR="00245BD7" w:rsidRPr="00245BD7">
        <w:rPr>
          <w:rFonts w:ascii="Arial" w:hAnsi="Arial" w:cs="Arial"/>
          <w:sz w:val="24"/>
          <w:szCs w:val="24"/>
          <w:lang w:val="es-ES"/>
        </w:rPr>
        <w:t xml:space="preserve">que el gasto </w:t>
      </w:r>
      <w:r w:rsidR="001C202B">
        <w:rPr>
          <w:rFonts w:ascii="Arial" w:hAnsi="Arial" w:cs="Arial"/>
          <w:sz w:val="24"/>
          <w:szCs w:val="24"/>
          <w:lang w:val="es-ES"/>
        </w:rPr>
        <w:t xml:space="preserve">emergente de las citadas transferencias </w:t>
      </w:r>
      <w:r w:rsidR="0059712A">
        <w:rPr>
          <w:rFonts w:ascii="Arial" w:hAnsi="Arial" w:cs="Arial"/>
          <w:sz w:val="24"/>
          <w:szCs w:val="24"/>
          <w:lang w:val="es-ES"/>
        </w:rPr>
        <w:t xml:space="preserve">fue </w:t>
      </w:r>
      <w:r w:rsidR="00245BD7" w:rsidRPr="00245BD7">
        <w:rPr>
          <w:rFonts w:ascii="Arial" w:hAnsi="Arial" w:cs="Arial"/>
          <w:sz w:val="24"/>
          <w:szCs w:val="24"/>
          <w:lang w:val="es-ES"/>
        </w:rPr>
        <w:t xml:space="preserve">intervenido por reiteración </w:t>
      </w:r>
      <w:r w:rsidR="00245BD7">
        <w:rPr>
          <w:rFonts w:ascii="Arial" w:hAnsi="Arial" w:cs="Arial"/>
          <w:sz w:val="24"/>
          <w:szCs w:val="24"/>
          <w:lang w:val="es-ES"/>
        </w:rPr>
        <w:t xml:space="preserve">por la Contadora Auditora destacada con fecha 19 de marzo de 2019;  </w:t>
      </w:r>
    </w:p>
    <w:p w:rsidR="00354D75" w:rsidRDefault="009D2202" w:rsidP="00354D75">
      <w:pPr>
        <w:spacing w:after="0" w:line="360" w:lineRule="auto"/>
        <w:ind w:firstLine="851"/>
        <w:jc w:val="both"/>
        <w:rPr>
          <w:rFonts w:ascii="Arial" w:eastAsia="Times New Roman" w:hAnsi="Arial" w:cs="Arial"/>
          <w:sz w:val="24"/>
          <w:szCs w:val="24"/>
          <w:lang w:val="es-ES" w:eastAsia="es-ES"/>
        </w:rPr>
      </w:pPr>
      <w:r w:rsidRPr="009D2202">
        <w:rPr>
          <w:rFonts w:ascii="Arial" w:hAnsi="Arial" w:cs="Arial"/>
          <w:b/>
          <w:bCs/>
          <w:sz w:val="24"/>
          <w:szCs w:val="24"/>
          <w:lang w:val="es-ES"/>
        </w:rPr>
        <w:t xml:space="preserve">CONSIDERANDO: </w:t>
      </w:r>
      <w:r w:rsidR="008C76E8" w:rsidRPr="008C76E8">
        <w:rPr>
          <w:rFonts w:ascii="Arial" w:eastAsia="Times New Roman" w:hAnsi="Arial" w:cs="Arial"/>
          <w:b/>
          <w:bCs/>
          <w:sz w:val="24"/>
          <w:szCs w:val="24"/>
          <w:lang w:val="es-ES" w:eastAsia="es-ES"/>
        </w:rPr>
        <w:t xml:space="preserve">1) </w:t>
      </w:r>
      <w:r w:rsidR="00354D75">
        <w:rPr>
          <w:rFonts w:ascii="Arial" w:eastAsia="Times New Roman" w:hAnsi="Arial" w:cs="Arial"/>
          <w:sz w:val="24"/>
          <w:szCs w:val="24"/>
          <w:lang w:val="es-ES" w:eastAsia="es-ES"/>
        </w:rPr>
        <w:t>que el A</w:t>
      </w:r>
      <w:r w:rsidR="008C76E8" w:rsidRPr="008C76E8">
        <w:rPr>
          <w:rFonts w:ascii="Arial" w:eastAsia="Times New Roman" w:hAnsi="Arial" w:cs="Arial"/>
          <w:sz w:val="24"/>
          <w:szCs w:val="24"/>
          <w:lang w:val="es-ES" w:eastAsia="es-ES"/>
        </w:rPr>
        <w:t>rtículo 475 de la Ley 17.996</w:t>
      </w:r>
      <w:r w:rsidR="0050083E">
        <w:rPr>
          <w:rFonts w:ascii="Arial" w:eastAsia="Times New Roman" w:hAnsi="Arial" w:cs="Arial"/>
          <w:sz w:val="24"/>
          <w:szCs w:val="24"/>
          <w:lang w:val="es-ES" w:eastAsia="es-ES"/>
        </w:rPr>
        <w:t xml:space="preserve"> </w:t>
      </w:r>
      <w:r w:rsidR="008C76E8" w:rsidRPr="008C76E8">
        <w:rPr>
          <w:rFonts w:ascii="Arial" w:eastAsia="Times New Roman" w:hAnsi="Arial" w:cs="Arial"/>
          <w:sz w:val="24"/>
          <w:szCs w:val="24"/>
          <w:lang w:val="es-ES" w:eastAsia="es-ES"/>
        </w:rPr>
        <w:t xml:space="preserve"> </w:t>
      </w:r>
      <w:r w:rsidR="0050083E" w:rsidRPr="0050083E">
        <w:rPr>
          <w:rFonts w:ascii="Arial" w:eastAsia="Times New Roman" w:hAnsi="Arial" w:cs="Arial"/>
          <w:sz w:val="24"/>
          <w:szCs w:val="24"/>
          <w:lang w:val="es-MX" w:eastAsia="es-ES"/>
        </w:rPr>
        <w:t>de 21/2/01</w:t>
      </w:r>
      <w:r w:rsidR="0050083E">
        <w:rPr>
          <w:rFonts w:ascii="Arial" w:eastAsia="Times New Roman" w:hAnsi="Arial" w:cs="Arial"/>
          <w:sz w:val="24"/>
          <w:szCs w:val="24"/>
          <w:lang w:val="es-ES" w:eastAsia="es-ES"/>
        </w:rPr>
        <w:t xml:space="preserve"> </w:t>
      </w:r>
      <w:r w:rsidR="00354D75">
        <w:rPr>
          <w:rFonts w:ascii="Arial" w:eastAsia="Times New Roman" w:hAnsi="Arial" w:cs="Arial"/>
          <w:sz w:val="24"/>
          <w:szCs w:val="24"/>
          <w:lang w:val="es-ES" w:eastAsia="es-ES"/>
        </w:rPr>
        <w:t>dispone que los O</w:t>
      </w:r>
      <w:r w:rsidR="008C76E8" w:rsidRPr="008C76E8">
        <w:rPr>
          <w:rFonts w:ascii="Arial" w:eastAsia="Times New Roman" w:hAnsi="Arial" w:cs="Arial"/>
          <w:sz w:val="24"/>
          <w:szCs w:val="24"/>
          <w:lang w:val="es-ES" w:eastAsia="es-ES"/>
        </w:rPr>
        <w:t xml:space="preserve">rdenadores de gastos o pagos, al ejercer la facultad de insistencia o </w:t>
      </w:r>
      <w:r w:rsidR="00354D75">
        <w:rPr>
          <w:rFonts w:ascii="Arial" w:eastAsia="Times New Roman" w:hAnsi="Arial" w:cs="Arial"/>
          <w:sz w:val="24"/>
          <w:szCs w:val="24"/>
          <w:lang w:val="es-ES" w:eastAsia="es-ES"/>
        </w:rPr>
        <w:t>reiteración que les acuerda el Literal B) del A</w:t>
      </w:r>
      <w:r w:rsidR="008C76E8" w:rsidRPr="008C76E8">
        <w:rPr>
          <w:rFonts w:ascii="Arial" w:eastAsia="Times New Roman" w:hAnsi="Arial" w:cs="Arial"/>
          <w:sz w:val="24"/>
          <w:szCs w:val="24"/>
          <w:lang w:val="es-ES" w:eastAsia="es-ES"/>
        </w:rPr>
        <w:t>rtículo 211 de la Constitución</w:t>
      </w:r>
      <w:r w:rsidR="00354D75">
        <w:rPr>
          <w:rFonts w:ascii="Arial" w:eastAsia="Times New Roman" w:hAnsi="Arial" w:cs="Arial"/>
          <w:sz w:val="24"/>
          <w:szCs w:val="24"/>
          <w:lang w:val="es-ES" w:eastAsia="es-ES"/>
        </w:rPr>
        <w:t xml:space="preserve"> de la República</w:t>
      </w:r>
      <w:r w:rsidR="008C76E8" w:rsidRPr="008C76E8">
        <w:rPr>
          <w:rFonts w:ascii="Arial" w:eastAsia="Times New Roman" w:hAnsi="Arial" w:cs="Arial"/>
          <w:sz w:val="24"/>
          <w:szCs w:val="24"/>
          <w:lang w:val="es-ES" w:eastAsia="es-ES"/>
        </w:rPr>
        <w:t xml:space="preserve">, deberán hacerlo en forma fundada, expresando de manera detallada los motivos que justifican a su juicio seguir el curso del gasto o </w:t>
      </w:r>
      <w:r w:rsidR="00AA1554">
        <w:rPr>
          <w:rFonts w:ascii="Arial" w:eastAsia="Times New Roman" w:hAnsi="Arial" w:cs="Arial"/>
          <w:sz w:val="24"/>
          <w:szCs w:val="24"/>
          <w:lang w:val="es-ES" w:eastAsia="es-ES"/>
        </w:rPr>
        <w:t>d</w:t>
      </w:r>
      <w:r w:rsidR="008C76E8" w:rsidRPr="008C76E8">
        <w:rPr>
          <w:rFonts w:ascii="Arial" w:eastAsia="Times New Roman" w:hAnsi="Arial" w:cs="Arial"/>
          <w:sz w:val="24"/>
          <w:szCs w:val="24"/>
          <w:lang w:val="es-ES" w:eastAsia="es-ES"/>
        </w:rPr>
        <w:t>el pago;</w:t>
      </w:r>
    </w:p>
    <w:p w:rsidR="0077689F" w:rsidRDefault="008C76E8" w:rsidP="00354D75">
      <w:pPr>
        <w:spacing w:after="0" w:line="360" w:lineRule="auto"/>
        <w:ind w:firstLine="3119"/>
        <w:jc w:val="both"/>
        <w:rPr>
          <w:rFonts w:ascii="Arial" w:eastAsia="Times New Roman" w:hAnsi="Arial" w:cs="Arial"/>
          <w:sz w:val="24"/>
          <w:szCs w:val="24"/>
          <w:lang w:val="es-ES" w:eastAsia="es-ES"/>
        </w:rPr>
      </w:pPr>
      <w:r w:rsidRPr="008C76E8">
        <w:rPr>
          <w:rFonts w:ascii="Arial" w:eastAsia="Times New Roman" w:hAnsi="Arial" w:cs="Arial"/>
          <w:b/>
          <w:sz w:val="24"/>
          <w:szCs w:val="24"/>
          <w:lang w:val="es-MX" w:eastAsia="es-ES"/>
        </w:rPr>
        <w:t>2)</w:t>
      </w:r>
      <w:r w:rsidRPr="008C76E8">
        <w:rPr>
          <w:rFonts w:ascii="Arial" w:eastAsia="Times New Roman" w:hAnsi="Arial" w:cs="Arial"/>
          <w:b/>
          <w:sz w:val="24"/>
          <w:szCs w:val="24"/>
          <w:lang w:val="es-ES" w:eastAsia="es-ES"/>
        </w:rPr>
        <w:t xml:space="preserve"> </w:t>
      </w:r>
      <w:r w:rsidR="0077689F" w:rsidRPr="0077689F">
        <w:rPr>
          <w:rFonts w:ascii="Arial" w:eastAsia="Times New Roman" w:hAnsi="Arial" w:cs="Arial"/>
          <w:sz w:val="24"/>
          <w:szCs w:val="24"/>
          <w:lang w:val="es-ES" w:eastAsia="es-ES"/>
        </w:rPr>
        <w:t>que lo</w:t>
      </w:r>
      <w:r w:rsidR="00354D75">
        <w:rPr>
          <w:rFonts w:ascii="Arial" w:eastAsia="Times New Roman" w:hAnsi="Arial" w:cs="Arial"/>
          <w:sz w:val="24"/>
          <w:szCs w:val="24"/>
          <w:lang w:val="es-ES" w:eastAsia="es-ES"/>
        </w:rPr>
        <w:t>s fundamentos expuestos por el O</w:t>
      </w:r>
      <w:r w:rsidR="0077689F" w:rsidRPr="0077689F">
        <w:rPr>
          <w:rFonts w:ascii="Arial" w:eastAsia="Times New Roman" w:hAnsi="Arial" w:cs="Arial"/>
          <w:sz w:val="24"/>
          <w:szCs w:val="24"/>
          <w:lang w:val="es-ES" w:eastAsia="es-ES"/>
        </w:rPr>
        <w:t xml:space="preserve">rdenador competente </w:t>
      </w:r>
      <w:r w:rsidR="00245BD7">
        <w:rPr>
          <w:rFonts w:ascii="Arial" w:eastAsia="Times New Roman" w:hAnsi="Arial" w:cs="Arial"/>
          <w:sz w:val="24"/>
          <w:szCs w:val="24"/>
          <w:lang w:val="es-ES" w:eastAsia="es-ES"/>
        </w:rPr>
        <w:t>al reiterar el gasto</w:t>
      </w:r>
      <w:r w:rsidR="0059712A">
        <w:rPr>
          <w:rFonts w:ascii="Arial" w:eastAsia="Times New Roman" w:hAnsi="Arial" w:cs="Arial"/>
          <w:sz w:val="24"/>
          <w:szCs w:val="24"/>
          <w:lang w:val="es-ES" w:eastAsia="es-ES"/>
        </w:rPr>
        <w:t xml:space="preserve"> (Resultando 8),</w:t>
      </w:r>
      <w:r w:rsidR="0050083E">
        <w:rPr>
          <w:rFonts w:ascii="Arial" w:eastAsia="Times New Roman" w:hAnsi="Arial" w:cs="Arial"/>
          <w:sz w:val="24"/>
          <w:szCs w:val="24"/>
          <w:lang w:val="es-ES" w:eastAsia="es-ES"/>
        </w:rPr>
        <w:t xml:space="preserve"> refieren a la oportunidad o conveniencia, por lo que no enervan los fundamentos legales de la </w:t>
      </w:r>
      <w:r w:rsidR="00AA1554">
        <w:rPr>
          <w:rFonts w:ascii="Arial" w:eastAsia="Times New Roman" w:hAnsi="Arial" w:cs="Arial"/>
          <w:sz w:val="24"/>
          <w:szCs w:val="24"/>
          <w:lang w:val="es-ES" w:eastAsia="es-ES"/>
        </w:rPr>
        <w:t>R</w:t>
      </w:r>
      <w:bookmarkStart w:id="0" w:name="_GoBack"/>
      <w:bookmarkEnd w:id="0"/>
      <w:r w:rsidR="0050083E">
        <w:rPr>
          <w:rFonts w:ascii="Arial" w:eastAsia="Times New Roman" w:hAnsi="Arial" w:cs="Arial"/>
          <w:sz w:val="24"/>
          <w:szCs w:val="24"/>
          <w:lang w:val="es-ES" w:eastAsia="es-ES"/>
        </w:rPr>
        <w:t>esolución de este Tribunal</w:t>
      </w:r>
      <w:r w:rsidR="0077689F">
        <w:rPr>
          <w:rFonts w:ascii="Arial" w:eastAsia="Times New Roman" w:hAnsi="Arial" w:cs="Arial"/>
          <w:sz w:val="24"/>
          <w:szCs w:val="24"/>
          <w:lang w:val="es-ES" w:eastAsia="es-ES"/>
        </w:rPr>
        <w:t>;</w:t>
      </w:r>
    </w:p>
    <w:p w:rsidR="009D2202" w:rsidRPr="009D2202" w:rsidRDefault="009D2202" w:rsidP="00354D75">
      <w:pPr>
        <w:spacing w:after="0" w:line="360" w:lineRule="auto"/>
        <w:ind w:firstLine="851"/>
        <w:jc w:val="both"/>
        <w:rPr>
          <w:rFonts w:ascii="Arial" w:hAnsi="Arial" w:cs="Arial"/>
          <w:sz w:val="24"/>
          <w:szCs w:val="24"/>
          <w:lang w:val="es-MX"/>
        </w:rPr>
      </w:pPr>
      <w:r w:rsidRPr="009D2202">
        <w:rPr>
          <w:rFonts w:ascii="Arial" w:hAnsi="Arial" w:cs="Arial"/>
          <w:b/>
          <w:bCs/>
          <w:sz w:val="24"/>
          <w:szCs w:val="24"/>
          <w:lang w:val="es-MX"/>
        </w:rPr>
        <w:t>ATENTO</w:t>
      </w:r>
      <w:r w:rsidRPr="009D2202">
        <w:rPr>
          <w:rFonts w:ascii="Arial" w:hAnsi="Arial" w:cs="Arial"/>
          <w:sz w:val="24"/>
          <w:szCs w:val="24"/>
          <w:lang w:val="es-MX"/>
        </w:rPr>
        <w:t>: a lo expresado precedent</w:t>
      </w:r>
      <w:r w:rsidR="00354D75">
        <w:rPr>
          <w:rFonts w:ascii="Arial" w:hAnsi="Arial" w:cs="Arial"/>
          <w:sz w:val="24"/>
          <w:szCs w:val="24"/>
          <w:lang w:val="es-MX"/>
        </w:rPr>
        <w:t>emente y a lo dispuesto por el A</w:t>
      </w:r>
      <w:r w:rsidRPr="009D2202">
        <w:rPr>
          <w:rFonts w:ascii="Arial" w:hAnsi="Arial" w:cs="Arial"/>
          <w:sz w:val="24"/>
          <w:szCs w:val="24"/>
          <w:lang w:val="es-MX"/>
        </w:rPr>
        <w:t xml:space="preserve">rtículo 211 </w:t>
      </w:r>
      <w:r w:rsidR="00354D75">
        <w:rPr>
          <w:rFonts w:ascii="Arial" w:hAnsi="Arial" w:cs="Arial"/>
          <w:sz w:val="24"/>
          <w:szCs w:val="24"/>
          <w:lang w:val="es-MX"/>
        </w:rPr>
        <w:t>Literal B</w:t>
      </w:r>
      <w:r w:rsidRPr="009D2202">
        <w:rPr>
          <w:rFonts w:ascii="Arial" w:hAnsi="Arial" w:cs="Arial"/>
          <w:sz w:val="24"/>
          <w:szCs w:val="24"/>
          <w:lang w:val="es-MX"/>
        </w:rPr>
        <w:t>) de la Constitución</w:t>
      </w:r>
      <w:r w:rsidR="0077689F">
        <w:rPr>
          <w:rFonts w:ascii="Arial" w:hAnsi="Arial" w:cs="Arial"/>
          <w:sz w:val="24"/>
          <w:szCs w:val="24"/>
          <w:lang w:val="es-MX"/>
        </w:rPr>
        <w:t xml:space="preserve"> de la Republica;</w:t>
      </w:r>
    </w:p>
    <w:p w:rsidR="009D2202" w:rsidRPr="009D2202" w:rsidRDefault="00354D75" w:rsidP="0079595A">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1F3974" w:rsidRPr="001F3974" w:rsidRDefault="001F3974" w:rsidP="00354D75">
      <w:pPr>
        <w:numPr>
          <w:ilvl w:val="0"/>
          <w:numId w:val="2"/>
        </w:numPr>
        <w:tabs>
          <w:tab w:val="clear" w:pos="720"/>
          <w:tab w:val="left" w:pos="-720"/>
          <w:tab w:val="num" w:pos="284"/>
        </w:tabs>
        <w:suppressAutoHyphens/>
        <w:spacing w:after="0" w:line="360" w:lineRule="auto"/>
        <w:ind w:left="284" w:hanging="284"/>
        <w:jc w:val="both"/>
        <w:rPr>
          <w:rFonts w:ascii="Arial" w:eastAsia="Times New Roman" w:hAnsi="Arial" w:cs="Times New Roman"/>
          <w:sz w:val="24"/>
          <w:szCs w:val="24"/>
          <w:lang w:val="es-ES" w:eastAsia="es-ES"/>
        </w:rPr>
      </w:pPr>
      <w:r w:rsidRPr="001F3974">
        <w:rPr>
          <w:rFonts w:ascii="Arial" w:eastAsia="Times New Roman" w:hAnsi="Arial" w:cs="Times New Roman"/>
          <w:sz w:val="24"/>
          <w:szCs w:val="24"/>
          <w:lang w:val="es-ES" w:eastAsia="es-ES"/>
        </w:rPr>
        <w:t xml:space="preserve">Mantener la observación formulada </w:t>
      </w:r>
      <w:r w:rsidR="0050083E">
        <w:rPr>
          <w:rFonts w:ascii="Arial" w:eastAsia="Times New Roman" w:hAnsi="Arial" w:cs="Times New Roman"/>
          <w:sz w:val="24"/>
          <w:szCs w:val="24"/>
          <w:lang w:val="es-ES" w:eastAsia="es-ES"/>
        </w:rPr>
        <w:t>por</w:t>
      </w:r>
      <w:r>
        <w:rPr>
          <w:rFonts w:ascii="Arial" w:eastAsia="Times New Roman" w:hAnsi="Arial" w:cs="Times New Roman"/>
          <w:sz w:val="24"/>
          <w:szCs w:val="24"/>
          <w:lang w:val="es-ES" w:eastAsia="es-ES"/>
        </w:rPr>
        <w:t xml:space="preserve"> Resolución </w:t>
      </w:r>
      <w:r w:rsidRPr="00E00BF2">
        <w:rPr>
          <w:rFonts w:ascii="Arial" w:hAnsi="Arial" w:cs="Arial"/>
          <w:sz w:val="24"/>
          <w:szCs w:val="24"/>
          <w:lang w:val="es-ES"/>
        </w:rPr>
        <w:t>N°</w:t>
      </w:r>
      <w:r w:rsidR="00354D75">
        <w:rPr>
          <w:rFonts w:ascii="Arial" w:hAnsi="Arial" w:cs="Arial"/>
          <w:sz w:val="24"/>
          <w:szCs w:val="24"/>
          <w:lang w:val="es-ES"/>
        </w:rPr>
        <w:t xml:space="preserve"> </w:t>
      </w:r>
      <w:r w:rsidRPr="00E00BF2">
        <w:rPr>
          <w:rFonts w:ascii="Arial" w:hAnsi="Arial" w:cs="Arial"/>
          <w:sz w:val="24"/>
          <w:szCs w:val="24"/>
          <w:lang w:val="es-ES"/>
        </w:rPr>
        <w:t>429/19 de fecha 13 de febrero de 2019</w:t>
      </w:r>
      <w:r w:rsidRPr="001F3974">
        <w:rPr>
          <w:rFonts w:ascii="Arial" w:eastAsia="Times New Roman" w:hAnsi="Arial" w:cs="Times New Roman"/>
          <w:sz w:val="24"/>
          <w:szCs w:val="24"/>
          <w:lang w:val="es-ES" w:eastAsia="es-ES"/>
        </w:rPr>
        <w:t>;</w:t>
      </w:r>
    </w:p>
    <w:p w:rsidR="001F3974" w:rsidRDefault="001F3974" w:rsidP="00354D75">
      <w:pPr>
        <w:numPr>
          <w:ilvl w:val="0"/>
          <w:numId w:val="2"/>
        </w:numPr>
        <w:tabs>
          <w:tab w:val="clear" w:pos="720"/>
          <w:tab w:val="left" w:pos="-720"/>
          <w:tab w:val="num" w:pos="284"/>
        </w:tabs>
        <w:suppressAutoHyphens/>
        <w:spacing w:after="0" w:line="360" w:lineRule="auto"/>
        <w:ind w:left="284" w:hanging="284"/>
        <w:rPr>
          <w:rFonts w:ascii="Arial" w:eastAsia="Times New Roman" w:hAnsi="Arial" w:cs="Times New Roman"/>
          <w:sz w:val="24"/>
          <w:szCs w:val="24"/>
          <w:lang w:val="es-ES" w:eastAsia="es-ES"/>
        </w:rPr>
      </w:pPr>
      <w:r w:rsidRPr="0079595A">
        <w:rPr>
          <w:rFonts w:ascii="Arial" w:eastAsia="Times New Roman" w:hAnsi="Arial" w:cs="Times New Roman"/>
          <w:sz w:val="24"/>
          <w:szCs w:val="24"/>
          <w:lang w:val="es-ES" w:eastAsia="es-ES"/>
        </w:rPr>
        <w:t>Dar cuenta a la Asamblea General</w:t>
      </w:r>
      <w:r w:rsidR="00354D75">
        <w:rPr>
          <w:rFonts w:ascii="Arial" w:eastAsia="Times New Roman" w:hAnsi="Arial" w:cs="Times New Roman"/>
          <w:sz w:val="24"/>
          <w:szCs w:val="24"/>
          <w:lang w:val="es-ES" w:eastAsia="es-ES"/>
        </w:rPr>
        <w:t>;</w:t>
      </w:r>
    </w:p>
    <w:p w:rsidR="00354D75" w:rsidRDefault="00354D75" w:rsidP="00354D75">
      <w:pPr>
        <w:numPr>
          <w:ilvl w:val="0"/>
          <w:numId w:val="2"/>
        </w:numPr>
        <w:tabs>
          <w:tab w:val="clear" w:pos="720"/>
          <w:tab w:val="left" w:pos="-720"/>
          <w:tab w:val="num" w:pos="284"/>
        </w:tabs>
        <w:suppressAutoHyphens/>
        <w:spacing w:after="0" w:line="360" w:lineRule="auto"/>
        <w:ind w:left="284" w:hanging="284"/>
        <w:rPr>
          <w:rFonts w:ascii="Arial" w:eastAsia="Times New Roman" w:hAnsi="Arial" w:cs="Times New Roman"/>
          <w:sz w:val="24"/>
          <w:szCs w:val="24"/>
          <w:lang w:val="es-ES" w:eastAsia="es-ES"/>
        </w:rPr>
      </w:pPr>
      <w:r>
        <w:rPr>
          <w:rFonts w:ascii="Arial" w:eastAsia="Times New Roman" w:hAnsi="Arial" w:cs="Times New Roman"/>
          <w:sz w:val="24"/>
          <w:szCs w:val="24"/>
          <w:lang w:val="es-ES" w:eastAsia="es-ES"/>
        </w:rPr>
        <w:t>Comunicar al Contador Auditor y al Organismo actuante.</w:t>
      </w:r>
    </w:p>
    <w:p w:rsidR="00354D75" w:rsidRPr="001F3974" w:rsidRDefault="00354D75" w:rsidP="00354D75">
      <w:pPr>
        <w:tabs>
          <w:tab w:val="left" w:pos="-720"/>
        </w:tabs>
        <w:suppressAutoHyphens/>
        <w:spacing w:after="0" w:line="360" w:lineRule="auto"/>
        <w:ind w:left="284" w:hanging="710"/>
        <w:rPr>
          <w:rFonts w:ascii="Arial" w:eastAsia="Times New Roman" w:hAnsi="Arial" w:cs="Times New Roman"/>
          <w:sz w:val="24"/>
          <w:szCs w:val="24"/>
          <w:lang w:val="es-ES" w:eastAsia="es-ES"/>
        </w:rPr>
      </w:pPr>
      <w:proofErr w:type="gramStart"/>
      <w:r>
        <w:rPr>
          <w:rFonts w:ascii="Arial" w:eastAsia="Times New Roman" w:hAnsi="Arial" w:cs="Times New Roman"/>
          <w:sz w:val="24"/>
          <w:szCs w:val="24"/>
          <w:lang w:val="es-ES" w:eastAsia="es-ES"/>
        </w:rPr>
        <w:t>dc</w:t>
      </w:r>
      <w:proofErr w:type="gramEnd"/>
    </w:p>
    <w:sectPr w:rsidR="00354D75" w:rsidRPr="001F3974" w:rsidSect="00354D75">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5A" w:rsidRDefault="0079595A" w:rsidP="0079595A">
      <w:pPr>
        <w:spacing w:after="0" w:line="240" w:lineRule="auto"/>
      </w:pPr>
      <w:r>
        <w:separator/>
      </w:r>
    </w:p>
  </w:endnote>
  <w:endnote w:type="continuationSeparator" w:id="0">
    <w:p w:rsidR="0079595A" w:rsidRDefault="0079595A" w:rsidP="0079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376781"/>
      <w:docPartObj>
        <w:docPartGallery w:val="Page Numbers (Bottom of Page)"/>
        <w:docPartUnique/>
      </w:docPartObj>
    </w:sdtPr>
    <w:sdtEndPr/>
    <w:sdtContent>
      <w:p w:rsidR="0079595A" w:rsidRDefault="0079595A">
        <w:pPr>
          <w:pStyle w:val="Piedepgina"/>
          <w:jc w:val="center"/>
        </w:pPr>
        <w:r>
          <w:fldChar w:fldCharType="begin"/>
        </w:r>
        <w:r>
          <w:instrText>PAGE   \* MERGEFORMAT</w:instrText>
        </w:r>
        <w:r>
          <w:fldChar w:fldCharType="separate"/>
        </w:r>
        <w:r w:rsidR="00AA1554" w:rsidRPr="00AA1554">
          <w:rPr>
            <w:noProof/>
            <w:lang w:val="es-ES"/>
          </w:rPr>
          <w:t>3</w:t>
        </w:r>
        <w:r>
          <w:fldChar w:fldCharType="end"/>
        </w:r>
      </w:p>
    </w:sdtContent>
  </w:sdt>
  <w:p w:rsidR="0079595A" w:rsidRDefault="007959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5A" w:rsidRDefault="0079595A" w:rsidP="0079595A">
      <w:pPr>
        <w:spacing w:after="0" w:line="240" w:lineRule="auto"/>
      </w:pPr>
      <w:r>
        <w:separator/>
      </w:r>
    </w:p>
  </w:footnote>
  <w:footnote w:type="continuationSeparator" w:id="0">
    <w:p w:rsidR="0079595A" w:rsidRDefault="0079595A" w:rsidP="00795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68BB2C1B"/>
    <w:multiLevelType w:val="hybridMultilevel"/>
    <w:tmpl w:val="3C68B862"/>
    <w:lvl w:ilvl="0" w:tplc="058C0A1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095"/>
        </w:tabs>
        <w:ind w:left="1095" w:hanging="360"/>
      </w:pPr>
    </w:lvl>
    <w:lvl w:ilvl="2" w:tplc="0C0A001B" w:tentative="1">
      <w:start w:val="1"/>
      <w:numFmt w:val="lowerRoman"/>
      <w:lvlText w:val="%3."/>
      <w:lvlJc w:val="right"/>
      <w:pPr>
        <w:tabs>
          <w:tab w:val="num" w:pos="1815"/>
        </w:tabs>
        <w:ind w:left="1815" w:hanging="180"/>
      </w:pPr>
    </w:lvl>
    <w:lvl w:ilvl="3" w:tplc="0C0A000F" w:tentative="1">
      <w:start w:val="1"/>
      <w:numFmt w:val="decimal"/>
      <w:lvlText w:val="%4."/>
      <w:lvlJc w:val="left"/>
      <w:pPr>
        <w:tabs>
          <w:tab w:val="num" w:pos="2535"/>
        </w:tabs>
        <w:ind w:left="2535" w:hanging="360"/>
      </w:pPr>
    </w:lvl>
    <w:lvl w:ilvl="4" w:tplc="0C0A0019" w:tentative="1">
      <w:start w:val="1"/>
      <w:numFmt w:val="lowerLetter"/>
      <w:lvlText w:val="%5."/>
      <w:lvlJc w:val="left"/>
      <w:pPr>
        <w:tabs>
          <w:tab w:val="num" w:pos="3255"/>
        </w:tabs>
        <w:ind w:left="3255" w:hanging="360"/>
      </w:pPr>
    </w:lvl>
    <w:lvl w:ilvl="5" w:tplc="0C0A001B" w:tentative="1">
      <w:start w:val="1"/>
      <w:numFmt w:val="lowerRoman"/>
      <w:lvlText w:val="%6."/>
      <w:lvlJc w:val="right"/>
      <w:pPr>
        <w:tabs>
          <w:tab w:val="num" w:pos="3975"/>
        </w:tabs>
        <w:ind w:left="3975" w:hanging="180"/>
      </w:pPr>
    </w:lvl>
    <w:lvl w:ilvl="6" w:tplc="0C0A000F" w:tentative="1">
      <w:start w:val="1"/>
      <w:numFmt w:val="decimal"/>
      <w:lvlText w:val="%7."/>
      <w:lvlJc w:val="left"/>
      <w:pPr>
        <w:tabs>
          <w:tab w:val="num" w:pos="4695"/>
        </w:tabs>
        <w:ind w:left="4695" w:hanging="360"/>
      </w:pPr>
    </w:lvl>
    <w:lvl w:ilvl="7" w:tplc="0C0A0019" w:tentative="1">
      <w:start w:val="1"/>
      <w:numFmt w:val="lowerLetter"/>
      <w:lvlText w:val="%8."/>
      <w:lvlJc w:val="left"/>
      <w:pPr>
        <w:tabs>
          <w:tab w:val="num" w:pos="5415"/>
        </w:tabs>
        <w:ind w:left="5415" w:hanging="360"/>
      </w:pPr>
    </w:lvl>
    <w:lvl w:ilvl="8" w:tplc="0C0A001B" w:tentative="1">
      <w:start w:val="1"/>
      <w:numFmt w:val="lowerRoman"/>
      <w:lvlText w:val="%9."/>
      <w:lvlJc w:val="right"/>
      <w:pPr>
        <w:tabs>
          <w:tab w:val="num" w:pos="6135"/>
        </w:tabs>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02"/>
    <w:rsid w:val="001C202B"/>
    <w:rsid w:val="001D2B6F"/>
    <w:rsid w:val="001F3974"/>
    <w:rsid w:val="00245BD7"/>
    <w:rsid w:val="002E5644"/>
    <w:rsid w:val="00354D75"/>
    <w:rsid w:val="0050083E"/>
    <w:rsid w:val="0059712A"/>
    <w:rsid w:val="00767AEE"/>
    <w:rsid w:val="0077689F"/>
    <w:rsid w:val="00782788"/>
    <w:rsid w:val="0079595A"/>
    <w:rsid w:val="008C76E8"/>
    <w:rsid w:val="009D2202"/>
    <w:rsid w:val="00AA1554"/>
    <w:rsid w:val="00D40112"/>
    <w:rsid w:val="00E00BF2"/>
    <w:rsid w:val="00F65B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59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595A"/>
  </w:style>
  <w:style w:type="paragraph" w:styleId="Piedepgina">
    <w:name w:val="footer"/>
    <w:basedOn w:val="Normal"/>
    <w:link w:val="PiedepginaCar"/>
    <w:uiPriority w:val="99"/>
    <w:unhideWhenUsed/>
    <w:rsid w:val="007959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5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59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595A"/>
  </w:style>
  <w:style w:type="paragraph" w:styleId="Piedepgina">
    <w:name w:val="footer"/>
    <w:basedOn w:val="Normal"/>
    <w:link w:val="PiedepginaCar"/>
    <w:uiPriority w:val="99"/>
    <w:unhideWhenUsed/>
    <w:rsid w:val="007959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2019-04-12T16:28:00Z</cp:lastPrinted>
  <dcterms:created xsi:type="dcterms:W3CDTF">2019-04-12T16:28:00Z</dcterms:created>
  <dcterms:modified xsi:type="dcterms:W3CDTF">2019-04-23T16:13:00Z</dcterms:modified>
</cp:coreProperties>
</file>