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46" w:rsidRPr="00786EEB" w:rsidRDefault="0051254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860BAD">
        <w:rPr>
          <w:rFonts w:ascii="Arial" w:hAnsi="Arial" w:cs="Arial"/>
          <w:b/>
          <w:sz w:val="28"/>
          <w:szCs w:val="28"/>
          <w:lang w:val="es-ES_tradnl"/>
        </w:rPr>
        <w:t>961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512546" w:rsidRDefault="0051254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12546" w:rsidRPr="00512546" w:rsidRDefault="00512546" w:rsidP="005125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1254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12546" w:rsidRPr="00512546" w:rsidRDefault="00512546" w:rsidP="0051254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12546" w:rsidRPr="00512546" w:rsidRDefault="00512546" w:rsidP="005125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1254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12546" w:rsidRPr="00512546" w:rsidRDefault="00512546" w:rsidP="0051254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12546" w:rsidRPr="00512546" w:rsidRDefault="00512546" w:rsidP="005125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12546">
        <w:rPr>
          <w:rFonts w:ascii="Arial" w:hAnsi="Arial" w:cs="Arial"/>
          <w:b/>
          <w:sz w:val="24"/>
          <w:szCs w:val="24"/>
          <w:lang w:val="es-ES_tradnl"/>
        </w:rPr>
        <w:t>EN SESION DE FECHA 10 DE ABRIL DE 2019</w:t>
      </w:r>
    </w:p>
    <w:p w:rsidR="00512546" w:rsidRPr="00512546" w:rsidRDefault="00512546" w:rsidP="005125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12546" w:rsidRPr="00183F2A" w:rsidRDefault="00512546" w:rsidP="0051254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3F2A">
        <w:rPr>
          <w:rFonts w:ascii="Arial" w:hAnsi="Arial" w:cs="Arial"/>
          <w:b/>
          <w:sz w:val="24"/>
          <w:szCs w:val="24"/>
        </w:rPr>
        <w:t xml:space="preserve">(E. E. Nº </w:t>
      </w:r>
      <w:r w:rsidRPr="00512546">
        <w:rPr>
          <w:rFonts w:ascii="Arial" w:hAnsi="Arial" w:cs="Arial"/>
          <w:b/>
          <w:sz w:val="24"/>
          <w:szCs w:val="24"/>
        </w:rPr>
        <w:t>2019-17-1-0001270</w:t>
      </w:r>
      <w:r w:rsidRPr="00183F2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83F2A">
        <w:rPr>
          <w:rFonts w:ascii="Arial" w:hAnsi="Arial" w:cs="Arial"/>
          <w:b/>
          <w:sz w:val="24"/>
          <w:szCs w:val="24"/>
        </w:rPr>
        <w:t>Ent</w:t>
      </w:r>
      <w:proofErr w:type="spellEnd"/>
      <w:r w:rsidRPr="00183F2A">
        <w:rPr>
          <w:rFonts w:ascii="Arial" w:hAnsi="Arial" w:cs="Arial"/>
          <w:b/>
          <w:sz w:val="24"/>
          <w:szCs w:val="24"/>
        </w:rPr>
        <w:t>. N°990/19)</w:t>
      </w:r>
    </w:p>
    <w:p w:rsidR="00512546" w:rsidRPr="00183F2A" w:rsidRDefault="00512546"/>
    <w:p w:rsidR="00E8592F" w:rsidRPr="00E8592F" w:rsidRDefault="00E8592F" w:rsidP="0051254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592F">
        <w:rPr>
          <w:rFonts w:ascii="Arial" w:hAnsi="Arial" w:cs="Arial"/>
          <w:b/>
          <w:sz w:val="24"/>
          <w:szCs w:val="24"/>
        </w:rPr>
        <w:t xml:space="preserve">VISTO: </w:t>
      </w:r>
      <w:r w:rsidRPr="00E8592F">
        <w:rPr>
          <w:rFonts w:ascii="Arial" w:hAnsi="Arial" w:cs="Arial"/>
          <w:sz w:val="24"/>
          <w:szCs w:val="24"/>
        </w:rPr>
        <w:t xml:space="preserve">la consulta formulada por el  Contador Delegado de este Tribunal ante la Administración de los Servicios de Salud del Estado </w:t>
      </w:r>
      <w:r w:rsidR="00DB79B9">
        <w:rPr>
          <w:rFonts w:ascii="Arial" w:hAnsi="Arial" w:cs="Arial"/>
          <w:sz w:val="24"/>
          <w:szCs w:val="24"/>
        </w:rPr>
        <w:t>(</w:t>
      </w:r>
      <w:r w:rsidRPr="00E8592F">
        <w:rPr>
          <w:rFonts w:ascii="Arial" w:hAnsi="Arial" w:cs="Arial"/>
          <w:sz w:val="24"/>
          <w:szCs w:val="24"/>
        </w:rPr>
        <w:t>ASSE</w:t>
      </w:r>
      <w:r w:rsidR="00DB79B9">
        <w:rPr>
          <w:rFonts w:ascii="Arial" w:hAnsi="Arial" w:cs="Arial"/>
          <w:sz w:val="24"/>
          <w:szCs w:val="24"/>
        </w:rPr>
        <w:t>)</w:t>
      </w:r>
      <w:r w:rsidRPr="00E8592F">
        <w:rPr>
          <w:rFonts w:ascii="Arial" w:hAnsi="Arial" w:cs="Arial"/>
          <w:sz w:val="24"/>
          <w:szCs w:val="24"/>
        </w:rPr>
        <w:t xml:space="preserve">, Región Norte – Tacuarembó, relacionada con las contrataciones para  el suministro de consultas especializadas; </w:t>
      </w:r>
    </w:p>
    <w:p w:rsidR="00E8592F" w:rsidRPr="00E8592F" w:rsidRDefault="00E8592F" w:rsidP="0051254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8592F">
        <w:rPr>
          <w:rFonts w:ascii="Arial" w:hAnsi="Arial" w:cs="Arial"/>
          <w:b/>
          <w:sz w:val="24"/>
          <w:szCs w:val="24"/>
        </w:rPr>
        <w:t xml:space="preserve">RESULTANDO: </w:t>
      </w:r>
      <w:r w:rsidRPr="00512546">
        <w:rPr>
          <w:rFonts w:ascii="Arial" w:hAnsi="Arial" w:cs="Arial"/>
          <w:b/>
          <w:sz w:val="24"/>
          <w:szCs w:val="24"/>
        </w:rPr>
        <w:t>1)</w:t>
      </w:r>
      <w:r w:rsidRPr="00E8592F">
        <w:rPr>
          <w:rFonts w:ascii="Arial" w:hAnsi="Arial" w:cs="Arial"/>
          <w:sz w:val="24"/>
          <w:szCs w:val="24"/>
        </w:rPr>
        <w:t xml:space="preserve"> que, realizado el procedimiento respectivo, la Dirección del Centro Auxiliar de Paso de los Toros</w:t>
      </w:r>
      <w:r w:rsidR="00E16281">
        <w:rPr>
          <w:rFonts w:ascii="Arial" w:hAnsi="Arial" w:cs="Arial"/>
          <w:sz w:val="24"/>
          <w:szCs w:val="24"/>
        </w:rPr>
        <w:t xml:space="preserve"> por Resolució</w:t>
      </w:r>
      <w:r w:rsidRPr="00E8592F">
        <w:rPr>
          <w:rFonts w:ascii="Arial" w:hAnsi="Arial" w:cs="Arial"/>
          <w:sz w:val="24"/>
          <w:szCs w:val="24"/>
        </w:rPr>
        <w:t xml:space="preserve">n de fecha 28/12/18 adjudicó la Licitación Abreviada No. 6/2018 “Suministro de Consultas Especializadas”, a las firmas SACOI S.R.L. (los Items 1, 2, 3, 4, y 6), y a la firma LASSERRA y DHUALDE (Item 5), por la suma total de $ 2:432.100 y por el Ejercicio 2019, previa intervención de este Tribunal; </w:t>
      </w:r>
    </w:p>
    <w:p w:rsidR="00E8592F" w:rsidRPr="00E8592F" w:rsidRDefault="00E8592F" w:rsidP="0051254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12546">
        <w:rPr>
          <w:rFonts w:ascii="Arial" w:hAnsi="Arial" w:cs="Arial"/>
          <w:b/>
          <w:sz w:val="24"/>
          <w:szCs w:val="24"/>
        </w:rPr>
        <w:t>2)</w:t>
      </w:r>
      <w:r w:rsidRPr="00E8592F">
        <w:rPr>
          <w:rFonts w:ascii="Arial" w:hAnsi="Arial" w:cs="Arial"/>
          <w:sz w:val="24"/>
          <w:szCs w:val="24"/>
        </w:rPr>
        <w:t xml:space="preserve"> que remitido el expediente a consideración del Contador Delegado, </w:t>
      </w:r>
      <w:r w:rsidRPr="00E8592F">
        <w:rPr>
          <w:rFonts w:ascii="Arial" w:hAnsi="Arial" w:cs="Arial"/>
          <w:sz w:val="24"/>
          <w:szCs w:val="24"/>
          <w:lang w:val="es-ES"/>
        </w:rPr>
        <w:t xml:space="preserve">éste </w:t>
      </w:r>
      <w:r w:rsidRPr="00E8592F">
        <w:rPr>
          <w:rFonts w:ascii="Arial" w:hAnsi="Arial" w:cs="Arial"/>
          <w:sz w:val="24"/>
          <w:szCs w:val="24"/>
        </w:rPr>
        <w:t>remite los ant</w:t>
      </w:r>
      <w:r w:rsidR="00E16281">
        <w:rPr>
          <w:rFonts w:ascii="Arial" w:hAnsi="Arial" w:cs="Arial"/>
          <w:sz w:val="24"/>
          <w:szCs w:val="24"/>
        </w:rPr>
        <w:t>ecedentes a este Tribunal</w:t>
      </w:r>
      <w:r w:rsidRPr="00E8592F">
        <w:rPr>
          <w:rFonts w:ascii="Arial" w:hAnsi="Arial" w:cs="Arial"/>
          <w:sz w:val="24"/>
          <w:szCs w:val="24"/>
        </w:rPr>
        <w:t xml:space="preserve">  y consulta si la contratación se enmarca en la disposición contenida en el artículo 38 del TOCAF, o si </w:t>
      </w:r>
      <w:r w:rsidR="00DB79B9">
        <w:rPr>
          <w:rFonts w:ascii="Arial" w:hAnsi="Arial" w:cs="Arial"/>
          <w:sz w:val="24"/>
          <w:szCs w:val="24"/>
        </w:rPr>
        <w:t xml:space="preserve"> debe</w:t>
      </w:r>
      <w:r w:rsidRPr="00E8592F">
        <w:rPr>
          <w:rFonts w:ascii="Arial" w:hAnsi="Arial" w:cs="Arial"/>
          <w:sz w:val="24"/>
          <w:szCs w:val="24"/>
        </w:rPr>
        <w:t xml:space="preserve"> ampararse en lo dispuesto por el artículo 256 de la ley N°18.834 de fecha 17/11/011;  </w:t>
      </w:r>
    </w:p>
    <w:p w:rsidR="00E8592F" w:rsidRPr="00E8592F" w:rsidRDefault="00345907" w:rsidP="00512546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345907">
        <w:rPr>
          <w:rFonts w:ascii="Arial" w:hAnsi="Arial" w:cs="Arial"/>
          <w:b/>
          <w:sz w:val="24"/>
          <w:szCs w:val="24"/>
        </w:rPr>
        <w:t xml:space="preserve">CONSIDERANDO: </w:t>
      </w:r>
      <w:r w:rsidR="00E8592F" w:rsidRPr="00E8592F">
        <w:rPr>
          <w:rFonts w:ascii="Arial" w:hAnsi="Arial" w:cs="Arial"/>
          <w:b/>
          <w:sz w:val="24"/>
          <w:szCs w:val="24"/>
        </w:rPr>
        <w:t xml:space="preserve">1) </w:t>
      </w:r>
      <w:r w:rsidR="00E8592F" w:rsidRPr="00E8592F">
        <w:rPr>
          <w:rFonts w:ascii="Arial" w:hAnsi="Arial" w:cs="Arial"/>
          <w:sz w:val="24"/>
          <w:szCs w:val="24"/>
        </w:rPr>
        <w:t>que e</w:t>
      </w:r>
      <w:r w:rsidR="00DB79B9">
        <w:rPr>
          <w:rFonts w:ascii="Arial" w:hAnsi="Arial" w:cs="Arial"/>
          <w:sz w:val="24"/>
          <w:szCs w:val="24"/>
        </w:rPr>
        <w:t>l artículo 38 del TOCAF</w:t>
      </w:r>
      <w:r w:rsidR="00E8592F" w:rsidRPr="00E8592F">
        <w:rPr>
          <w:rFonts w:ascii="Arial" w:hAnsi="Arial" w:cs="Arial"/>
          <w:sz w:val="24"/>
          <w:szCs w:val="24"/>
        </w:rPr>
        <w:t xml:space="preserve"> establece con carácter general el régimen que tiene la Administración para proceder a la contratación de perso</w:t>
      </w:r>
      <w:r w:rsidR="00DB79B9">
        <w:rPr>
          <w:rFonts w:ascii="Arial" w:hAnsi="Arial" w:cs="Arial"/>
          <w:sz w:val="24"/>
          <w:szCs w:val="24"/>
        </w:rPr>
        <w:t>nas en régimen de arrendamiento</w:t>
      </w:r>
      <w:r w:rsidR="00E8592F" w:rsidRPr="00E8592F">
        <w:rPr>
          <w:rFonts w:ascii="Arial" w:hAnsi="Arial" w:cs="Arial"/>
          <w:sz w:val="24"/>
          <w:szCs w:val="24"/>
        </w:rPr>
        <w:t xml:space="preserve"> de obra. Define dicha contratación por sus elementos característicos, incompatibilidades, excepciones, ordenador competente, condiciones para s</w:t>
      </w:r>
      <w:r w:rsidR="00E16281">
        <w:rPr>
          <w:rFonts w:ascii="Arial" w:hAnsi="Arial" w:cs="Arial"/>
          <w:sz w:val="24"/>
          <w:szCs w:val="24"/>
        </w:rPr>
        <w:t xml:space="preserve">u contratación directa, </w:t>
      </w:r>
      <w:r w:rsidR="00E16281">
        <w:rPr>
          <w:rFonts w:ascii="Arial" w:hAnsi="Arial" w:cs="Arial"/>
          <w:sz w:val="24"/>
          <w:szCs w:val="24"/>
        </w:rPr>
        <w:lastRenderedPageBreak/>
        <w:t>y prevé además</w:t>
      </w:r>
      <w:r w:rsidR="00E8592F" w:rsidRPr="00E8592F">
        <w:rPr>
          <w:rFonts w:ascii="Arial" w:hAnsi="Arial" w:cs="Arial"/>
          <w:sz w:val="24"/>
          <w:szCs w:val="24"/>
        </w:rPr>
        <w:t xml:space="preserve"> las constancias que deben dejarse en cada caso, entre otros aspectos; </w:t>
      </w:r>
    </w:p>
    <w:p w:rsidR="00512546" w:rsidRDefault="00E8592F" w:rsidP="00512546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 w:rsidRPr="00E8592F">
        <w:rPr>
          <w:rFonts w:ascii="Arial" w:hAnsi="Arial" w:cs="Arial"/>
          <w:b/>
          <w:sz w:val="24"/>
          <w:szCs w:val="24"/>
        </w:rPr>
        <w:t xml:space="preserve">2) </w:t>
      </w:r>
      <w:r w:rsidRPr="00E8592F">
        <w:rPr>
          <w:rFonts w:ascii="Arial" w:hAnsi="Arial" w:cs="Arial"/>
          <w:sz w:val="24"/>
          <w:szCs w:val="24"/>
        </w:rPr>
        <w:t>que el artículo 256 de la ley N° 18.834 de fecha 17/11/011, dispone que los ingresos a ASSE se realizarán mediante contrataciones provisorias por el término de dieciocho meses, las que se financiarán con los créditos habilitados para las vacantes correspondientes y pueden ser rescindidas en cualquier momento por resolución fundada de la autoridad competente</w:t>
      </w:r>
      <w:r w:rsidRPr="00E8592F">
        <w:rPr>
          <w:rFonts w:ascii="Arial" w:hAnsi="Arial" w:cs="Arial"/>
          <w:b/>
          <w:sz w:val="24"/>
          <w:szCs w:val="24"/>
        </w:rPr>
        <w:t xml:space="preserve">;  </w:t>
      </w:r>
    </w:p>
    <w:p w:rsidR="00512546" w:rsidRDefault="003E5E5F" w:rsidP="00512546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345907" w:rsidRPr="00345907">
        <w:rPr>
          <w:rFonts w:ascii="Arial" w:hAnsi="Arial" w:cs="Arial"/>
          <w:b/>
          <w:sz w:val="24"/>
          <w:szCs w:val="24"/>
        </w:rPr>
        <w:t>)</w:t>
      </w:r>
      <w:r w:rsidR="00345907" w:rsidRPr="00345907">
        <w:rPr>
          <w:rFonts w:ascii="Arial" w:hAnsi="Arial" w:cs="Arial"/>
          <w:sz w:val="24"/>
          <w:szCs w:val="24"/>
        </w:rPr>
        <w:t xml:space="preserve"> que </w:t>
      </w:r>
      <w:r w:rsidR="00E8592F">
        <w:rPr>
          <w:rFonts w:ascii="Arial" w:hAnsi="Arial" w:cs="Arial"/>
          <w:sz w:val="24"/>
          <w:szCs w:val="24"/>
        </w:rPr>
        <w:t>dichos regímenes, no son necesariamente incompatibles sino com</w:t>
      </w:r>
      <w:r w:rsidR="00DB79B9">
        <w:rPr>
          <w:rFonts w:ascii="Arial" w:hAnsi="Arial" w:cs="Arial"/>
          <w:sz w:val="24"/>
          <w:szCs w:val="24"/>
        </w:rPr>
        <w:t>plementarios y dependerá de la A</w:t>
      </w:r>
      <w:r w:rsidR="00E8592F">
        <w:rPr>
          <w:rFonts w:ascii="Arial" w:hAnsi="Arial" w:cs="Arial"/>
          <w:sz w:val="24"/>
          <w:szCs w:val="24"/>
        </w:rPr>
        <w:t xml:space="preserve">dministración actuante recurrir a uno u otro régimen, en atención a la naturaleza jurídica de la contratación que se pretende realizar. En efecto, el régimen de “provisoriato”, es aplicable a la totalidad de las contrataciones que signifiquen un ingreso a la Administración pública en ASSE.  </w:t>
      </w:r>
      <w:r w:rsidR="00CA5A44">
        <w:rPr>
          <w:rFonts w:ascii="Arial" w:hAnsi="Arial" w:cs="Arial"/>
          <w:sz w:val="24"/>
          <w:szCs w:val="24"/>
        </w:rPr>
        <w:t>Ello no incluye l</w:t>
      </w:r>
      <w:r w:rsidR="00E8592F">
        <w:rPr>
          <w:rFonts w:ascii="Arial" w:hAnsi="Arial" w:cs="Arial"/>
          <w:sz w:val="24"/>
          <w:szCs w:val="24"/>
        </w:rPr>
        <w:t>os contratos que se suscriban en régimen de arrendamiento de obra (artículo 38 del TOCAF)</w:t>
      </w:r>
      <w:r w:rsidR="00E16281">
        <w:rPr>
          <w:rFonts w:ascii="Arial" w:hAnsi="Arial" w:cs="Arial"/>
          <w:sz w:val="24"/>
          <w:szCs w:val="24"/>
        </w:rPr>
        <w:t xml:space="preserve"> que</w:t>
      </w:r>
      <w:r w:rsidR="00E8592F">
        <w:rPr>
          <w:rFonts w:ascii="Arial" w:hAnsi="Arial" w:cs="Arial"/>
          <w:sz w:val="24"/>
          <w:szCs w:val="24"/>
        </w:rPr>
        <w:t xml:space="preserve"> </w:t>
      </w:r>
      <w:r w:rsidR="00CA5A44">
        <w:rPr>
          <w:rFonts w:ascii="Arial" w:hAnsi="Arial" w:cs="Arial"/>
          <w:sz w:val="24"/>
          <w:szCs w:val="24"/>
        </w:rPr>
        <w:t>son eventuales, para realizar una obra en un plazo determinado y son incompatibles con el ingreso a la función pública;</w:t>
      </w:r>
    </w:p>
    <w:p w:rsidR="00512546" w:rsidRDefault="00CA5A44" w:rsidP="00512546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 w:rsidRPr="00CA5A44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según lo expresado, dichos regímenes están previstos y únicamente refieren a la contratación de personas físicas, por lo que no son de aplicación  en el caso consultado, en el que la Administración está contratando empresas prestadoras de servicios; </w:t>
      </w:r>
    </w:p>
    <w:p w:rsidR="00E16281" w:rsidRPr="00512546" w:rsidRDefault="005909D0" w:rsidP="00512546">
      <w:pPr>
        <w:spacing w:after="0"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A5A44" w:rsidRPr="00CA5A44">
        <w:rPr>
          <w:rFonts w:ascii="Arial" w:hAnsi="Arial" w:cs="Arial"/>
          <w:b/>
          <w:sz w:val="24"/>
          <w:szCs w:val="24"/>
        </w:rPr>
        <w:t>)</w:t>
      </w:r>
      <w:r w:rsidR="00CA5A44">
        <w:rPr>
          <w:rFonts w:ascii="Arial" w:hAnsi="Arial" w:cs="Arial"/>
          <w:sz w:val="24"/>
          <w:szCs w:val="24"/>
        </w:rPr>
        <w:t xml:space="preserve"> que en consecuencia, en este caso, es </w:t>
      </w:r>
      <w:r w:rsidR="003E5E5F">
        <w:rPr>
          <w:rFonts w:ascii="Arial" w:hAnsi="Arial" w:cs="Arial"/>
          <w:sz w:val="24"/>
          <w:szCs w:val="24"/>
        </w:rPr>
        <w:t>de aplicación el régimen general pre</w:t>
      </w:r>
      <w:r w:rsidR="00CA5A44">
        <w:rPr>
          <w:rFonts w:ascii="Arial" w:hAnsi="Arial" w:cs="Arial"/>
          <w:sz w:val="24"/>
          <w:szCs w:val="24"/>
        </w:rPr>
        <w:t>visto en el artículo</w:t>
      </w:r>
      <w:r w:rsidR="003E5E5F">
        <w:rPr>
          <w:rFonts w:ascii="Arial" w:hAnsi="Arial" w:cs="Arial"/>
          <w:sz w:val="24"/>
          <w:szCs w:val="24"/>
        </w:rPr>
        <w:t xml:space="preserve"> 33 del TOCA</w:t>
      </w:r>
      <w:r w:rsidR="00CA5A44">
        <w:rPr>
          <w:rFonts w:ascii="Arial" w:hAnsi="Arial" w:cs="Arial"/>
          <w:sz w:val="24"/>
          <w:szCs w:val="24"/>
        </w:rPr>
        <w:t>F, que es al que recurrió la Admin</w:t>
      </w:r>
      <w:r w:rsidR="00E16281">
        <w:rPr>
          <w:rFonts w:ascii="Arial" w:hAnsi="Arial" w:cs="Arial"/>
          <w:sz w:val="24"/>
          <w:szCs w:val="24"/>
        </w:rPr>
        <w:t>istración actuante, efectuando una L</w:t>
      </w:r>
      <w:r w:rsidR="00CA5A44">
        <w:rPr>
          <w:rFonts w:ascii="Arial" w:hAnsi="Arial" w:cs="Arial"/>
          <w:sz w:val="24"/>
          <w:szCs w:val="24"/>
        </w:rPr>
        <w:t>i</w:t>
      </w:r>
      <w:r w:rsidR="00E16281">
        <w:rPr>
          <w:rFonts w:ascii="Arial" w:hAnsi="Arial" w:cs="Arial"/>
          <w:sz w:val="24"/>
          <w:szCs w:val="24"/>
        </w:rPr>
        <w:t>citación A</w:t>
      </w:r>
      <w:r w:rsidR="00CA5A44">
        <w:rPr>
          <w:rFonts w:ascii="Arial" w:hAnsi="Arial" w:cs="Arial"/>
          <w:sz w:val="24"/>
          <w:szCs w:val="24"/>
        </w:rPr>
        <w:t>breviada en función del mont</w:t>
      </w:r>
      <w:r w:rsidR="00E16281">
        <w:rPr>
          <w:rFonts w:ascii="Arial" w:hAnsi="Arial" w:cs="Arial"/>
          <w:sz w:val="24"/>
          <w:szCs w:val="24"/>
        </w:rPr>
        <w:t>o de la contratación respectiva. Es el cumplimiento de los requisitos legalmente establecidos para este procedimiento los que el Contador debe verificar para efectuar la intervención preventiva que le compete.</w:t>
      </w:r>
    </w:p>
    <w:p w:rsidR="00DF685C" w:rsidRDefault="00743352" w:rsidP="0051254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43352">
        <w:rPr>
          <w:rFonts w:ascii="Arial" w:hAnsi="Arial" w:cs="Arial"/>
          <w:b/>
          <w:sz w:val="24"/>
          <w:szCs w:val="24"/>
        </w:rPr>
        <w:t>ATENTO</w:t>
      </w:r>
      <w:r w:rsidR="000E46D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precedentemente expuesto</w:t>
      </w:r>
      <w:r w:rsidR="00E16281">
        <w:rPr>
          <w:rFonts w:ascii="Arial" w:hAnsi="Arial" w:cs="Arial"/>
          <w:sz w:val="24"/>
          <w:szCs w:val="24"/>
        </w:rPr>
        <w:t xml:space="preserve"> y a lo dispuesto por las Ordenanzas 64 y 72 de este Tribunal y el artículo 211 literal B) de la Constitución de la República</w:t>
      </w:r>
      <w:r>
        <w:rPr>
          <w:rFonts w:ascii="Arial" w:hAnsi="Arial" w:cs="Arial"/>
          <w:sz w:val="24"/>
          <w:szCs w:val="24"/>
        </w:rPr>
        <w:t xml:space="preserve">; </w:t>
      </w:r>
    </w:p>
    <w:p w:rsidR="00DF685C" w:rsidRPr="00512546" w:rsidRDefault="00DF685C" w:rsidP="00860BAD">
      <w:pPr>
        <w:pStyle w:val="Ttulo1"/>
        <w:ind w:firstLine="0"/>
        <w:rPr>
          <w:rFonts w:cs="Arial"/>
          <w:u w:val="none"/>
        </w:rPr>
      </w:pPr>
      <w:r w:rsidRPr="00B20AEF">
        <w:rPr>
          <w:rFonts w:cs="Arial"/>
          <w:u w:val="none"/>
        </w:rPr>
        <w:lastRenderedPageBreak/>
        <w:t>EL TRIBUNAL ACUERDA</w:t>
      </w:r>
    </w:p>
    <w:p w:rsidR="00DF685C" w:rsidRPr="003E5E5F" w:rsidRDefault="00DF685C" w:rsidP="00860BAD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E5E5F">
        <w:rPr>
          <w:rFonts w:ascii="Arial" w:hAnsi="Arial" w:cs="Arial"/>
          <w:sz w:val="24"/>
          <w:szCs w:val="24"/>
        </w:rPr>
        <w:t xml:space="preserve">Evacuar la consulta en los términos de los presentes Considerando; </w:t>
      </w:r>
    </w:p>
    <w:p w:rsidR="00DF685C" w:rsidRPr="003E5E5F" w:rsidRDefault="00DF685C" w:rsidP="00860BAD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E5E5F">
        <w:rPr>
          <w:rFonts w:ascii="Arial" w:hAnsi="Arial" w:cs="Arial"/>
          <w:sz w:val="24"/>
          <w:szCs w:val="24"/>
        </w:rPr>
        <w:t xml:space="preserve">Comunicar al Contador Delegado en </w:t>
      </w:r>
      <w:r w:rsidR="00512546" w:rsidRPr="00E8592F">
        <w:rPr>
          <w:rFonts w:ascii="Arial" w:hAnsi="Arial" w:cs="Arial"/>
          <w:sz w:val="24"/>
          <w:szCs w:val="24"/>
        </w:rPr>
        <w:t>la Administración de lo</w:t>
      </w:r>
      <w:r w:rsidR="00512546">
        <w:rPr>
          <w:rFonts w:ascii="Arial" w:hAnsi="Arial" w:cs="Arial"/>
          <w:sz w:val="24"/>
          <w:szCs w:val="24"/>
        </w:rPr>
        <w:t>s Servicios de Salud del Estado</w:t>
      </w:r>
      <w:r w:rsidRPr="003E5E5F">
        <w:rPr>
          <w:rFonts w:ascii="Arial" w:hAnsi="Arial" w:cs="Arial"/>
          <w:sz w:val="24"/>
          <w:szCs w:val="24"/>
        </w:rPr>
        <w:t xml:space="preserve">; y </w:t>
      </w:r>
    </w:p>
    <w:p w:rsidR="00860BAD" w:rsidRDefault="00DF685C" w:rsidP="00860BAD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E5E5F">
        <w:rPr>
          <w:rFonts w:ascii="Arial" w:hAnsi="Arial" w:cs="Arial"/>
          <w:sz w:val="24"/>
          <w:szCs w:val="24"/>
        </w:rPr>
        <w:t>Devolver las actuaciones</w:t>
      </w:r>
      <w:r w:rsidR="0051254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60BAD" w:rsidRPr="00860BAD" w:rsidRDefault="00860BAD" w:rsidP="00860BAD">
      <w:p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E16281" w:rsidRDefault="00E16281" w:rsidP="00E16281">
      <w:pPr>
        <w:spacing w:line="360" w:lineRule="auto"/>
        <w:ind w:left="360"/>
        <w:rPr>
          <w:rFonts w:ascii="Arial" w:hAnsi="Arial" w:cs="Arial"/>
        </w:rPr>
      </w:pPr>
    </w:p>
    <w:sectPr w:rsidR="00E16281" w:rsidSect="00183F2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D89"/>
    <w:multiLevelType w:val="hybridMultilevel"/>
    <w:tmpl w:val="70B8B87C"/>
    <w:lvl w:ilvl="0" w:tplc="DEE6B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D8"/>
    <w:rsid w:val="000229D1"/>
    <w:rsid w:val="00046C5B"/>
    <w:rsid w:val="00064A58"/>
    <w:rsid w:val="000E46D4"/>
    <w:rsid w:val="00113531"/>
    <w:rsid w:val="00130E81"/>
    <w:rsid w:val="00183F2A"/>
    <w:rsid w:val="00201C1E"/>
    <w:rsid w:val="00345907"/>
    <w:rsid w:val="003C252E"/>
    <w:rsid w:val="003E5E5F"/>
    <w:rsid w:val="0040241B"/>
    <w:rsid w:val="00512546"/>
    <w:rsid w:val="005909D0"/>
    <w:rsid w:val="00743352"/>
    <w:rsid w:val="007E3BD2"/>
    <w:rsid w:val="00860BAD"/>
    <w:rsid w:val="008E772A"/>
    <w:rsid w:val="00986D58"/>
    <w:rsid w:val="009C12B0"/>
    <w:rsid w:val="00AC113D"/>
    <w:rsid w:val="00B72BBD"/>
    <w:rsid w:val="00BC2ED8"/>
    <w:rsid w:val="00CA5A44"/>
    <w:rsid w:val="00CD29FF"/>
    <w:rsid w:val="00D07C13"/>
    <w:rsid w:val="00D33409"/>
    <w:rsid w:val="00D51160"/>
    <w:rsid w:val="00DB79B9"/>
    <w:rsid w:val="00DF685C"/>
    <w:rsid w:val="00E16281"/>
    <w:rsid w:val="00E8592F"/>
    <w:rsid w:val="00ED11CD"/>
    <w:rsid w:val="00F360DB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F685C"/>
    <w:pPr>
      <w:keepNext/>
      <w:spacing w:after="0" w:line="360" w:lineRule="auto"/>
      <w:ind w:firstLine="708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F685C"/>
    <w:pPr>
      <w:keepNext/>
      <w:spacing w:after="0" w:line="36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685C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F685C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F685C"/>
    <w:pPr>
      <w:keepNext/>
      <w:spacing w:after="0" w:line="360" w:lineRule="auto"/>
      <w:ind w:firstLine="708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F685C"/>
    <w:pPr>
      <w:keepNext/>
      <w:spacing w:after="0" w:line="36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685C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F685C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6E59B-B31F-4A55-8283-C3550769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3</cp:revision>
  <cp:lastPrinted>2019-04-23T19:12:00Z</cp:lastPrinted>
  <dcterms:created xsi:type="dcterms:W3CDTF">2019-04-23T17:27:00Z</dcterms:created>
  <dcterms:modified xsi:type="dcterms:W3CDTF">2019-04-23T19:12:00Z</dcterms:modified>
</cp:coreProperties>
</file>