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648" w:rsidRPr="00786EEB" w:rsidRDefault="00897648" w:rsidP="00786EEB">
      <w:pPr>
        <w:tabs>
          <w:tab w:val="center" w:pos="4253"/>
        </w:tabs>
        <w:suppressAutoHyphens/>
        <w:jc w:val="right"/>
        <w:rPr>
          <w:rFonts w:cs="Arial"/>
          <w:b/>
          <w:sz w:val="28"/>
          <w:szCs w:val="28"/>
          <w:lang w:val="es-ES_tradnl"/>
        </w:rPr>
      </w:pPr>
      <w:r>
        <w:rPr>
          <w:rFonts w:cs="Arial"/>
          <w:b/>
          <w:sz w:val="28"/>
          <w:szCs w:val="28"/>
          <w:lang w:val="es-ES_tradnl"/>
        </w:rPr>
        <w:t>RES. 929/19</w:t>
      </w:r>
    </w:p>
    <w:p w:rsidR="00897648" w:rsidRDefault="00897648" w:rsidP="00786EEB">
      <w:pPr>
        <w:tabs>
          <w:tab w:val="center" w:pos="4253"/>
        </w:tabs>
        <w:suppressAutoHyphens/>
        <w:jc w:val="right"/>
        <w:rPr>
          <w:rFonts w:cs="Arial"/>
          <w:b/>
          <w:lang w:val="es-ES_tradnl"/>
        </w:rPr>
      </w:pPr>
    </w:p>
    <w:p w:rsidR="00897648" w:rsidRPr="00762B34" w:rsidRDefault="00897648">
      <w:pPr>
        <w:tabs>
          <w:tab w:val="center" w:pos="4253"/>
        </w:tabs>
        <w:suppressAutoHyphens/>
        <w:jc w:val="center"/>
        <w:rPr>
          <w:rFonts w:cs="Arial"/>
          <w:b/>
          <w:lang w:val="es-ES_tradnl"/>
        </w:rPr>
      </w:pPr>
      <w:r w:rsidRPr="00762B34">
        <w:rPr>
          <w:rFonts w:cs="Arial"/>
          <w:b/>
          <w:lang w:val="es-ES_tradnl"/>
        </w:rPr>
        <w:t>RESOLUCION ADOPTADA POR EL</w:t>
      </w:r>
    </w:p>
    <w:p w:rsidR="00897648" w:rsidRPr="00762B34" w:rsidRDefault="00897648">
      <w:pPr>
        <w:tabs>
          <w:tab w:val="left" w:pos="-720"/>
        </w:tabs>
        <w:suppressAutoHyphens/>
        <w:jc w:val="center"/>
        <w:rPr>
          <w:rFonts w:cs="Arial"/>
          <w:b/>
          <w:lang w:val="es-ES_tradnl"/>
        </w:rPr>
      </w:pPr>
    </w:p>
    <w:p w:rsidR="00897648" w:rsidRPr="00762B34" w:rsidRDefault="00897648">
      <w:pPr>
        <w:tabs>
          <w:tab w:val="center" w:pos="4253"/>
        </w:tabs>
        <w:suppressAutoHyphens/>
        <w:jc w:val="center"/>
        <w:rPr>
          <w:rFonts w:cs="Arial"/>
          <w:b/>
          <w:lang w:val="es-ES_tradnl"/>
        </w:rPr>
      </w:pPr>
      <w:r w:rsidRPr="00762B34">
        <w:rPr>
          <w:rFonts w:cs="Arial"/>
          <w:b/>
          <w:lang w:val="es-ES_tradnl"/>
        </w:rPr>
        <w:t>TRIBUNAL DE CUENTAS</w:t>
      </w:r>
    </w:p>
    <w:p w:rsidR="00897648" w:rsidRPr="00762B34" w:rsidRDefault="00897648">
      <w:pPr>
        <w:tabs>
          <w:tab w:val="left" w:pos="-720"/>
        </w:tabs>
        <w:suppressAutoHyphens/>
        <w:jc w:val="center"/>
        <w:rPr>
          <w:rFonts w:cs="Arial"/>
          <w:b/>
          <w:lang w:val="es-ES_tradnl"/>
        </w:rPr>
      </w:pPr>
    </w:p>
    <w:p w:rsidR="00897648" w:rsidRPr="00762B34" w:rsidRDefault="00897648">
      <w:pPr>
        <w:tabs>
          <w:tab w:val="center" w:pos="4253"/>
        </w:tabs>
        <w:suppressAutoHyphens/>
        <w:jc w:val="center"/>
        <w:rPr>
          <w:rFonts w:cs="Arial"/>
          <w:b/>
          <w:lang w:val="es-ES_tradnl"/>
        </w:rPr>
      </w:pPr>
      <w:r w:rsidRPr="00762B34">
        <w:rPr>
          <w:rFonts w:cs="Arial"/>
          <w:b/>
          <w:lang w:val="es-ES_tradnl"/>
        </w:rPr>
        <w:t xml:space="preserve">EN SESION DE FECHA </w:t>
      </w:r>
      <w:r>
        <w:rPr>
          <w:rFonts w:ascii="Helvetica" w:hAnsi="Helvetica"/>
          <w:b/>
          <w:lang w:val="es-ES_tradnl"/>
        </w:rPr>
        <w:t>10 DE ABRIL DE 2019</w:t>
      </w:r>
    </w:p>
    <w:p w:rsidR="00897648" w:rsidRPr="00762B34" w:rsidRDefault="00897648">
      <w:pPr>
        <w:tabs>
          <w:tab w:val="center" w:pos="4253"/>
        </w:tabs>
        <w:suppressAutoHyphens/>
        <w:jc w:val="center"/>
        <w:rPr>
          <w:rFonts w:cs="Arial"/>
          <w:b/>
          <w:lang w:val="es-ES_tradnl"/>
        </w:rPr>
      </w:pPr>
    </w:p>
    <w:p w:rsidR="00897648" w:rsidRPr="00762B34" w:rsidRDefault="00897648">
      <w:pPr>
        <w:tabs>
          <w:tab w:val="center" w:pos="4253"/>
        </w:tabs>
        <w:suppressAutoHyphens/>
        <w:jc w:val="center"/>
        <w:rPr>
          <w:rFonts w:cs="Arial"/>
          <w:b/>
          <w:lang w:val="en-US"/>
        </w:rPr>
      </w:pPr>
      <w:r w:rsidRPr="00762B34">
        <w:rPr>
          <w:rFonts w:cs="Arial"/>
          <w:b/>
          <w:lang w:val="en-US"/>
        </w:rPr>
        <w:t xml:space="preserve">(E. E. Nº </w:t>
      </w:r>
      <w:r>
        <w:rPr>
          <w:rFonts w:cs="Arial"/>
          <w:b/>
          <w:lang w:val="en-US"/>
        </w:rPr>
        <w:t>2018-17-1-0001909</w:t>
      </w:r>
      <w:r w:rsidRPr="00762B34">
        <w:rPr>
          <w:rFonts w:cs="Arial"/>
          <w:b/>
          <w:lang w:val="en-US"/>
        </w:rPr>
        <w:t xml:space="preserve">, Ent. N° </w:t>
      </w:r>
      <w:r>
        <w:rPr>
          <w:rFonts w:cs="Arial"/>
          <w:b/>
          <w:lang w:val="en-US"/>
        </w:rPr>
        <w:t>1187/19</w:t>
      </w:r>
      <w:r w:rsidRPr="00762B34">
        <w:rPr>
          <w:rFonts w:cs="Arial"/>
          <w:b/>
          <w:lang w:val="en-US"/>
        </w:rPr>
        <w:t>)</w:t>
      </w:r>
    </w:p>
    <w:p w:rsidR="00897648" w:rsidRDefault="00897648">
      <w:pPr>
        <w:tabs>
          <w:tab w:val="center" w:pos="4253"/>
        </w:tabs>
        <w:suppressAutoHyphens/>
        <w:jc w:val="center"/>
        <w:rPr>
          <w:rFonts w:ascii="Helvetica" w:hAnsi="Helvetica"/>
          <w:b/>
          <w:lang w:val="en-US"/>
        </w:rPr>
      </w:pPr>
    </w:p>
    <w:p w:rsidR="00897648" w:rsidRDefault="001810A2" w:rsidP="00897648">
      <w:pPr>
        <w:spacing w:line="360" w:lineRule="auto"/>
        <w:ind w:firstLine="851"/>
        <w:jc w:val="both"/>
      </w:pPr>
      <w:r>
        <w:rPr>
          <w:b/>
          <w:bCs/>
        </w:rPr>
        <w:t>VISTO:</w:t>
      </w:r>
      <w:r>
        <w:t xml:space="preserve"> estas actuaciones remitidas </w:t>
      </w:r>
      <w:r w:rsidR="00897648">
        <w:t>por el Ministerio de Transporte</w:t>
      </w:r>
      <w:r>
        <w:t xml:space="preserve"> y Obras Públicas (MTOP), relacionadas con los Convenios suscritos con las Intendencias de Artigas, Canelones, Cerro Largo, Colonia,  Flores, Florida, Lavalleja, Maldonado, Paysandú, Río Negro, Rivera, Rocha, Salto, San José, Soriano, Tacuarembó</w:t>
      </w:r>
      <w:r w:rsidR="00031BE4">
        <w:t xml:space="preserve"> y </w:t>
      </w:r>
      <w:r>
        <w:t>Treinta y Tres</w:t>
      </w:r>
      <w:r w:rsidR="00531135">
        <w:t>,</w:t>
      </w:r>
      <w:r>
        <w:t xml:space="preserve"> relativos al transporte gratuito </w:t>
      </w:r>
      <w:r w:rsidR="00897648">
        <w:t>de estudiantes;</w:t>
      </w:r>
    </w:p>
    <w:p w:rsidR="00897648" w:rsidRDefault="001810A2" w:rsidP="00897648">
      <w:pPr>
        <w:spacing w:line="360" w:lineRule="auto"/>
        <w:ind w:firstLine="851"/>
        <w:jc w:val="both"/>
      </w:pPr>
      <w:r>
        <w:rPr>
          <w:b/>
          <w:bCs/>
        </w:rPr>
        <w:t>RESULTANDO:</w:t>
      </w:r>
      <w:r>
        <w:t xml:space="preserve"> </w:t>
      </w:r>
      <w:r>
        <w:rPr>
          <w:b/>
          <w:bCs/>
        </w:rPr>
        <w:t xml:space="preserve">1) </w:t>
      </w:r>
      <w:r>
        <w:t xml:space="preserve">que </w:t>
      </w:r>
      <w:r w:rsidR="00FC16B0">
        <w:t>remitidos los convenios suscritos para el Ej</w:t>
      </w:r>
      <w:r w:rsidR="00897648">
        <w:t>ercicio 2018, este Tribunal en S</w:t>
      </w:r>
      <w:r w:rsidR="00FC16B0">
        <w:t xml:space="preserve">esión de fecha </w:t>
      </w:r>
      <w:r w:rsidR="00C04361">
        <w:t xml:space="preserve">11/4/18, acordó </w:t>
      </w:r>
      <w:r w:rsidR="00772525">
        <w:t>n</w:t>
      </w:r>
      <w:r w:rsidR="00C04361">
        <w:t xml:space="preserve">o formular observaciones a los </w:t>
      </w:r>
      <w:r w:rsidR="00531135">
        <w:t>mismos, que fueron</w:t>
      </w:r>
      <w:r w:rsidR="00C04361">
        <w:t xml:space="preserve"> suscritos el 22 de febrero de 2018</w:t>
      </w:r>
      <w:r w:rsidR="00531135">
        <w:t>, cometiendo</w:t>
      </w:r>
      <w:r w:rsidR="00C04361">
        <w:t xml:space="preserve"> al Contador Auditor ante el M</w:t>
      </w:r>
      <w:r w:rsidR="00531135">
        <w:t>TOP</w:t>
      </w:r>
      <w:r w:rsidR="00C04361">
        <w:t xml:space="preserve"> la intervención de las transferencias por hasta la suma de $ 171:044.860</w:t>
      </w:r>
      <w:r w:rsidR="00531135">
        <w:t>;</w:t>
      </w:r>
    </w:p>
    <w:p w:rsidR="00897648" w:rsidRDefault="00C04361" w:rsidP="00897648">
      <w:pPr>
        <w:spacing w:line="360" w:lineRule="auto"/>
        <w:ind w:firstLine="2835"/>
        <w:jc w:val="both"/>
      </w:pPr>
      <w:r w:rsidRPr="00C04361">
        <w:rPr>
          <w:b/>
        </w:rPr>
        <w:t xml:space="preserve">2) </w:t>
      </w:r>
      <w:r>
        <w:t>que en la actualidad</w:t>
      </w:r>
      <w:r w:rsidR="00531135">
        <w:t>,</w:t>
      </w:r>
      <w:r>
        <w:t xml:space="preserve"> se remiten los convenios suscritos </w:t>
      </w:r>
      <w:r w:rsidR="001810A2">
        <w:t xml:space="preserve">con las citadas Intendencias </w:t>
      </w:r>
      <w:r>
        <w:t>con fecha 7</w:t>
      </w:r>
      <w:r w:rsidR="00772525">
        <w:t xml:space="preserve"> de febrero de 2019 </w:t>
      </w:r>
      <w:r>
        <w:t xml:space="preserve"> </w:t>
      </w:r>
      <w:r w:rsidR="00846995">
        <w:t>-</w:t>
      </w:r>
      <w:r w:rsidR="00897648">
        <w:t>ad refere</w:t>
      </w:r>
      <w:r w:rsidR="001810A2">
        <w:t>ndum de la intervención del Tribunal de Cuentas</w:t>
      </w:r>
      <w:r w:rsidR="00846995">
        <w:t>-</w:t>
      </w:r>
      <w:r w:rsidR="001810A2">
        <w:t xml:space="preserve"> con el objeto de promover y desarrollar el transporte departamental gratuito de estudiantes menores de 18 años al 1º de enero de cada año que cursen </w:t>
      </w:r>
      <w:r w:rsidR="00531135">
        <w:t>el primer</w:t>
      </w:r>
      <w:r w:rsidR="001810A2">
        <w:t xml:space="preserve"> ciclo de enseñanza media pública y menores de 20 años al 1º de enero de cada año</w:t>
      </w:r>
      <w:r w:rsidR="00531135">
        <w:t>,</w:t>
      </w:r>
      <w:r w:rsidR="001810A2">
        <w:t xml:space="preserve"> que cursen el </w:t>
      </w:r>
      <w:r w:rsidR="00531135">
        <w:t>segundo</w:t>
      </w:r>
      <w:r w:rsidR="001810A2">
        <w:t xml:space="preserve"> ci</w:t>
      </w:r>
      <w:r w:rsidR="00897648">
        <w:t>clo de enseñanza media pública;</w:t>
      </w:r>
    </w:p>
    <w:p w:rsidR="00897648" w:rsidRDefault="00531135" w:rsidP="00897648">
      <w:pPr>
        <w:spacing w:line="360" w:lineRule="auto"/>
        <w:ind w:firstLine="2835"/>
        <w:jc w:val="both"/>
      </w:pPr>
      <w:r>
        <w:rPr>
          <w:b/>
          <w:bCs/>
        </w:rPr>
        <w:t>3</w:t>
      </w:r>
      <w:r w:rsidR="001810A2">
        <w:rPr>
          <w:b/>
          <w:bCs/>
        </w:rPr>
        <w:t xml:space="preserve">) </w:t>
      </w:r>
      <w:r w:rsidR="001810A2">
        <w:t xml:space="preserve">que </w:t>
      </w:r>
      <w:r w:rsidR="00846995">
        <w:t xml:space="preserve">a través de los citados convenios, </w:t>
      </w:r>
      <w:r w:rsidR="001810A2">
        <w:t>el MTOP se compromete a financiar el beneficio referido, mediante la transferencia de fondos a las Intendencias mencionadas, con el fin de afrontar los gastos que demande el beneficio a otorgar a los estudiantes,</w:t>
      </w:r>
      <w:r>
        <w:t xml:space="preserve"> a través</w:t>
      </w:r>
      <w:r w:rsidR="001810A2">
        <w:t xml:space="preserve"> </w:t>
      </w:r>
      <w:r>
        <w:t>de</w:t>
      </w:r>
      <w:r w:rsidR="001810A2">
        <w:t xml:space="preserve"> la compensación </w:t>
      </w:r>
      <w:r w:rsidR="001810A2">
        <w:lastRenderedPageBreak/>
        <w:t>económica a las empresas de transporte colectivo, concesionarias o permisarias de líneas regulares departamentales;</w:t>
      </w:r>
    </w:p>
    <w:p w:rsidR="001810A2" w:rsidRDefault="00531135" w:rsidP="00897648">
      <w:pPr>
        <w:spacing w:line="360" w:lineRule="auto"/>
        <w:ind w:firstLine="2835"/>
        <w:jc w:val="both"/>
      </w:pPr>
      <w:r>
        <w:rPr>
          <w:b/>
          <w:bCs/>
        </w:rPr>
        <w:t>4</w:t>
      </w:r>
      <w:r w:rsidR="001810A2">
        <w:rPr>
          <w:b/>
          <w:bCs/>
        </w:rPr>
        <w:t xml:space="preserve">) </w:t>
      </w:r>
      <w:r w:rsidR="001810A2">
        <w:t>que</w:t>
      </w:r>
      <w:r w:rsidR="00846995">
        <w:t xml:space="preserve"> </w:t>
      </w:r>
      <w:r w:rsidR="001810A2">
        <w:t xml:space="preserve">el MTOP transferirá </w:t>
      </w:r>
      <w:bookmarkStart w:id="0" w:name="_GoBack"/>
      <w:bookmarkEnd w:id="0"/>
      <w:r w:rsidR="001810A2">
        <w:t>a la Intendencias las siguientes sumas mensuales y anuales por el año 201</w:t>
      </w:r>
      <w:r w:rsidR="00772525">
        <w:t>9</w:t>
      </w:r>
      <w:r w:rsidR="001810A2">
        <w:t>:</w:t>
      </w:r>
    </w:p>
    <w:p w:rsidR="00897648" w:rsidRDefault="00897648" w:rsidP="00897648">
      <w:pPr>
        <w:spacing w:line="360" w:lineRule="auto"/>
        <w:ind w:firstLine="2835"/>
        <w:jc w:val="both"/>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2330"/>
        <w:gridCol w:w="1985"/>
      </w:tblGrid>
      <w:tr w:rsidR="001810A2" w:rsidTr="00897648">
        <w:tc>
          <w:tcPr>
            <w:tcW w:w="2206" w:type="dxa"/>
            <w:shd w:val="clear" w:color="auto" w:fill="auto"/>
          </w:tcPr>
          <w:p w:rsidR="001810A2" w:rsidRPr="00897648" w:rsidRDefault="001810A2" w:rsidP="00846995">
            <w:pPr>
              <w:pStyle w:val="Sangradetextonormal"/>
              <w:widowControl w:val="0"/>
              <w:ind w:firstLine="0"/>
              <w:jc w:val="both"/>
              <w:rPr>
                <w:b/>
              </w:rPr>
            </w:pPr>
            <w:r w:rsidRPr="00897648">
              <w:rPr>
                <w:b/>
              </w:rPr>
              <w:t>Departamento</w:t>
            </w:r>
          </w:p>
        </w:tc>
        <w:tc>
          <w:tcPr>
            <w:tcW w:w="2330" w:type="dxa"/>
            <w:shd w:val="clear" w:color="auto" w:fill="auto"/>
          </w:tcPr>
          <w:p w:rsidR="001810A2" w:rsidRPr="00897648" w:rsidRDefault="001810A2" w:rsidP="00846995">
            <w:pPr>
              <w:pStyle w:val="Sangradetextonormal"/>
              <w:widowControl w:val="0"/>
              <w:ind w:firstLine="0"/>
              <w:jc w:val="both"/>
              <w:rPr>
                <w:b/>
              </w:rPr>
            </w:pPr>
            <w:r w:rsidRPr="00897648">
              <w:rPr>
                <w:b/>
              </w:rPr>
              <w:t>Monto mensual $</w:t>
            </w:r>
          </w:p>
        </w:tc>
        <w:tc>
          <w:tcPr>
            <w:tcW w:w="1985" w:type="dxa"/>
            <w:shd w:val="clear" w:color="auto" w:fill="auto"/>
          </w:tcPr>
          <w:p w:rsidR="001810A2" w:rsidRPr="00897648" w:rsidRDefault="001810A2" w:rsidP="00846995">
            <w:pPr>
              <w:pStyle w:val="Sangradetextonormal"/>
              <w:widowControl w:val="0"/>
              <w:ind w:firstLine="0"/>
              <w:jc w:val="both"/>
              <w:rPr>
                <w:b/>
              </w:rPr>
            </w:pPr>
            <w:r w:rsidRPr="00897648">
              <w:rPr>
                <w:b/>
              </w:rPr>
              <w:t>Monto Anual $</w:t>
            </w:r>
          </w:p>
        </w:tc>
      </w:tr>
      <w:tr w:rsidR="001810A2" w:rsidTr="00897648">
        <w:tc>
          <w:tcPr>
            <w:tcW w:w="2206" w:type="dxa"/>
            <w:shd w:val="clear" w:color="auto" w:fill="auto"/>
          </w:tcPr>
          <w:p w:rsidR="001810A2" w:rsidRDefault="001810A2" w:rsidP="00846995">
            <w:pPr>
              <w:pStyle w:val="Sangradetextonormal"/>
              <w:widowControl w:val="0"/>
              <w:ind w:firstLine="0"/>
              <w:jc w:val="both"/>
            </w:pPr>
            <w:r>
              <w:t>Artigas</w:t>
            </w:r>
          </w:p>
        </w:tc>
        <w:tc>
          <w:tcPr>
            <w:tcW w:w="2330" w:type="dxa"/>
            <w:shd w:val="clear" w:color="auto" w:fill="auto"/>
          </w:tcPr>
          <w:p w:rsidR="001810A2" w:rsidRDefault="001810A2" w:rsidP="00897648">
            <w:pPr>
              <w:pStyle w:val="Sangradetextonormal"/>
              <w:widowControl w:val="0"/>
              <w:ind w:firstLine="0"/>
              <w:jc w:val="right"/>
            </w:pPr>
            <w:r>
              <w:t>8</w:t>
            </w:r>
            <w:r w:rsidR="00031BE4">
              <w:t>40</w:t>
            </w:r>
            <w:r>
              <w:t>.</w:t>
            </w:r>
            <w:r w:rsidR="00031BE4">
              <w:t>000</w:t>
            </w:r>
          </w:p>
        </w:tc>
        <w:tc>
          <w:tcPr>
            <w:tcW w:w="1985" w:type="dxa"/>
            <w:shd w:val="clear" w:color="auto" w:fill="auto"/>
          </w:tcPr>
          <w:p w:rsidR="001810A2" w:rsidRDefault="001810A2" w:rsidP="00897648">
            <w:pPr>
              <w:pStyle w:val="Sangradetextonormal"/>
              <w:widowControl w:val="0"/>
              <w:ind w:firstLine="0"/>
              <w:jc w:val="right"/>
            </w:pPr>
            <w:r>
              <w:t>7:</w:t>
            </w:r>
            <w:r w:rsidR="00031BE4">
              <w:t>560</w:t>
            </w:r>
            <w:r>
              <w:t>.</w:t>
            </w:r>
            <w:r w:rsidR="00031BE4">
              <w:t>000</w:t>
            </w:r>
          </w:p>
        </w:tc>
      </w:tr>
      <w:tr w:rsidR="001810A2" w:rsidTr="00897648">
        <w:tc>
          <w:tcPr>
            <w:tcW w:w="2206" w:type="dxa"/>
            <w:shd w:val="clear" w:color="auto" w:fill="auto"/>
          </w:tcPr>
          <w:p w:rsidR="001810A2" w:rsidRDefault="001810A2" w:rsidP="00846995">
            <w:pPr>
              <w:pStyle w:val="Sangradetextonormal"/>
              <w:widowControl w:val="0"/>
              <w:ind w:firstLine="0"/>
              <w:jc w:val="both"/>
            </w:pPr>
            <w:r>
              <w:t>Canelones</w:t>
            </w:r>
          </w:p>
        </w:tc>
        <w:tc>
          <w:tcPr>
            <w:tcW w:w="2330" w:type="dxa"/>
            <w:shd w:val="clear" w:color="auto" w:fill="auto"/>
          </w:tcPr>
          <w:p w:rsidR="001810A2" w:rsidRDefault="001810A2" w:rsidP="00897648">
            <w:pPr>
              <w:pStyle w:val="Sangradetextonormal"/>
              <w:widowControl w:val="0"/>
              <w:ind w:firstLine="0"/>
              <w:jc w:val="right"/>
            </w:pPr>
            <w:r>
              <w:t>4:000.000</w:t>
            </w:r>
          </w:p>
        </w:tc>
        <w:tc>
          <w:tcPr>
            <w:tcW w:w="1985" w:type="dxa"/>
            <w:shd w:val="clear" w:color="auto" w:fill="auto"/>
          </w:tcPr>
          <w:p w:rsidR="001810A2" w:rsidRDefault="001810A2" w:rsidP="00897648">
            <w:pPr>
              <w:pStyle w:val="Sangradetextonormal"/>
              <w:widowControl w:val="0"/>
              <w:ind w:firstLine="0"/>
              <w:jc w:val="right"/>
            </w:pPr>
            <w:r>
              <w:t>36:000.000</w:t>
            </w:r>
          </w:p>
        </w:tc>
      </w:tr>
      <w:tr w:rsidR="001810A2" w:rsidTr="00897648">
        <w:tc>
          <w:tcPr>
            <w:tcW w:w="2206" w:type="dxa"/>
            <w:shd w:val="clear" w:color="auto" w:fill="auto"/>
          </w:tcPr>
          <w:p w:rsidR="001810A2" w:rsidRDefault="001810A2" w:rsidP="00846995">
            <w:pPr>
              <w:pStyle w:val="Sangradetextonormal"/>
              <w:widowControl w:val="0"/>
              <w:ind w:firstLine="0"/>
              <w:jc w:val="both"/>
            </w:pPr>
            <w:r>
              <w:t>Cerro Largo</w:t>
            </w:r>
          </w:p>
        </w:tc>
        <w:tc>
          <w:tcPr>
            <w:tcW w:w="2330" w:type="dxa"/>
            <w:shd w:val="clear" w:color="auto" w:fill="auto"/>
          </w:tcPr>
          <w:p w:rsidR="001810A2" w:rsidRDefault="00031BE4" w:rsidP="00897648">
            <w:pPr>
              <w:pStyle w:val="Sangradetextonormal"/>
              <w:widowControl w:val="0"/>
              <w:ind w:firstLine="0"/>
              <w:jc w:val="right"/>
            </w:pPr>
            <w:r>
              <w:t>850</w:t>
            </w:r>
            <w:r w:rsidR="001810A2">
              <w:t>.</w:t>
            </w:r>
            <w:r>
              <w:t>000</w:t>
            </w:r>
          </w:p>
        </w:tc>
        <w:tc>
          <w:tcPr>
            <w:tcW w:w="1985" w:type="dxa"/>
            <w:shd w:val="clear" w:color="auto" w:fill="auto"/>
          </w:tcPr>
          <w:p w:rsidR="001810A2" w:rsidRDefault="00031BE4" w:rsidP="00897648">
            <w:pPr>
              <w:pStyle w:val="Sangradetextonormal"/>
              <w:widowControl w:val="0"/>
              <w:ind w:firstLine="0"/>
              <w:jc w:val="right"/>
            </w:pPr>
            <w:r>
              <w:t>7</w:t>
            </w:r>
            <w:r w:rsidR="001810A2">
              <w:t>:</w:t>
            </w:r>
            <w:r>
              <w:t>650</w:t>
            </w:r>
            <w:r w:rsidR="001810A2">
              <w:t>.</w:t>
            </w:r>
            <w:r>
              <w:t>000</w:t>
            </w:r>
          </w:p>
        </w:tc>
      </w:tr>
      <w:tr w:rsidR="001810A2" w:rsidTr="00897648">
        <w:tc>
          <w:tcPr>
            <w:tcW w:w="2206" w:type="dxa"/>
            <w:shd w:val="clear" w:color="auto" w:fill="auto"/>
          </w:tcPr>
          <w:p w:rsidR="001810A2" w:rsidRDefault="001810A2" w:rsidP="00846995">
            <w:pPr>
              <w:pStyle w:val="Sangradetextonormal"/>
              <w:widowControl w:val="0"/>
              <w:ind w:firstLine="0"/>
              <w:jc w:val="both"/>
            </w:pPr>
            <w:r>
              <w:t>Colonia</w:t>
            </w:r>
          </w:p>
        </w:tc>
        <w:tc>
          <w:tcPr>
            <w:tcW w:w="2330" w:type="dxa"/>
            <w:shd w:val="clear" w:color="auto" w:fill="auto"/>
          </w:tcPr>
          <w:p w:rsidR="001810A2" w:rsidRDefault="001810A2" w:rsidP="00897648">
            <w:pPr>
              <w:pStyle w:val="Sangradetextonormal"/>
              <w:widowControl w:val="0"/>
              <w:ind w:firstLine="0"/>
              <w:jc w:val="right"/>
            </w:pPr>
            <w:r>
              <w:t>1:</w:t>
            </w:r>
            <w:r w:rsidR="00B174D5">
              <w:t>521.093</w:t>
            </w:r>
          </w:p>
        </w:tc>
        <w:tc>
          <w:tcPr>
            <w:tcW w:w="1985" w:type="dxa"/>
            <w:shd w:val="clear" w:color="auto" w:fill="auto"/>
          </w:tcPr>
          <w:p w:rsidR="001810A2" w:rsidRDefault="001810A2" w:rsidP="00897648">
            <w:pPr>
              <w:pStyle w:val="Sangradetextonormal"/>
              <w:widowControl w:val="0"/>
              <w:ind w:firstLine="0"/>
              <w:jc w:val="right"/>
            </w:pPr>
            <w:r>
              <w:t>1</w:t>
            </w:r>
            <w:r w:rsidR="00C04361">
              <w:t>3</w:t>
            </w:r>
            <w:r>
              <w:t>:</w:t>
            </w:r>
            <w:r w:rsidR="00C04361">
              <w:t>689.837</w:t>
            </w:r>
          </w:p>
        </w:tc>
      </w:tr>
      <w:tr w:rsidR="001810A2" w:rsidTr="00897648">
        <w:tc>
          <w:tcPr>
            <w:tcW w:w="2206" w:type="dxa"/>
            <w:shd w:val="clear" w:color="auto" w:fill="auto"/>
          </w:tcPr>
          <w:p w:rsidR="001810A2" w:rsidRDefault="001810A2" w:rsidP="00846995">
            <w:pPr>
              <w:pStyle w:val="Sangradetextonormal"/>
              <w:widowControl w:val="0"/>
              <w:ind w:firstLine="0"/>
              <w:jc w:val="both"/>
            </w:pPr>
            <w:r>
              <w:t>Flores</w:t>
            </w:r>
          </w:p>
        </w:tc>
        <w:tc>
          <w:tcPr>
            <w:tcW w:w="2330" w:type="dxa"/>
            <w:shd w:val="clear" w:color="auto" w:fill="auto"/>
          </w:tcPr>
          <w:p w:rsidR="001810A2" w:rsidRDefault="001810A2" w:rsidP="00897648">
            <w:pPr>
              <w:pStyle w:val="Sangradetextonormal"/>
              <w:widowControl w:val="0"/>
              <w:ind w:firstLine="0"/>
              <w:jc w:val="right"/>
            </w:pPr>
            <w:r>
              <w:t>5</w:t>
            </w:r>
            <w:r w:rsidR="00B174D5">
              <w:t>1</w:t>
            </w:r>
            <w:r>
              <w:t>.</w:t>
            </w:r>
            <w:r w:rsidR="00B174D5">
              <w:t>256</w:t>
            </w:r>
          </w:p>
        </w:tc>
        <w:tc>
          <w:tcPr>
            <w:tcW w:w="1985" w:type="dxa"/>
            <w:shd w:val="clear" w:color="auto" w:fill="auto"/>
          </w:tcPr>
          <w:p w:rsidR="001810A2" w:rsidRDefault="00C04361" w:rsidP="00897648">
            <w:pPr>
              <w:pStyle w:val="Sangradetextonormal"/>
              <w:widowControl w:val="0"/>
              <w:ind w:firstLine="0"/>
              <w:jc w:val="right"/>
            </w:pPr>
            <w:r>
              <w:t>461.300</w:t>
            </w:r>
          </w:p>
        </w:tc>
      </w:tr>
      <w:tr w:rsidR="001810A2" w:rsidTr="00897648">
        <w:tc>
          <w:tcPr>
            <w:tcW w:w="2206" w:type="dxa"/>
            <w:shd w:val="clear" w:color="auto" w:fill="auto"/>
          </w:tcPr>
          <w:p w:rsidR="001810A2" w:rsidRDefault="001810A2" w:rsidP="00846995">
            <w:pPr>
              <w:pStyle w:val="Sangradetextonormal"/>
              <w:widowControl w:val="0"/>
              <w:ind w:firstLine="0"/>
              <w:jc w:val="both"/>
            </w:pPr>
            <w:r>
              <w:t>Florida</w:t>
            </w:r>
          </w:p>
        </w:tc>
        <w:tc>
          <w:tcPr>
            <w:tcW w:w="2330" w:type="dxa"/>
            <w:shd w:val="clear" w:color="auto" w:fill="auto"/>
          </w:tcPr>
          <w:p w:rsidR="001810A2" w:rsidRDefault="001810A2" w:rsidP="00897648">
            <w:pPr>
              <w:pStyle w:val="Sangradetextonormal"/>
              <w:widowControl w:val="0"/>
              <w:ind w:firstLine="0"/>
              <w:jc w:val="right"/>
            </w:pPr>
            <w:r>
              <w:t>1</w:t>
            </w:r>
            <w:r w:rsidR="00B174D5">
              <w:t>12.333</w:t>
            </w:r>
          </w:p>
        </w:tc>
        <w:tc>
          <w:tcPr>
            <w:tcW w:w="1985" w:type="dxa"/>
            <w:shd w:val="clear" w:color="auto" w:fill="auto"/>
          </w:tcPr>
          <w:p w:rsidR="001810A2" w:rsidRDefault="00C04361" w:rsidP="00897648">
            <w:pPr>
              <w:pStyle w:val="Sangradetextonormal"/>
              <w:widowControl w:val="0"/>
              <w:ind w:firstLine="0"/>
              <w:jc w:val="right"/>
            </w:pPr>
            <w:r>
              <w:t>1:011.000</w:t>
            </w:r>
          </w:p>
        </w:tc>
      </w:tr>
      <w:tr w:rsidR="001810A2" w:rsidTr="00897648">
        <w:tc>
          <w:tcPr>
            <w:tcW w:w="2206" w:type="dxa"/>
            <w:shd w:val="clear" w:color="auto" w:fill="auto"/>
          </w:tcPr>
          <w:p w:rsidR="001810A2" w:rsidRDefault="001810A2" w:rsidP="00846995">
            <w:pPr>
              <w:pStyle w:val="Sangradetextonormal"/>
              <w:widowControl w:val="0"/>
              <w:ind w:firstLine="0"/>
              <w:jc w:val="both"/>
            </w:pPr>
            <w:r>
              <w:t>Lavalleja</w:t>
            </w:r>
          </w:p>
        </w:tc>
        <w:tc>
          <w:tcPr>
            <w:tcW w:w="2330" w:type="dxa"/>
            <w:shd w:val="clear" w:color="auto" w:fill="auto"/>
          </w:tcPr>
          <w:p w:rsidR="001810A2" w:rsidRDefault="00FB26ED" w:rsidP="00897648">
            <w:pPr>
              <w:pStyle w:val="Sangradetextonormal"/>
              <w:widowControl w:val="0"/>
              <w:ind w:firstLine="0"/>
              <w:jc w:val="right"/>
            </w:pPr>
            <w:r>
              <w:t>9</w:t>
            </w:r>
            <w:r w:rsidR="00B174D5">
              <w:t>42</w:t>
            </w:r>
            <w:r w:rsidR="001810A2">
              <w:t>.</w:t>
            </w:r>
            <w:r w:rsidR="00B174D5">
              <w:t>534</w:t>
            </w:r>
          </w:p>
        </w:tc>
        <w:tc>
          <w:tcPr>
            <w:tcW w:w="1985" w:type="dxa"/>
            <w:shd w:val="clear" w:color="auto" w:fill="auto"/>
          </w:tcPr>
          <w:p w:rsidR="001810A2" w:rsidRDefault="00FB26ED" w:rsidP="00897648">
            <w:pPr>
              <w:pStyle w:val="Sangradetextonormal"/>
              <w:widowControl w:val="0"/>
              <w:ind w:firstLine="0"/>
              <w:jc w:val="right"/>
            </w:pPr>
            <w:r>
              <w:t>8</w:t>
            </w:r>
            <w:r w:rsidR="001810A2">
              <w:t>:</w:t>
            </w:r>
            <w:r w:rsidR="00C04361">
              <w:t>482.805</w:t>
            </w:r>
          </w:p>
        </w:tc>
      </w:tr>
      <w:tr w:rsidR="001810A2" w:rsidTr="00897648">
        <w:tc>
          <w:tcPr>
            <w:tcW w:w="2206" w:type="dxa"/>
            <w:shd w:val="clear" w:color="auto" w:fill="auto"/>
          </w:tcPr>
          <w:p w:rsidR="001810A2" w:rsidRDefault="001810A2" w:rsidP="00846995">
            <w:pPr>
              <w:pStyle w:val="Sangradetextonormal"/>
              <w:widowControl w:val="0"/>
              <w:ind w:firstLine="0"/>
              <w:jc w:val="both"/>
            </w:pPr>
            <w:r>
              <w:t>Maldonado</w:t>
            </w:r>
          </w:p>
        </w:tc>
        <w:tc>
          <w:tcPr>
            <w:tcW w:w="2330" w:type="dxa"/>
            <w:shd w:val="clear" w:color="auto" w:fill="auto"/>
          </w:tcPr>
          <w:p w:rsidR="001810A2" w:rsidRDefault="00B174D5" w:rsidP="00897648">
            <w:pPr>
              <w:pStyle w:val="Sangradetextonormal"/>
              <w:widowControl w:val="0"/>
              <w:ind w:firstLine="0"/>
              <w:jc w:val="right"/>
            </w:pPr>
            <w:r>
              <w:t>2</w:t>
            </w:r>
            <w:r w:rsidR="001810A2">
              <w:t>:</w:t>
            </w:r>
            <w:r>
              <w:t>010</w:t>
            </w:r>
            <w:r w:rsidR="001810A2">
              <w:t>.</w:t>
            </w:r>
            <w:r>
              <w:t>925</w:t>
            </w:r>
          </w:p>
        </w:tc>
        <w:tc>
          <w:tcPr>
            <w:tcW w:w="1985" w:type="dxa"/>
            <w:shd w:val="clear" w:color="auto" w:fill="auto"/>
          </w:tcPr>
          <w:p w:rsidR="001810A2" w:rsidRDefault="001810A2" w:rsidP="00897648">
            <w:pPr>
              <w:pStyle w:val="Sangradetextonormal"/>
              <w:widowControl w:val="0"/>
              <w:ind w:firstLine="0"/>
              <w:jc w:val="right"/>
            </w:pPr>
            <w:r>
              <w:t>1</w:t>
            </w:r>
            <w:r w:rsidR="00C04361">
              <w:t>8:098.329</w:t>
            </w:r>
          </w:p>
        </w:tc>
      </w:tr>
      <w:tr w:rsidR="001810A2" w:rsidTr="00897648">
        <w:tc>
          <w:tcPr>
            <w:tcW w:w="2206" w:type="dxa"/>
            <w:shd w:val="clear" w:color="auto" w:fill="auto"/>
          </w:tcPr>
          <w:p w:rsidR="001810A2" w:rsidRDefault="001810A2" w:rsidP="00846995">
            <w:pPr>
              <w:pStyle w:val="Sangradetextonormal"/>
              <w:widowControl w:val="0"/>
              <w:ind w:firstLine="0"/>
              <w:jc w:val="both"/>
            </w:pPr>
            <w:r>
              <w:t>Paysandú</w:t>
            </w:r>
          </w:p>
        </w:tc>
        <w:tc>
          <w:tcPr>
            <w:tcW w:w="2330" w:type="dxa"/>
            <w:shd w:val="clear" w:color="auto" w:fill="auto"/>
          </w:tcPr>
          <w:p w:rsidR="001810A2" w:rsidRDefault="00FB26ED" w:rsidP="00897648">
            <w:pPr>
              <w:pStyle w:val="Sangradetextonormal"/>
              <w:widowControl w:val="0"/>
              <w:ind w:firstLine="0"/>
              <w:jc w:val="right"/>
            </w:pPr>
            <w:r>
              <w:t>2</w:t>
            </w:r>
            <w:r w:rsidR="001810A2">
              <w:t>:</w:t>
            </w:r>
            <w:r w:rsidR="00B174D5">
              <w:t>206</w:t>
            </w:r>
            <w:r w:rsidR="001810A2">
              <w:t>.</w:t>
            </w:r>
            <w:r w:rsidR="00B174D5">
              <w:t>176</w:t>
            </w:r>
          </w:p>
        </w:tc>
        <w:tc>
          <w:tcPr>
            <w:tcW w:w="1985" w:type="dxa"/>
            <w:shd w:val="clear" w:color="auto" w:fill="auto"/>
          </w:tcPr>
          <w:p w:rsidR="001810A2" w:rsidRDefault="001810A2" w:rsidP="00897648">
            <w:pPr>
              <w:pStyle w:val="Sangradetextonormal"/>
              <w:widowControl w:val="0"/>
              <w:ind w:firstLine="0"/>
              <w:jc w:val="right"/>
            </w:pPr>
            <w:r>
              <w:t>1</w:t>
            </w:r>
            <w:r w:rsidR="00C04361">
              <w:t>9</w:t>
            </w:r>
            <w:r>
              <w:t>:</w:t>
            </w:r>
            <w:r w:rsidR="00C04361">
              <w:t>855.585</w:t>
            </w:r>
          </w:p>
        </w:tc>
      </w:tr>
      <w:tr w:rsidR="001810A2" w:rsidTr="00897648">
        <w:tc>
          <w:tcPr>
            <w:tcW w:w="2206" w:type="dxa"/>
            <w:shd w:val="clear" w:color="auto" w:fill="auto"/>
          </w:tcPr>
          <w:p w:rsidR="001810A2" w:rsidRDefault="001810A2" w:rsidP="00846995">
            <w:pPr>
              <w:pStyle w:val="Sangradetextonormal"/>
              <w:widowControl w:val="0"/>
              <w:ind w:firstLine="0"/>
              <w:jc w:val="both"/>
            </w:pPr>
            <w:r>
              <w:t>Río Negro</w:t>
            </w:r>
          </w:p>
        </w:tc>
        <w:tc>
          <w:tcPr>
            <w:tcW w:w="2330" w:type="dxa"/>
            <w:shd w:val="clear" w:color="auto" w:fill="auto"/>
          </w:tcPr>
          <w:p w:rsidR="001810A2" w:rsidRDefault="00FB26ED" w:rsidP="00897648">
            <w:pPr>
              <w:pStyle w:val="Sangradetextonormal"/>
              <w:widowControl w:val="0"/>
              <w:ind w:firstLine="0"/>
              <w:jc w:val="right"/>
            </w:pPr>
            <w:r>
              <w:t>150.000</w:t>
            </w:r>
          </w:p>
        </w:tc>
        <w:tc>
          <w:tcPr>
            <w:tcW w:w="1985" w:type="dxa"/>
            <w:shd w:val="clear" w:color="auto" w:fill="auto"/>
          </w:tcPr>
          <w:p w:rsidR="001810A2" w:rsidRDefault="00FB26ED" w:rsidP="00897648">
            <w:pPr>
              <w:pStyle w:val="Sangradetextonormal"/>
              <w:widowControl w:val="0"/>
              <w:ind w:firstLine="0"/>
              <w:jc w:val="right"/>
            </w:pPr>
            <w:r>
              <w:t>1:350.000</w:t>
            </w:r>
          </w:p>
        </w:tc>
      </w:tr>
      <w:tr w:rsidR="001810A2" w:rsidTr="00897648">
        <w:tc>
          <w:tcPr>
            <w:tcW w:w="2206" w:type="dxa"/>
            <w:shd w:val="clear" w:color="auto" w:fill="auto"/>
          </w:tcPr>
          <w:p w:rsidR="001810A2" w:rsidRDefault="001810A2" w:rsidP="00846995">
            <w:pPr>
              <w:pStyle w:val="Sangradetextonormal"/>
              <w:widowControl w:val="0"/>
              <w:ind w:firstLine="0"/>
              <w:jc w:val="both"/>
            </w:pPr>
            <w:r>
              <w:t>Rivera</w:t>
            </w:r>
          </w:p>
        </w:tc>
        <w:tc>
          <w:tcPr>
            <w:tcW w:w="2330" w:type="dxa"/>
            <w:shd w:val="clear" w:color="auto" w:fill="auto"/>
          </w:tcPr>
          <w:p w:rsidR="001810A2" w:rsidRDefault="00B174D5" w:rsidP="00897648">
            <w:pPr>
              <w:pStyle w:val="Sangradetextonormal"/>
              <w:widowControl w:val="0"/>
              <w:ind w:firstLine="0"/>
              <w:jc w:val="right"/>
            </w:pPr>
            <w:r>
              <w:t>3</w:t>
            </w:r>
            <w:r w:rsidR="001810A2">
              <w:t>:</w:t>
            </w:r>
            <w:r>
              <w:t>0</w:t>
            </w:r>
            <w:r w:rsidR="00FB26ED">
              <w:t>00</w:t>
            </w:r>
            <w:r w:rsidR="001810A2">
              <w:t>.</w:t>
            </w:r>
            <w:r w:rsidR="00FB26ED">
              <w:t>000</w:t>
            </w:r>
          </w:p>
        </w:tc>
        <w:tc>
          <w:tcPr>
            <w:tcW w:w="1985" w:type="dxa"/>
            <w:shd w:val="clear" w:color="auto" w:fill="auto"/>
          </w:tcPr>
          <w:p w:rsidR="001810A2" w:rsidRDefault="00FB26ED" w:rsidP="00897648">
            <w:pPr>
              <w:pStyle w:val="Sangradetextonormal"/>
              <w:widowControl w:val="0"/>
              <w:ind w:firstLine="0"/>
              <w:jc w:val="right"/>
            </w:pPr>
            <w:r>
              <w:t>2</w:t>
            </w:r>
            <w:r w:rsidR="00B174D5">
              <w:t>7</w:t>
            </w:r>
            <w:r w:rsidR="001810A2">
              <w:t>:</w:t>
            </w:r>
            <w:r w:rsidR="00B174D5">
              <w:t>0</w:t>
            </w:r>
            <w:r>
              <w:t>00</w:t>
            </w:r>
            <w:r w:rsidR="001810A2">
              <w:t>.</w:t>
            </w:r>
            <w:r>
              <w:t>000</w:t>
            </w:r>
          </w:p>
        </w:tc>
      </w:tr>
      <w:tr w:rsidR="001810A2" w:rsidTr="00897648">
        <w:tc>
          <w:tcPr>
            <w:tcW w:w="2206" w:type="dxa"/>
            <w:shd w:val="clear" w:color="auto" w:fill="auto"/>
          </w:tcPr>
          <w:p w:rsidR="001810A2" w:rsidRDefault="001810A2" w:rsidP="00846995">
            <w:pPr>
              <w:pStyle w:val="Sangradetextonormal"/>
              <w:widowControl w:val="0"/>
              <w:ind w:firstLine="0"/>
              <w:jc w:val="both"/>
            </w:pPr>
            <w:r>
              <w:t>Rocha</w:t>
            </w:r>
          </w:p>
        </w:tc>
        <w:tc>
          <w:tcPr>
            <w:tcW w:w="2330" w:type="dxa"/>
            <w:shd w:val="clear" w:color="auto" w:fill="auto"/>
          </w:tcPr>
          <w:p w:rsidR="001810A2" w:rsidRDefault="00B174D5" w:rsidP="00897648">
            <w:pPr>
              <w:pStyle w:val="Sangradetextonormal"/>
              <w:widowControl w:val="0"/>
              <w:ind w:firstLine="0"/>
              <w:jc w:val="right"/>
            </w:pPr>
            <w:r>
              <w:t>308.172</w:t>
            </w:r>
          </w:p>
        </w:tc>
        <w:tc>
          <w:tcPr>
            <w:tcW w:w="1985" w:type="dxa"/>
            <w:shd w:val="clear" w:color="auto" w:fill="auto"/>
          </w:tcPr>
          <w:p w:rsidR="001810A2" w:rsidRDefault="00FB26ED" w:rsidP="00897648">
            <w:pPr>
              <w:pStyle w:val="Sangradetextonormal"/>
              <w:widowControl w:val="0"/>
              <w:ind w:firstLine="0"/>
              <w:jc w:val="right"/>
            </w:pPr>
            <w:r>
              <w:t>2</w:t>
            </w:r>
            <w:r w:rsidR="001810A2">
              <w:t>:</w:t>
            </w:r>
            <w:r w:rsidR="00B174D5">
              <w:t>773.459</w:t>
            </w:r>
          </w:p>
        </w:tc>
      </w:tr>
      <w:tr w:rsidR="001810A2" w:rsidTr="00897648">
        <w:tc>
          <w:tcPr>
            <w:tcW w:w="2206" w:type="dxa"/>
            <w:shd w:val="clear" w:color="auto" w:fill="auto"/>
          </w:tcPr>
          <w:p w:rsidR="001810A2" w:rsidRDefault="001810A2" w:rsidP="00846995">
            <w:pPr>
              <w:pStyle w:val="Sangradetextonormal"/>
              <w:widowControl w:val="0"/>
              <w:ind w:firstLine="0"/>
              <w:jc w:val="both"/>
            </w:pPr>
            <w:r>
              <w:t>Salto</w:t>
            </w:r>
          </w:p>
        </w:tc>
        <w:tc>
          <w:tcPr>
            <w:tcW w:w="2330" w:type="dxa"/>
            <w:shd w:val="clear" w:color="auto" w:fill="auto"/>
          </w:tcPr>
          <w:p w:rsidR="001810A2" w:rsidRDefault="00BB35EE" w:rsidP="00897648">
            <w:pPr>
              <w:pStyle w:val="Sangradetextonormal"/>
              <w:widowControl w:val="0"/>
              <w:ind w:firstLine="0"/>
              <w:jc w:val="right"/>
            </w:pPr>
            <w:r>
              <w:t>2</w:t>
            </w:r>
            <w:r w:rsidR="001810A2">
              <w:t>:</w:t>
            </w:r>
            <w:r>
              <w:t>0</w:t>
            </w:r>
            <w:r w:rsidR="00B174D5">
              <w:t>54</w:t>
            </w:r>
            <w:r w:rsidR="001810A2">
              <w:t>.</w:t>
            </w:r>
            <w:r w:rsidR="00B174D5">
              <w:t>533</w:t>
            </w:r>
          </w:p>
        </w:tc>
        <w:tc>
          <w:tcPr>
            <w:tcW w:w="1985" w:type="dxa"/>
            <w:shd w:val="clear" w:color="auto" w:fill="auto"/>
          </w:tcPr>
          <w:p w:rsidR="001810A2" w:rsidRDefault="001810A2" w:rsidP="00897648">
            <w:pPr>
              <w:pStyle w:val="Sangradetextonormal"/>
              <w:widowControl w:val="0"/>
              <w:ind w:firstLine="0"/>
              <w:jc w:val="right"/>
            </w:pPr>
            <w:r>
              <w:t>1</w:t>
            </w:r>
            <w:r w:rsidR="00BB35EE">
              <w:t>8</w:t>
            </w:r>
            <w:r>
              <w:t>:</w:t>
            </w:r>
            <w:r w:rsidR="00B174D5">
              <w:t>490.801</w:t>
            </w:r>
          </w:p>
        </w:tc>
      </w:tr>
      <w:tr w:rsidR="001810A2" w:rsidTr="00897648">
        <w:tc>
          <w:tcPr>
            <w:tcW w:w="2206" w:type="dxa"/>
            <w:shd w:val="clear" w:color="auto" w:fill="auto"/>
          </w:tcPr>
          <w:p w:rsidR="001810A2" w:rsidRDefault="001810A2" w:rsidP="00846995">
            <w:pPr>
              <w:pStyle w:val="Sangradetextonormal"/>
              <w:widowControl w:val="0"/>
              <w:ind w:firstLine="0"/>
              <w:jc w:val="both"/>
            </w:pPr>
            <w:r>
              <w:t>San José</w:t>
            </w:r>
          </w:p>
        </w:tc>
        <w:tc>
          <w:tcPr>
            <w:tcW w:w="2330" w:type="dxa"/>
            <w:shd w:val="clear" w:color="auto" w:fill="auto"/>
          </w:tcPr>
          <w:p w:rsidR="001810A2" w:rsidRDefault="00713055" w:rsidP="00897648">
            <w:pPr>
              <w:pStyle w:val="Sangradetextonormal"/>
              <w:widowControl w:val="0"/>
              <w:ind w:firstLine="0"/>
              <w:jc w:val="right"/>
            </w:pPr>
            <w:r>
              <w:t>6</w:t>
            </w:r>
            <w:r w:rsidR="00B174D5">
              <w:t>58.706</w:t>
            </w:r>
          </w:p>
        </w:tc>
        <w:tc>
          <w:tcPr>
            <w:tcW w:w="1985" w:type="dxa"/>
            <w:shd w:val="clear" w:color="auto" w:fill="auto"/>
          </w:tcPr>
          <w:p w:rsidR="001810A2" w:rsidRDefault="00713055" w:rsidP="00897648">
            <w:pPr>
              <w:pStyle w:val="Sangradetextonormal"/>
              <w:widowControl w:val="0"/>
              <w:ind w:firstLine="0"/>
              <w:jc w:val="right"/>
            </w:pPr>
            <w:r>
              <w:t>5</w:t>
            </w:r>
            <w:r w:rsidR="001810A2">
              <w:t>:</w:t>
            </w:r>
            <w:r w:rsidR="00B174D5">
              <w:t>928</w:t>
            </w:r>
            <w:r w:rsidR="001810A2">
              <w:t>.</w:t>
            </w:r>
            <w:r w:rsidR="00B174D5">
              <w:t>354</w:t>
            </w:r>
          </w:p>
        </w:tc>
      </w:tr>
      <w:tr w:rsidR="001810A2" w:rsidTr="00897648">
        <w:tc>
          <w:tcPr>
            <w:tcW w:w="2206" w:type="dxa"/>
            <w:shd w:val="clear" w:color="auto" w:fill="auto"/>
          </w:tcPr>
          <w:p w:rsidR="001810A2" w:rsidRDefault="001810A2" w:rsidP="00846995">
            <w:pPr>
              <w:pStyle w:val="Sangradetextonormal"/>
              <w:widowControl w:val="0"/>
              <w:ind w:firstLine="0"/>
              <w:jc w:val="both"/>
            </w:pPr>
            <w:r>
              <w:t>Soriano</w:t>
            </w:r>
          </w:p>
        </w:tc>
        <w:tc>
          <w:tcPr>
            <w:tcW w:w="2330" w:type="dxa"/>
            <w:shd w:val="clear" w:color="auto" w:fill="auto"/>
          </w:tcPr>
          <w:p w:rsidR="001810A2" w:rsidRDefault="00B174D5" w:rsidP="00897648">
            <w:pPr>
              <w:pStyle w:val="Sangradetextonormal"/>
              <w:widowControl w:val="0"/>
              <w:ind w:firstLine="0"/>
              <w:jc w:val="right"/>
            </w:pPr>
            <w:r>
              <w:t>682.911</w:t>
            </w:r>
          </w:p>
        </w:tc>
        <w:tc>
          <w:tcPr>
            <w:tcW w:w="1985" w:type="dxa"/>
            <w:shd w:val="clear" w:color="auto" w:fill="auto"/>
          </w:tcPr>
          <w:p w:rsidR="001810A2" w:rsidRDefault="00B174D5" w:rsidP="00897648">
            <w:pPr>
              <w:pStyle w:val="Sangradetextonormal"/>
              <w:widowControl w:val="0"/>
              <w:ind w:firstLine="0"/>
              <w:jc w:val="right"/>
            </w:pPr>
            <w:r>
              <w:t>6</w:t>
            </w:r>
            <w:r w:rsidR="00713055">
              <w:t>.</w:t>
            </w:r>
            <w:r>
              <w:t>146</w:t>
            </w:r>
            <w:r w:rsidR="00713055">
              <w:t>.</w:t>
            </w:r>
            <w:r>
              <w:t>2</w:t>
            </w:r>
            <w:r w:rsidR="00713055">
              <w:t>00</w:t>
            </w:r>
          </w:p>
        </w:tc>
      </w:tr>
      <w:tr w:rsidR="001810A2" w:rsidTr="00897648">
        <w:tc>
          <w:tcPr>
            <w:tcW w:w="2206" w:type="dxa"/>
            <w:shd w:val="clear" w:color="auto" w:fill="auto"/>
          </w:tcPr>
          <w:p w:rsidR="001810A2" w:rsidRDefault="001810A2" w:rsidP="00846995">
            <w:pPr>
              <w:pStyle w:val="Sangradetextonormal"/>
              <w:widowControl w:val="0"/>
              <w:ind w:firstLine="0"/>
              <w:jc w:val="both"/>
            </w:pPr>
            <w:r>
              <w:t>Tacuarembó</w:t>
            </w:r>
          </w:p>
        </w:tc>
        <w:tc>
          <w:tcPr>
            <w:tcW w:w="2330" w:type="dxa"/>
            <w:shd w:val="clear" w:color="auto" w:fill="auto"/>
          </w:tcPr>
          <w:p w:rsidR="001810A2" w:rsidRDefault="00B174D5" w:rsidP="00897648">
            <w:pPr>
              <w:pStyle w:val="Sangradetextonormal"/>
              <w:widowControl w:val="0"/>
              <w:ind w:firstLine="0"/>
              <w:jc w:val="right"/>
            </w:pPr>
            <w:r>
              <w:t>1:019.483</w:t>
            </w:r>
          </w:p>
        </w:tc>
        <w:tc>
          <w:tcPr>
            <w:tcW w:w="1985" w:type="dxa"/>
            <w:shd w:val="clear" w:color="auto" w:fill="auto"/>
          </w:tcPr>
          <w:p w:rsidR="001810A2" w:rsidRDefault="00B174D5" w:rsidP="00897648">
            <w:pPr>
              <w:pStyle w:val="Sangradetextonormal"/>
              <w:widowControl w:val="0"/>
              <w:ind w:firstLine="0"/>
              <w:jc w:val="right"/>
            </w:pPr>
            <w:r>
              <w:t>9</w:t>
            </w:r>
            <w:r w:rsidR="001810A2">
              <w:t>:</w:t>
            </w:r>
            <w:r>
              <w:t>175.343</w:t>
            </w:r>
          </w:p>
        </w:tc>
      </w:tr>
      <w:tr w:rsidR="001810A2" w:rsidTr="00897648">
        <w:tc>
          <w:tcPr>
            <w:tcW w:w="2206" w:type="dxa"/>
            <w:shd w:val="clear" w:color="auto" w:fill="auto"/>
          </w:tcPr>
          <w:p w:rsidR="001810A2" w:rsidRDefault="001810A2" w:rsidP="00846995">
            <w:pPr>
              <w:pStyle w:val="Sangradetextonormal"/>
              <w:widowControl w:val="0"/>
              <w:ind w:firstLine="0"/>
              <w:jc w:val="both"/>
            </w:pPr>
            <w:r>
              <w:t>Treinta y Tres</w:t>
            </w:r>
          </w:p>
        </w:tc>
        <w:tc>
          <w:tcPr>
            <w:tcW w:w="2330" w:type="dxa"/>
            <w:shd w:val="clear" w:color="auto" w:fill="auto"/>
          </w:tcPr>
          <w:p w:rsidR="001810A2" w:rsidRDefault="00B174D5" w:rsidP="00897648">
            <w:pPr>
              <w:pStyle w:val="Sangradetextonormal"/>
              <w:widowControl w:val="0"/>
              <w:ind w:firstLine="0"/>
              <w:jc w:val="right"/>
            </w:pPr>
            <w:r>
              <w:t>85</w:t>
            </w:r>
            <w:r w:rsidR="001810A2">
              <w:t>.</w:t>
            </w:r>
            <w:r w:rsidR="00E974A3">
              <w:t>000</w:t>
            </w:r>
          </w:p>
        </w:tc>
        <w:tc>
          <w:tcPr>
            <w:tcW w:w="1985" w:type="dxa"/>
            <w:shd w:val="clear" w:color="auto" w:fill="auto"/>
          </w:tcPr>
          <w:p w:rsidR="001810A2" w:rsidRDefault="00B174D5" w:rsidP="00897648">
            <w:pPr>
              <w:pStyle w:val="Sangradetextonormal"/>
              <w:widowControl w:val="0"/>
              <w:ind w:firstLine="0"/>
              <w:jc w:val="right"/>
            </w:pPr>
            <w:r>
              <w:t>765.000</w:t>
            </w:r>
          </w:p>
        </w:tc>
      </w:tr>
      <w:tr w:rsidR="001810A2" w:rsidRPr="00B174D5" w:rsidTr="00897648">
        <w:tc>
          <w:tcPr>
            <w:tcW w:w="2206" w:type="dxa"/>
            <w:shd w:val="clear" w:color="auto" w:fill="auto"/>
          </w:tcPr>
          <w:p w:rsidR="001810A2" w:rsidRPr="00B174D5" w:rsidRDefault="001810A2" w:rsidP="00846995">
            <w:pPr>
              <w:pStyle w:val="Sangradetextonormal"/>
              <w:widowControl w:val="0"/>
              <w:ind w:firstLine="0"/>
              <w:jc w:val="both"/>
              <w:rPr>
                <w:b/>
              </w:rPr>
            </w:pPr>
            <w:r w:rsidRPr="00B174D5">
              <w:rPr>
                <w:b/>
              </w:rPr>
              <w:t>TOTALES</w:t>
            </w:r>
          </w:p>
        </w:tc>
        <w:tc>
          <w:tcPr>
            <w:tcW w:w="2330" w:type="dxa"/>
            <w:shd w:val="clear" w:color="auto" w:fill="auto"/>
          </w:tcPr>
          <w:p w:rsidR="001810A2" w:rsidRPr="00B174D5" w:rsidRDefault="00B174D5" w:rsidP="00897648">
            <w:pPr>
              <w:pStyle w:val="Sangradetextonormal"/>
              <w:widowControl w:val="0"/>
              <w:ind w:firstLine="0"/>
              <w:jc w:val="right"/>
              <w:rPr>
                <w:b/>
              </w:rPr>
            </w:pPr>
            <w:r w:rsidRPr="00B174D5">
              <w:rPr>
                <w:b/>
              </w:rPr>
              <w:t>20</w:t>
            </w:r>
            <w:r w:rsidR="001810A2" w:rsidRPr="00B174D5">
              <w:rPr>
                <w:b/>
              </w:rPr>
              <w:t>:</w:t>
            </w:r>
            <w:r w:rsidRPr="00B174D5">
              <w:rPr>
                <w:b/>
              </w:rPr>
              <w:t>493.112</w:t>
            </w:r>
          </w:p>
        </w:tc>
        <w:tc>
          <w:tcPr>
            <w:tcW w:w="1985" w:type="dxa"/>
            <w:shd w:val="clear" w:color="auto" w:fill="auto"/>
          </w:tcPr>
          <w:p w:rsidR="001810A2" w:rsidRPr="00B174D5" w:rsidRDefault="001810A2" w:rsidP="00897648">
            <w:pPr>
              <w:pStyle w:val="Sangradetextonormal"/>
              <w:widowControl w:val="0"/>
              <w:ind w:firstLine="0"/>
              <w:jc w:val="right"/>
              <w:rPr>
                <w:b/>
              </w:rPr>
            </w:pPr>
            <w:r w:rsidRPr="00B174D5">
              <w:rPr>
                <w:b/>
              </w:rPr>
              <w:t>1</w:t>
            </w:r>
            <w:r w:rsidR="00B174D5" w:rsidRPr="00B174D5">
              <w:rPr>
                <w:b/>
              </w:rPr>
              <w:t>84:438.012</w:t>
            </w:r>
          </w:p>
        </w:tc>
      </w:tr>
    </w:tbl>
    <w:p w:rsidR="00897648" w:rsidRDefault="00897648" w:rsidP="00897648">
      <w:pPr>
        <w:pStyle w:val="Sangradetextonormal"/>
        <w:widowControl w:val="0"/>
        <w:ind w:firstLine="0"/>
        <w:jc w:val="both"/>
        <w:rPr>
          <w:b/>
        </w:rPr>
      </w:pPr>
    </w:p>
    <w:p w:rsidR="00897648" w:rsidRDefault="00531135" w:rsidP="00897648">
      <w:pPr>
        <w:pStyle w:val="Sangradetextonormal"/>
        <w:widowControl w:val="0"/>
        <w:ind w:firstLine="2835"/>
        <w:jc w:val="both"/>
      </w:pPr>
      <w:r>
        <w:rPr>
          <w:b/>
        </w:rPr>
        <w:t>5</w:t>
      </w:r>
      <w:r w:rsidR="001810A2">
        <w:rPr>
          <w:b/>
        </w:rPr>
        <w:t xml:space="preserve">) </w:t>
      </w:r>
      <w:r w:rsidR="001810A2">
        <w:t xml:space="preserve">que se adjunta documento de afectación Nº </w:t>
      </w:r>
      <w:r w:rsidR="00B174D5">
        <w:t>15</w:t>
      </w:r>
      <w:r w:rsidR="001810A2">
        <w:t xml:space="preserve">, </w:t>
      </w:r>
      <w:r w:rsidR="00E974A3">
        <w:t xml:space="preserve"> por la suma de $ 3</w:t>
      </w:r>
      <w:r w:rsidR="00B174D5">
        <w:t>41</w:t>
      </w:r>
      <w:r>
        <w:t>:</w:t>
      </w:r>
      <w:r w:rsidR="00B174D5">
        <w:t>011.036</w:t>
      </w:r>
      <w:r w:rsidR="001810A2">
        <w:t xml:space="preserve"> con cargo al Inciso 10, Unidad Ejecutora 007, Programa 346, Proyecto 000, Financiación 1.1 Rentas Generales;</w:t>
      </w:r>
    </w:p>
    <w:p w:rsidR="001810A2" w:rsidRDefault="00531135" w:rsidP="00897648">
      <w:pPr>
        <w:pStyle w:val="Sangradetextonormal"/>
        <w:widowControl w:val="0"/>
        <w:ind w:firstLine="2835"/>
        <w:jc w:val="both"/>
      </w:pPr>
      <w:r>
        <w:rPr>
          <w:b/>
        </w:rPr>
        <w:lastRenderedPageBreak/>
        <w:t>6</w:t>
      </w:r>
      <w:r w:rsidR="001810A2">
        <w:rPr>
          <w:b/>
        </w:rPr>
        <w:t xml:space="preserve">) </w:t>
      </w:r>
      <w:r w:rsidR="00743BF9">
        <w:t xml:space="preserve">que </w:t>
      </w:r>
      <w:r w:rsidR="00846995">
        <w:t xml:space="preserve">asimismo, </w:t>
      </w:r>
      <w:r w:rsidR="001810A2">
        <w:t>se remite proyecto de resolución del Poder Ejecutivo, aprobando los convenios suscritos, autorizando la inversión de la suma de hasta $ 1</w:t>
      </w:r>
      <w:r w:rsidR="00B174D5">
        <w:t>84</w:t>
      </w:r>
      <w:r w:rsidR="001810A2">
        <w:t>:</w:t>
      </w:r>
      <w:r w:rsidR="00B174D5">
        <w:t>438.012</w:t>
      </w:r>
      <w:r w:rsidR="001810A2">
        <w:t xml:space="preserve"> y estableciendo que el crédit</w:t>
      </w:r>
      <w:r w:rsidR="00743BF9">
        <w:t xml:space="preserve">o se ajustará de acuerdo con </w:t>
      </w:r>
      <w:r w:rsidR="001810A2">
        <w:t xml:space="preserve">la variación que se opere en el costo pasajero-kilómetro que fija el MTOP para los servicios de transporte </w:t>
      </w:r>
      <w:r w:rsidR="00743BF9">
        <w:t>de pasajeros por carretera y</w:t>
      </w:r>
      <w:r w:rsidR="001810A2">
        <w:t xml:space="preserve"> a las altas y bajas que se registren e</w:t>
      </w:r>
      <w:r w:rsidR="00596EBD">
        <w:t>n los padrones de beneficiarios;</w:t>
      </w:r>
      <w:r w:rsidR="001810A2">
        <w:t xml:space="preserve"> </w:t>
      </w:r>
    </w:p>
    <w:p w:rsidR="00596EBD" w:rsidRDefault="001810A2" w:rsidP="00596EBD">
      <w:pPr>
        <w:tabs>
          <w:tab w:val="left" w:pos="-1440"/>
          <w:tab w:val="left" w:pos="-720"/>
          <w:tab w:val="left" w:pos="0"/>
          <w:tab w:val="left" w:pos="720"/>
          <w:tab w:val="left" w:pos="1440"/>
          <w:tab w:val="left" w:pos="2160"/>
          <w:tab w:val="left" w:pos="2448"/>
          <w:tab w:val="left" w:pos="6480"/>
          <w:tab w:val="left" w:pos="7920"/>
        </w:tabs>
        <w:suppressAutoHyphens/>
        <w:spacing w:line="360" w:lineRule="auto"/>
        <w:ind w:firstLine="851"/>
        <w:jc w:val="both"/>
      </w:pPr>
      <w:r>
        <w:rPr>
          <w:b/>
          <w:bCs/>
        </w:rPr>
        <w:t>CONSIDERANDO:</w:t>
      </w:r>
      <w:r>
        <w:rPr>
          <w:i/>
          <w:iCs/>
        </w:rPr>
        <w:t xml:space="preserve"> </w:t>
      </w:r>
      <w:r>
        <w:rPr>
          <w:b/>
          <w:bCs/>
        </w:rPr>
        <w:t>1)</w:t>
      </w:r>
      <w:r>
        <w:t xml:space="preserve"> </w:t>
      </w:r>
      <w:r w:rsidR="00596EBD">
        <w:t>que el A</w:t>
      </w:r>
      <w:r w:rsidR="00743BF9" w:rsidRPr="00743BF9">
        <w:t>rtículo 35 de la Ley Orgánica Municipa</w:t>
      </w:r>
      <w:r w:rsidR="00596EBD">
        <w:t>l Nº 9.515 de 28/10/1935 en su N</w:t>
      </w:r>
      <w:r w:rsidR="00743BF9" w:rsidRPr="00743BF9">
        <w:t>umeral 15 dispone que compete al Intendente velar por la conservación de los derechos individuales d</w:t>
      </w:r>
      <w:r w:rsidR="00596EBD">
        <w:t>e sus habitantes. Asimismo, el Numeral 25 de dicho A</w:t>
      </w:r>
      <w:r w:rsidR="00743BF9" w:rsidRPr="00743BF9">
        <w:t>rtículo establece que le corresponde organizar y cuidar la vialidad pública, siendo de su cargo entre otras cosas, reglamentar el tránsito y los servicios de transporte, de pasajeros y carga</w:t>
      </w:r>
      <w:r w:rsidR="00531135">
        <w:t>,</w:t>
      </w:r>
      <w:r w:rsidR="00743BF9" w:rsidRPr="00743BF9">
        <w:t xml:space="preserve"> de conformidad con las ordenanzas, pudiendo fijar en todos los casos las tarifas del servicio y las normas a que deben sujetarse</w:t>
      </w:r>
      <w:r w:rsidR="00596EBD">
        <w:t>;</w:t>
      </w:r>
    </w:p>
    <w:p w:rsidR="00596EBD" w:rsidRDefault="001810A2" w:rsidP="00596EBD">
      <w:pPr>
        <w:tabs>
          <w:tab w:val="left" w:pos="-1440"/>
          <w:tab w:val="left" w:pos="-720"/>
          <w:tab w:val="left" w:pos="0"/>
          <w:tab w:val="left" w:pos="720"/>
          <w:tab w:val="left" w:pos="1440"/>
          <w:tab w:val="left" w:pos="2160"/>
          <w:tab w:val="left" w:pos="2448"/>
          <w:tab w:val="left" w:pos="6480"/>
          <w:tab w:val="left" w:pos="7920"/>
        </w:tabs>
        <w:suppressAutoHyphens/>
        <w:spacing w:line="360" w:lineRule="auto"/>
        <w:ind w:firstLine="3119"/>
        <w:jc w:val="both"/>
        <w:rPr>
          <w:i/>
        </w:rPr>
      </w:pPr>
      <w:r w:rsidRPr="001D35B9">
        <w:rPr>
          <w:b/>
        </w:rPr>
        <w:t xml:space="preserve">2) </w:t>
      </w:r>
      <w:r w:rsidR="00743BF9">
        <w:t xml:space="preserve">que </w:t>
      </w:r>
      <w:r w:rsidR="00596EBD">
        <w:t>el A</w:t>
      </w:r>
      <w:r w:rsidRPr="006F7568">
        <w:t xml:space="preserve">rtículo 7 del Decreto 574/974, </w:t>
      </w:r>
      <w:r w:rsidR="00531135">
        <w:t>esta</w:t>
      </w:r>
      <w:r w:rsidR="00596EBD">
        <w:softHyphen/>
      </w:r>
      <w:r w:rsidR="00531135">
        <w:t xml:space="preserve">blece que </w:t>
      </w:r>
      <w:r w:rsidRPr="006F7568">
        <w:t>compete al MTOP</w:t>
      </w:r>
      <w:r w:rsidR="00531135">
        <w:t>:</w:t>
      </w:r>
      <w:r>
        <w:t xml:space="preserve"> “</w:t>
      </w:r>
      <w:r w:rsidR="00531135">
        <w:t>…</w:t>
      </w:r>
      <w:r w:rsidRPr="006F7568">
        <w:rPr>
          <w:i/>
        </w:rPr>
        <w:t>La política nacional del transporte y de las obras públicas</w:t>
      </w:r>
      <w:r w:rsidRPr="006F7568">
        <w:t>”, así como el “</w:t>
      </w:r>
      <w:r w:rsidRPr="006F7568">
        <w:rPr>
          <w:i/>
        </w:rPr>
        <w:t>Régimen</w:t>
      </w:r>
      <w:r>
        <w:rPr>
          <w:i/>
        </w:rPr>
        <w:t>, desarrollo, coordinación y contralor del transporte en todas sus formas y vías”</w:t>
      </w:r>
      <w:r w:rsidR="00E974A3">
        <w:rPr>
          <w:i/>
        </w:rPr>
        <w:t>;</w:t>
      </w:r>
    </w:p>
    <w:p w:rsidR="00596EBD" w:rsidRDefault="00E974A3" w:rsidP="00596EBD">
      <w:pPr>
        <w:tabs>
          <w:tab w:val="left" w:pos="-1440"/>
          <w:tab w:val="left" w:pos="-720"/>
          <w:tab w:val="left" w:pos="0"/>
          <w:tab w:val="left" w:pos="720"/>
          <w:tab w:val="left" w:pos="1440"/>
          <w:tab w:val="left" w:pos="2160"/>
          <w:tab w:val="left" w:pos="2448"/>
          <w:tab w:val="left" w:pos="6480"/>
          <w:tab w:val="left" w:pos="7920"/>
        </w:tabs>
        <w:suppressAutoHyphens/>
        <w:spacing w:line="360" w:lineRule="auto"/>
        <w:ind w:firstLine="3119"/>
        <w:jc w:val="both"/>
      </w:pPr>
      <w:r>
        <w:rPr>
          <w:b/>
          <w:bCs/>
        </w:rPr>
        <w:t xml:space="preserve">3) </w:t>
      </w:r>
      <w:r>
        <w:t>que la Ley de Presupuesto Nacional Nº 19.355, de fecha 19/12/2015, asignó al M</w:t>
      </w:r>
      <w:r w:rsidR="00531135">
        <w:t>TOP (</w:t>
      </w:r>
      <w:r>
        <w:t>Unidad Ejecutora 007 “Dirección Nacional de Transporte”, financiación 1.1 “Rentas Generales”, objeto del gasto 579</w:t>
      </w:r>
      <w:r w:rsidR="00E221EC">
        <w:t>.014</w:t>
      </w:r>
      <w:r>
        <w:t xml:space="preserve"> “Subsidio boletos estudiantes </w:t>
      </w:r>
      <w:r w:rsidR="00E221EC">
        <w:t>Interior Área Metropolitana</w:t>
      </w:r>
      <w:r>
        <w:t>”</w:t>
      </w:r>
      <w:r w:rsidR="00531135">
        <w:t>)</w:t>
      </w:r>
      <w:r>
        <w:t xml:space="preserve">, un crédito </w:t>
      </w:r>
      <w:r w:rsidR="00E221EC">
        <w:t xml:space="preserve">para el Ejercicio 2018 </w:t>
      </w:r>
      <w:r>
        <w:t xml:space="preserve">de $ </w:t>
      </w:r>
      <w:r w:rsidR="009170F8">
        <w:t>2</w:t>
      </w:r>
      <w:r w:rsidR="00596EBD">
        <w:t>91:</w:t>
      </w:r>
      <w:r w:rsidR="00251F64">
        <w:t>376.000,</w:t>
      </w:r>
      <w:r>
        <w:t xml:space="preserve"> destinado al subsidio de boletos de estudiantes </w:t>
      </w:r>
      <w:r w:rsidR="00251F64">
        <w:t>del Interior en Área Metropolitana</w:t>
      </w:r>
      <w:r>
        <w:t>;</w:t>
      </w:r>
    </w:p>
    <w:p w:rsidR="00596EBD" w:rsidRDefault="001810A2" w:rsidP="00596EBD">
      <w:pPr>
        <w:tabs>
          <w:tab w:val="left" w:pos="-1440"/>
          <w:tab w:val="left" w:pos="-720"/>
          <w:tab w:val="left" w:pos="0"/>
          <w:tab w:val="left" w:pos="720"/>
          <w:tab w:val="left" w:pos="1440"/>
          <w:tab w:val="left" w:pos="2160"/>
          <w:tab w:val="left" w:pos="2448"/>
          <w:tab w:val="left" w:pos="6480"/>
          <w:tab w:val="left" w:pos="7920"/>
        </w:tabs>
        <w:suppressAutoHyphens/>
        <w:spacing w:line="360" w:lineRule="auto"/>
        <w:ind w:firstLine="3119"/>
        <w:jc w:val="both"/>
      </w:pPr>
      <w:r>
        <w:rPr>
          <w:b/>
          <w:bCs/>
        </w:rPr>
        <w:t xml:space="preserve">4) </w:t>
      </w:r>
      <w:r>
        <w:t xml:space="preserve">que el </w:t>
      </w:r>
      <w:r w:rsidR="00596EBD">
        <w:t>A</w:t>
      </w:r>
      <w:r>
        <w:t>rtículo 1</w:t>
      </w:r>
      <w:r w:rsidR="00531135">
        <w:t>º</w:t>
      </w:r>
      <w:r>
        <w:t xml:space="preserve"> del Decreto Nº 351/005 de 27/09/200</w:t>
      </w:r>
      <w:r w:rsidR="00596EBD">
        <w:t>5, en la redacción dada por el A</w:t>
      </w:r>
      <w:r>
        <w:t>rtículo 1</w:t>
      </w:r>
      <w:r w:rsidR="00531135">
        <w:t>º</w:t>
      </w:r>
      <w:r>
        <w:t xml:space="preserve"> del Decreto Nº 152/012 de fecha 11/05/2012, dispone que a partir del 1</w:t>
      </w:r>
      <w:r w:rsidR="00531135">
        <w:t>º</w:t>
      </w:r>
      <w:r>
        <w:t xml:space="preserve"> de marzo de 2012 los estudiantes de enseñanza media pública, así como quienes gocen de beca completa en los institutos privados habilitados de todo el país</w:t>
      </w:r>
      <w:r w:rsidR="00531135">
        <w:t>,</w:t>
      </w:r>
      <w:r>
        <w:t xml:space="preserve"> tendrán derecho a obtener un </w:t>
      </w:r>
      <w:r>
        <w:lastRenderedPageBreak/>
        <w:t>boleto – abono con 50 viajes gratuitos al mes, para el uso de las líneas de las distintas empresas de transporte urbanas, suburbanas, departamentales e interdepartamentales, de corta, media y larga distancia de pasajeros, que unan el domicilio del estudiante con el Instituto de Enseñanza al que concurra;</w:t>
      </w:r>
    </w:p>
    <w:p w:rsidR="001810A2" w:rsidRDefault="0082540D" w:rsidP="00596EBD">
      <w:pPr>
        <w:tabs>
          <w:tab w:val="left" w:pos="-1440"/>
          <w:tab w:val="left" w:pos="-720"/>
          <w:tab w:val="left" w:pos="0"/>
          <w:tab w:val="left" w:pos="720"/>
          <w:tab w:val="left" w:pos="1440"/>
          <w:tab w:val="left" w:pos="2160"/>
          <w:tab w:val="left" w:pos="2448"/>
          <w:tab w:val="left" w:pos="6480"/>
          <w:tab w:val="left" w:pos="7920"/>
        </w:tabs>
        <w:suppressAutoHyphens/>
        <w:spacing w:line="360" w:lineRule="auto"/>
        <w:ind w:firstLine="3119"/>
        <w:jc w:val="both"/>
        <w:rPr>
          <w:rFonts w:cs="Arial"/>
          <w:lang w:val="es-MX"/>
        </w:rPr>
      </w:pPr>
      <w:r w:rsidRPr="0082540D">
        <w:rPr>
          <w:rFonts w:cs="Arial"/>
          <w:b/>
          <w:lang w:val="es-MX"/>
        </w:rPr>
        <w:t>5</w:t>
      </w:r>
      <w:r w:rsidR="001810A2" w:rsidRPr="0082540D">
        <w:rPr>
          <w:rFonts w:cs="Arial"/>
          <w:b/>
          <w:bCs/>
          <w:lang w:val="es-MX"/>
        </w:rPr>
        <w:t>)</w:t>
      </w:r>
      <w:r w:rsidR="001810A2">
        <w:rPr>
          <w:rFonts w:cs="Arial"/>
          <w:b/>
          <w:bCs/>
          <w:lang w:val="es-MX"/>
        </w:rPr>
        <w:t xml:space="preserve"> </w:t>
      </w:r>
      <w:r w:rsidR="001810A2">
        <w:rPr>
          <w:rFonts w:cs="Arial"/>
          <w:lang w:val="es-MX"/>
        </w:rPr>
        <w:t>que en mérito a lo expuesto, tanto el MTOP y la</w:t>
      </w:r>
      <w:r w:rsidR="00531135">
        <w:rPr>
          <w:rFonts w:cs="Arial"/>
          <w:lang w:val="es-MX"/>
        </w:rPr>
        <w:t>s</w:t>
      </w:r>
      <w:r w:rsidR="001810A2">
        <w:rPr>
          <w:rFonts w:cs="Arial"/>
          <w:lang w:val="es-MX"/>
        </w:rPr>
        <w:t xml:space="preserve"> Intendencias citadas poseen competencia para celebrar los convenios remitidos en esta instancia</w:t>
      </w:r>
      <w:r w:rsidR="00531135">
        <w:rPr>
          <w:rFonts w:cs="Arial"/>
          <w:lang w:val="es-MX"/>
        </w:rPr>
        <w:t xml:space="preserve"> y </w:t>
      </w:r>
      <w:r w:rsidR="001810A2">
        <w:rPr>
          <w:rFonts w:cs="Arial"/>
          <w:lang w:val="es-MX"/>
        </w:rPr>
        <w:t>el procedimiento direc</w:t>
      </w:r>
      <w:r w:rsidR="00743BF9">
        <w:rPr>
          <w:rFonts w:cs="Arial"/>
          <w:lang w:val="es-MX"/>
        </w:rPr>
        <w:t>to seguido para la selección de los</w:t>
      </w:r>
      <w:r w:rsidR="001810A2">
        <w:rPr>
          <w:rFonts w:cs="Arial"/>
          <w:lang w:val="es-MX"/>
        </w:rPr>
        <w:t xml:space="preserve"> co-contratante</w:t>
      </w:r>
      <w:r w:rsidR="00743BF9">
        <w:rPr>
          <w:rFonts w:cs="Arial"/>
          <w:lang w:val="es-MX"/>
        </w:rPr>
        <w:t>s</w:t>
      </w:r>
      <w:r w:rsidR="001810A2">
        <w:rPr>
          <w:rFonts w:cs="Arial"/>
          <w:lang w:val="es-MX"/>
        </w:rPr>
        <w:t>, atendiendo a la naturaleza jurídica de las partes</w:t>
      </w:r>
      <w:r w:rsidR="00531135">
        <w:rPr>
          <w:rFonts w:cs="Arial"/>
          <w:lang w:val="es-MX"/>
        </w:rPr>
        <w:t xml:space="preserve"> suscriptoras</w:t>
      </w:r>
      <w:r w:rsidR="001810A2">
        <w:rPr>
          <w:rFonts w:cs="Arial"/>
          <w:lang w:val="es-MX"/>
        </w:rPr>
        <w:t>, encuadra en l</w:t>
      </w:r>
      <w:r w:rsidR="00596EBD">
        <w:rPr>
          <w:rFonts w:cs="Arial"/>
          <w:lang w:val="es-MX"/>
        </w:rPr>
        <w:t>o dispuesto por el Literal C), N</w:t>
      </w:r>
      <w:r w:rsidR="001810A2">
        <w:rPr>
          <w:rFonts w:cs="Arial"/>
          <w:lang w:val="es-MX"/>
        </w:rPr>
        <w:t>umeral 1) de</w:t>
      </w:r>
      <w:r w:rsidR="00596EBD">
        <w:rPr>
          <w:rFonts w:cs="Arial"/>
          <w:lang w:val="es-MX"/>
        </w:rPr>
        <w:t>l A</w:t>
      </w:r>
      <w:r w:rsidR="001810A2">
        <w:rPr>
          <w:rFonts w:cs="Arial"/>
          <w:lang w:val="es-MX"/>
        </w:rPr>
        <w:t>rtículo 33 del TOCAF;</w:t>
      </w:r>
    </w:p>
    <w:p w:rsidR="001810A2" w:rsidRDefault="001810A2" w:rsidP="00596EBD">
      <w:pPr>
        <w:pStyle w:val="Textoindependiente"/>
        <w:widowControl w:val="0"/>
        <w:ind w:firstLine="851"/>
        <w:rPr>
          <w:rFonts w:ascii="Arial" w:hAnsi="Arial"/>
        </w:rPr>
      </w:pPr>
      <w:r>
        <w:rPr>
          <w:rFonts w:ascii="Arial" w:hAnsi="Arial" w:cs="Arial"/>
          <w:b/>
          <w:bCs/>
        </w:rPr>
        <w:t xml:space="preserve">ATENTO: </w:t>
      </w:r>
      <w:r>
        <w:rPr>
          <w:rFonts w:ascii="Arial" w:hAnsi="Arial" w:cs="Arial"/>
        </w:rPr>
        <w:t>a lo precedentemente expu</w:t>
      </w:r>
      <w:r w:rsidR="00596EBD">
        <w:rPr>
          <w:rFonts w:ascii="Arial" w:hAnsi="Arial" w:cs="Arial"/>
        </w:rPr>
        <w:t>esto y a lo determinado por el A</w:t>
      </w:r>
      <w:r>
        <w:rPr>
          <w:rFonts w:ascii="Arial" w:hAnsi="Arial" w:cs="Arial"/>
        </w:rPr>
        <w:t>rt</w:t>
      </w:r>
      <w:r w:rsidR="00596EBD">
        <w:rPr>
          <w:rFonts w:ascii="Arial" w:hAnsi="Arial" w:cs="Arial"/>
        </w:rPr>
        <w:t>ículo</w:t>
      </w:r>
      <w:r>
        <w:rPr>
          <w:rFonts w:ascii="Arial" w:hAnsi="Arial" w:cs="Arial"/>
        </w:rPr>
        <w:t xml:space="preserve"> 211</w:t>
      </w:r>
      <w:r w:rsidR="00596EBD">
        <w:rPr>
          <w:rFonts w:ascii="Arial" w:hAnsi="Arial"/>
        </w:rPr>
        <w:t xml:space="preserve"> L</w:t>
      </w:r>
      <w:r>
        <w:rPr>
          <w:rFonts w:ascii="Arial" w:hAnsi="Arial"/>
        </w:rPr>
        <w:t xml:space="preserve">iteral B) de la Constitución de la República, </w:t>
      </w:r>
    </w:p>
    <w:p w:rsidR="001810A2" w:rsidRDefault="001810A2" w:rsidP="001810A2">
      <w:pPr>
        <w:pStyle w:val="Textoindependiente"/>
        <w:jc w:val="center"/>
        <w:rPr>
          <w:rFonts w:ascii="Arial" w:hAnsi="Arial"/>
          <w:b/>
        </w:rPr>
      </w:pPr>
      <w:r>
        <w:rPr>
          <w:rFonts w:ascii="Arial" w:hAnsi="Arial"/>
          <w:b/>
        </w:rPr>
        <w:t>EL TRIBUNAL ACUERDA</w:t>
      </w:r>
    </w:p>
    <w:p w:rsidR="001810A2" w:rsidRDefault="001810A2" w:rsidP="00596EBD">
      <w:pPr>
        <w:numPr>
          <w:ilvl w:val="0"/>
          <w:numId w:val="1"/>
        </w:numPr>
        <w:tabs>
          <w:tab w:val="clear" w:pos="600"/>
        </w:tabs>
        <w:spacing w:line="360" w:lineRule="auto"/>
        <w:ind w:left="284" w:hanging="284"/>
        <w:jc w:val="both"/>
      </w:pPr>
      <w:r>
        <w:t>No formular observacione</w:t>
      </w:r>
      <w:r w:rsidR="00B174D5">
        <w:t>s a los convenios suscritos el 7</w:t>
      </w:r>
      <w:r>
        <w:t xml:space="preserve"> de </w:t>
      </w:r>
      <w:r w:rsidR="007C5FF2">
        <w:t>febrero</w:t>
      </w:r>
      <w:r>
        <w:t xml:space="preserve"> de 201</w:t>
      </w:r>
      <w:r w:rsidR="00B174D5">
        <w:t>9</w:t>
      </w:r>
      <w:r>
        <w:t>;</w:t>
      </w:r>
    </w:p>
    <w:p w:rsidR="001810A2" w:rsidRDefault="00596EBD" w:rsidP="00596EBD">
      <w:pPr>
        <w:numPr>
          <w:ilvl w:val="0"/>
          <w:numId w:val="1"/>
        </w:numPr>
        <w:tabs>
          <w:tab w:val="clear" w:pos="600"/>
        </w:tabs>
        <w:spacing w:line="360" w:lineRule="auto"/>
        <w:ind w:left="284" w:hanging="284"/>
        <w:jc w:val="both"/>
      </w:pPr>
      <w:r>
        <w:t>Cuando el O</w:t>
      </w:r>
      <w:r w:rsidR="001810A2">
        <w:t>rdenador competente disponga el gasto en la forma propuesta, cométese al Contador Auditor ante el Ministerio de Transporte y Obras Públicas</w:t>
      </w:r>
      <w:r w:rsidR="00531135">
        <w:t>,</w:t>
      </w:r>
      <w:r w:rsidR="001810A2">
        <w:t xml:space="preserve"> la intervenció</w:t>
      </w:r>
      <w:r w:rsidR="00743BF9">
        <w:t>n de las transferencias por hasta</w:t>
      </w:r>
      <w:r w:rsidR="001810A2">
        <w:t xml:space="preserve"> la suma de </w:t>
      </w:r>
      <w:r>
        <w:t>$</w:t>
      </w:r>
      <w:r w:rsidR="00686756">
        <w:t>184:438.012</w:t>
      </w:r>
      <w:r w:rsidR="001810A2">
        <w:t>, previo control de su imputació</w:t>
      </w:r>
      <w:r>
        <w:t>n con cargo al G</w:t>
      </w:r>
      <w:r w:rsidR="001810A2">
        <w:t xml:space="preserve">rupo adecuado con disponibilidad suficiente y la verificación de que la Resolución definitiva concuerde con las condiciones de la contratación sometidas a </w:t>
      </w:r>
      <w:r w:rsidR="00743BF9">
        <w:t xml:space="preserve">consideración de </w:t>
      </w:r>
      <w:r w:rsidR="001810A2">
        <w:t>este Tribunal;</w:t>
      </w:r>
    </w:p>
    <w:p w:rsidR="001810A2" w:rsidRDefault="00596EBD" w:rsidP="00596EBD">
      <w:pPr>
        <w:numPr>
          <w:ilvl w:val="0"/>
          <w:numId w:val="1"/>
        </w:numPr>
        <w:tabs>
          <w:tab w:val="clear" w:pos="600"/>
        </w:tabs>
        <w:spacing w:line="360" w:lineRule="auto"/>
        <w:ind w:left="284" w:hanging="284"/>
        <w:jc w:val="both"/>
      </w:pPr>
      <w:r>
        <w:t>Comunicar al Contador Auditor ante</w:t>
      </w:r>
      <w:r w:rsidR="001810A2">
        <w:t xml:space="preserve"> el Ministerio de Transporte y Obras Públicas;</w:t>
      </w:r>
    </w:p>
    <w:p w:rsidR="00743BF9" w:rsidRDefault="00743BF9" w:rsidP="00596EBD">
      <w:pPr>
        <w:numPr>
          <w:ilvl w:val="0"/>
          <w:numId w:val="1"/>
        </w:numPr>
        <w:tabs>
          <w:tab w:val="clear" w:pos="600"/>
          <w:tab w:val="num" w:pos="284"/>
        </w:tabs>
        <w:spacing w:line="360" w:lineRule="auto"/>
        <w:ind w:hanging="600"/>
        <w:jc w:val="both"/>
        <w:rPr>
          <w:sz w:val="20"/>
          <w:szCs w:val="20"/>
        </w:rPr>
      </w:pPr>
      <w:r>
        <w:t>Devolver las actuaciones.</w:t>
      </w:r>
      <w:r w:rsidR="00596EBD" w:rsidRPr="000412DE">
        <w:rPr>
          <w:sz w:val="20"/>
          <w:szCs w:val="20"/>
        </w:rPr>
        <w:t xml:space="preserve"> </w:t>
      </w:r>
    </w:p>
    <w:p w:rsidR="00596EBD" w:rsidRDefault="00596EBD" w:rsidP="00596EBD">
      <w:pPr>
        <w:spacing w:line="360" w:lineRule="auto"/>
        <w:jc w:val="both"/>
        <w:rPr>
          <w:sz w:val="20"/>
          <w:szCs w:val="20"/>
        </w:rPr>
      </w:pPr>
    </w:p>
    <w:p w:rsidR="00596EBD" w:rsidRDefault="00596EBD" w:rsidP="00596EBD">
      <w:pPr>
        <w:spacing w:line="360" w:lineRule="auto"/>
        <w:jc w:val="both"/>
        <w:rPr>
          <w:sz w:val="20"/>
          <w:szCs w:val="20"/>
        </w:rPr>
      </w:pPr>
    </w:p>
    <w:p w:rsidR="00596EBD" w:rsidRPr="00596EBD" w:rsidRDefault="00596EBD" w:rsidP="00596EBD">
      <w:pPr>
        <w:spacing w:line="360" w:lineRule="auto"/>
        <w:ind w:hanging="426"/>
        <w:jc w:val="both"/>
      </w:pPr>
      <w:r w:rsidRPr="00596EBD">
        <w:t>dc</w:t>
      </w:r>
    </w:p>
    <w:sectPr w:rsidR="00596EBD" w:rsidRPr="00596EBD" w:rsidSect="00897648">
      <w:footerReference w:type="even" r:id="rId9"/>
      <w:footerReference w:type="default" r:id="rId10"/>
      <w:pgSz w:w="11906" w:h="16838" w:code="9"/>
      <w:pgMar w:top="3119"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1F9" w:rsidRDefault="00CD01F9">
      <w:r>
        <w:separator/>
      </w:r>
    </w:p>
  </w:endnote>
  <w:endnote w:type="continuationSeparator" w:id="0">
    <w:p w:rsidR="00CD01F9" w:rsidRDefault="00CD0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995" w:rsidRDefault="0084699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412DE">
      <w:rPr>
        <w:rStyle w:val="Nmerodepgina"/>
        <w:noProof/>
      </w:rPr>
      <w:t>2</w:t>
    </w:r>
    <w:r>
      <w:rPr>
        <w:rStyle w:val="Nmerodepgina"/>
      </w:rPr>
      <w:fldChar w:fldCharType="end"/>
    </w:r>
  </w:p>
  <w:p w:rsidR="00846995" w:rsidRDefault="0084699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995" w:rsidRDefault="0084699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96EBD">
      <w:rPr>
        <w:rStyle w:val="Nmerodepgina"/>
        <w:noProof/>
      </w:rPr>
      <w:t>2</w:t>
    </w:r>
    <w:r>
      <w:rPr>
        <w:rStyle w:val="Nmerodepgina"/>
      </w:rPr>
      <w:fldChar w:fldCharType="end"/>
    </w:r>
  </w:p>
  <w:p w:rsidR="00846995" w:rsidRDefault="0084699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1F9" w:rsidRDefault="00CD01F9">
      <w:r>
        <w:separator/>
      </w:r>
    </w:p>
  </w:footnote>
  <w:footnote w:type="continuationSeparator" w:id="0">
    <w:p w:rsidR="00CD01F9" w:rsidRDefault="00CD01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4B57F2"/>
    <w:multiLevelType w:val="hybridMultilevel"/>
    <w:tmpl w:val="8D126546"/>
    <w:lvl w:ilvl="0" w:tplc="AC6052C0">
      <w:start w:val="1"/>
      <w:numFmt w:val="decimal"/>
      <w:lvlText w:val="%1)"/>
      <w:lvlJc w:val="left"/>
      <w:pPr>
        <w:tabs>
          <w:tab w:val="num" w:pos="600"/>
        </w:tabs>
        <w:ind w:left="600" w:hanging="360"/>
      </w:pPr>
      <w:rPr>
        <w:rFonts w:hint="default"/>
        <w:b/>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0A2"/>
    <w:rsid w:val="00031BE4"/>
    <w:rsid w:val="000412DE"/>
    <w:rsid w:val="000D1D46"/>
    <w:rsid w:val="001810A2"/>
    <w:rsid w:val="001831B8"/>
    <w:rsid w:val="00251F64"/>
    <w:rsid w:val="00531135"/>
    <w:rsid w:val="00596EBD"/>
    <w:rsid w:val="00686756"/>
    <w:rsid w:val="00713055"/>
    <w:rsid w:val="007362A5"/>
    <w:rsid w:val="00743BF9"/>
    <w:rsid w:val="00772525"/>
    <w:rsid w:val="007C5FF2"/>
    <w:rsid w:val="0082540D"/>
    <w:rsid w:val="00846995"/>
    <w:rsid w:val="00897648"/>
    <w:rsid w:val="009170F8"/>
    <w:rsid w:val="00B174D5"/>
    <w:rsid w:val="00BB35EE"/>
    <w:rsid w:val="00C04361"/>
    <w:rsid w:val="00CA60B9"/>
    <w:rsid w:val="00CD01F9"/>
    <w:rsid w:val="00D72133"/>
    <w:rsid w:val="00E221EC"/>
    <w:rsid w:val="00E974A3"/>
    <w:rsid w:val="00FB26ED"/>
    <w:rsid w:val="00FC16B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0A2"/>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1810A2"/>
    <w:pPr>
      <w:keepNext/>
      <w:spacing w:line="360" w:lineRule="auto"/>
      <w:jc w:val="center"/>
      <w:outlineLvl w:val="0"/>
    </w:pPr>
    <w:rPr>
      <w:b/>
      <w:bCs/>
    </w:rPr>
  </w:style>
  <w:style w:type="paragraph" w:styleId="Ttulo3">
    <w:name w:val="heading 3"/>
    <w:basedOn w:val="Normal"/>
    <w:next w:val="Normal"/>
    <w:link w:val="Ttulo3Car"/>
    <w:qFormat/>
    <w:rsid w:val="001810A2"/>
    <w:pPr>
      <w:keepNext/>
      <w:spacing w:line="360" w:lineRule="auto"/>
      <w:jc w:val="center"/>
      <w:outlineLvl w:val="2"/>
    </w:pPr>
    <w:rPr>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810A2"/>
    <w:rPr>
      <w:rFonts w:ascii="Arial" w:eastAsia="Times New Roman" w:hAnsi="Arial" w:cs="Times New Roman"/>
      <w:b/>
      <w:bCs/>
      <w:sz w:val="24"/>
      <w:szCs w:val="24"/>
      <w:lang w:val="es-ES" w:eastAsia="es-ES"/>
    </w:rPr>
  </w:style>
  <w:style w:type="character" w:customStyle="1" w:styleId="Ttulo3Car">
    <w:name w:val="Título 3 Car"/>
    <w:basedOn w:val="Fuentedeprrafopredeter"/>
    <w:link w:val="Ttulo3"/>
    <w:rsid w:val="001810A2"/>
    <w:rPr>
      <w:rFonts w:ascii="Arial" w:eastAsia="Times New Roman" w:hAnsi="Arial" w:cs="Times New Roman"/>
      <w:b/>
      <w:bCs/>
      <w:i/>
      <w:iCs/>
      <w:sz w:val="28"/>
      <w:szCs w:val="24"/>
      <w:lang w:val="es-ES" w:eastAsia="es-ES"/>
    </w:rPr>
  </w:style>
  <w:style w:type="paragraph" w:styleId="Textoindependiente">
    <w:name w:val="Body Text"/>
    <w:basedOn w:val="Normal"/>
    <w:link w:val="TextoindependienteCar"/>
    <w:semiHidden/>
    <w:rsid w:val="001810A2"/>
    <w:pPr>
      <w:spacing w:line="360" w:lineRule="auto"/>
      <w:jc w:val="both"/>
    </w:pPr>
    <w:rPr>
      <w:rFonts w:ascii="Bookman Old Style" w:hAnsi="Bookman Old Style"/>
      <w:szCs w:val="20"/>
      <w:lang w:val="es-MX"/>
    </w:rPr>
  </w:style>
  <w:style w:type="character" w:customStyle="1" w:styleId="TextoindependienteCar">
    <w:name w:val="Texto independiente Car"/>
    <w:basedOn w:val="Fuentedeprrafopredeter"/>
    <w:link w:val="Textoindependiente"/>
    <w:semiHidden/>
    <w:rsid w:val="001810A2"/>
    <w:rPr>
      <w:rFonts w:ascii="Bookman Old Style" w:eastAsia="Times New Roman" w:hAnsi="Bookman Old Style" w:cs="Times New Roman"/>
      <w:sz w:val="24"/>
      <w:szCs w:val="20"/>
      <w:lang w:val="es-MX" w:eastAsia="es-ES"/>
    </w:rPr>
  </w:style>
  <w:style w:type="paragraph" w:styleId="Sangradetextonormal">
    <w:name w:val="Body Text Indent"/>
    <w:basedOn w:val="Normal"/>
    <w:link w:val="SangradetextonormalCar"/>
    <w:semiHidden/>
    <w:rsid w:val="001810A2"/>
    <w:pPr>
      <w:spacing w:line="360" w:lineRule="auto"/>
      <w:ind w:firstLine="1134"/>
    </w:pPr>
  </w:style>
  <w:style w:type="character" w:customStyle="1" w:styleId="SangradetextonormalCar">
    <w:name w:val="Sangría de texto normal Car"/>
    <w:basedOn w:val="Fuentedeprrafopredeter"/>
    <w:link w:val="Sangradetextonormal"/>
    <w:semiHidden/>
    <w:rsid w:val="001810A2"/>
    <w:rPr>
      <w:rFonts w:ascii="Arial" w:eastAsia="Times New Roman" w:hAnsi="Arial" w:cs="Times New Roman"/>
      <w:sz w:val="24"/>
      <w:szCs w:val="24"/>
      <w:lang w:val="es-ES" w:eastAsia="es-ES"/>
    </w:rPr>
  </w:style>
  <w:style w:type="paragraph" w:styleId="Piedepgina">
    <w:name w:val="footer"/>
    <w:basedOn w:val="Normal"/>
    <w:link w:val="PiedepginaCar"/>
    <w:semiHidden/>
    <w:rsid w:val="001810A2"/>
    <w:pPr>
      <w:tabs>
        <w:tab w:val="center" w:pos="4252"/>
        <w:tab w:val="right" w:pos="8504"/>
      </w:tabs>
    </w:pPr>
  </w:style>
  <w:style w:type="character" w:customStyle="1" w:styleId="PiedepginaCar">
    <w:name w:val="Pie de página Car"/>
    <w:basedOn w:val="Fuentedeprrafopredeter"/>
    <w:link w:val="Piedepgina"/>
    <w:semiHidden/>
    <w:rsid w:val="001810A2"/>
    <w:rPr>
      <w:rFonts w:ascii="Arial" w:eastAsia="Times New Roman" w:hAnsi="Arial" w:cs="Times New Roman"/>
      <w:sz w:val="24"/>
      <w:szCs w:val="24"/>
      <w:lang w:val="es-ES" w:eastAsia="es-ES"/>
    </w:rPr>
  </w:style>
  <w:style w:type="character" w:styleId="Nmerodepgina">
    <w:name w:val="page number"/>
    <w:basedOn w:val="Fuentedeprrafopredeter"/>
    <w:semiHidden/>
    <w:rsid w:val="001810A2"/>
  </w:style>
  <w:style w:type="character" w:styleId="Hipervnculo">
    <w:name w:val="Hyperlink"/>
    <w:uiPriority w:val="99"/>
    <w:unhideWhenUsed/>
    <w:rsid w:val="001810A2"/>
    <w:rPr>
      <w:color w:val="0000FF"/>
      <w:u w:val="single"/>
    </w:rPr>
  </w:style>
  <w:style w:type="paragraph" w:styleId="Textodeglobo">
    <w:name w:val="Balloon Text"/>
    <w:basedOn w:val="Normal"/>
    <w:link w:val="TextodegloboCar"/>
    <w:uiPriority w:val="99"/>
    <w:semiHidden/>
    <w:unhideWhenUsed/>
    <w:rsid w:val="00596EBD"/>
    <w:rPr>
      <w:rFonts w:ascii="Tahoma" w:hAnsi="Tahoma" w:cs="Tahoma"/>
      <w:sz w:val="16"/>
      <w:szCs w:val="16"/>
    </w:rPr>
  </w:style>
  <w:style w:type="character" w:customStyle="1" w:styleId="TextodegloboCar">
    <w:name w:val="Texto de globo Car"/>
    <w:basedOn w:val="Fuentedeprrafopredeter"/>
    <w:link w:val="Textodeglobo"/>
    <w:uiPriority w:val="99"/>
    <w:semiHidden/>
    <w:rsid w:val="00596EBD"/>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0A2"/>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1810A2"/>
    <w:pPr>
      <w:keepNext/>
      <w:spacing w:line="360" w:lineRule="auto"/>
      <w:jc w:val="center"/>
      <w:outlineLvl w:val="0"/>
    </w:pPr>
    <w:rPr>
      <w:b/>
      <w:bCs/>
    </w:rPr>
  </w:style>
  <w:style w:type="paragraph" w:styleId="Ttulo3">
    <w:name w:val="heading 3"/>
    <w:basedOn w:val="Normal"/>
    <w:next w:val="Normal"/>
    <w:link w:val="Ttulo3Car"/>
    <w:qFormat/>
    <w:rsid w:val="001810A2"/>
    <w:pPr>
      <w:keepNext/>
      <w:spacing w:line="360" w:lineRule="auto"/>
      <w:jc w:val="center"/>
      <w:outlineLvl w:val="2"/>
    </w:pPr>
    <w:rPr>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810A2"/>
    <w:rPr>
      <w:rFonts w:ascii="Arial" w:eastAsia="Times New Roman" w:hAnsi="Arial" w:cs="Times New Roman"/>
      <w:b/>
      <w:bCs/>
      <w:sz w:val="24"/>
      <w:szCs w:val="24"/>
      <w:lang w:val="es-ES" w:eastAsia="es-ES"/>
    </w:rPr>
  </w:style>
  <w:style w:type="character" w:customStyle="1" w:styleId="Ttulo3Car">
    <w:name w:val="Título 3 Car"/>
    <w:basedOn w:val="Fuentedeprrafopredeter"/>
    <w:link w:val="Ttulo3"/>
    <w:rsid w:val="001810A2"/>
    <w:rPr>
      <w:rFonts w:ascii="Arial" w:eastAsia="Times New Roman" w:hAnsi="Arial" w:cs="Times New Roman"/>
      <w:b/>
      <w:bCs/>
      <w:i/>
      <w:iCs/>
      <w:sz w:val="28"/>
      <w:szCs w:val="24"/>
      <w:lang w:val="es-ES" w:eastAsia="es-ES"/>
    </w:rPr>
  </w:style>
  <w:style w:type="paragraph" w:styleId="Textoindependiente">
    <w:name w:val="Body Text"/>
    <w:basedOn w:val="Normal"/>
    <w:link w:val="TextoindependienteCar"/>
    <w:semiHidden/>
    <w:rsid w:val="001810A2"/>
    <w:pPr>
      <w:spacing w:line="360" w:lineRule="auto"/>
      <w:jc w:val="both"/>
    </w:pPr>
    <w:rPr>
      <w:rFonts w:ascii="Bookman Old Style" w:hAnsi="Bookman Old Style"/>
      <w:szCs w:val="20"/>
      <w:lang w:val="es-MX"/>
    </w:rPr>
  </w:style>
  <w:style w:type="character" w:customStyle="1" w:styleId="TextoindependienteCar">
    <w:name w:val="Texto independiente Car"/>
    <w:basedOn w:val="Fuentedeprrafopredeter"/>
    <w:link w:val="Textoindependiente"/>
    <w:semiHidden/>
    <w:rsid w:val="001810A2"/>
    <w:rPr>
      <w:rFonts w:ascii="Bookman Old Style" w:eastAsia="Times New Roman" w:hAnsi="Bookman Old Style" w:cs="Times New Roman"/>
      <w:sz w:val="24"/>
      <w:szCs w:val="20"/>
      <w:lang w:val="es-MX" w:eastAsia="es-ES"/>
    </w:rPr>
  </w:style>
  <w:style w:type="paragraph" w:styleId="Sangradetextonormal">
    <w:name w:val="Body Text Indent"/>
    <w:basedOn w:val="Normal"/>
    <w:link w:val="SangradetextonormalCar"/>
    <w:semiHidden/>
    <w:rsid w:val="001810A2"/>
    <w:pPr>
      <w:spacing w:line="360" w:lineRule="auto"/>
      <w:ind w:firstLine="1134"/>
    </w:pPr>
  </w:style>
  <w:style w:type="character" w:customStyle="1" w:styleId="SangradetextonormalCar">
    <w:name w:val="Sangría de texto normal Car"/>
    <w:basedOn w:val="Fuentedeprrafopredeter"/>
    <w:link w:val="Sangradetextonormal"/>
    <w:semiHidden/>
    <w:rsid w:val="001810A2"/>
    <w:rPr>
      <w:rFonts w:ascii="Arial" w:eastAsia="Times New Roman" w:hAnsi="Arial" w:cs="Times New Roman"/>
      <w:sz w:val="24"/>
      <w:szCs w:val="24"/>
      <w:lang w:val="es-ES" w:eastAsia="es-ES"/>
    </w:rPr>
  </w:style>
  <w:style w:type="paragraph" w:styleId="Piedepgina">
    <w:name w:val="footer"/>
    <w:basedOn w:val="Normal"/>
    <w:link w:val="PiedepginaCar"/>
    <w:semiHidden/>
    <w:rsid w:val="001810A2"/>
    <w:pPr>
      <w:tabs>
        <w:tab w:val="center" w:pos="4252"/>
        <w:tab w:val="right" w:pos="8504"/>
      </w:tabs>
    </w:pPr>
  </w:style>
  <w:style w:type="character" w:customStyle="1" w:styleId="PiedepginaCar">
    <w:name w:val="Pie de página Car"/>
    <w:basedOn w:val="Fuentedeprrafopredeter"/>
    <w:link w:val="Piedepgina"/>
    <w:semiHidden/>
    <w:rsid w:val="001810A2"/>
    <w:rPr>
      <w:rFonts w:ascii="Arial" w:eastAsia="Times New Roman" w:hAnsi="Arial" w:cs="Times New Roman"/>
      <w:sz w:val="24"/>
      <w:szCs w:val="24"/>
      <w:lang w:val="es-ES" w:eastAsia="es-ES"/>
    </w:rPr>
  </w:style>
  <w:style w:type="character" w:styleId="Nmerodepgina">
    <w:name w:val="page number"/>
    <w:basedOn w:val="Fuentedeprrafopredeter"/>
    <w:semiHidden/>
    <w:rsid w:val="001810A2"/>
  </w:style>
  <w:style w:type="character" w:styleId="Hipervnculo">
    <w:name w:val="Hyperlink"/>
    <w:uiPriority w:val="99"/>
    <w:unhideWhenUsed/>
    <w:rsid w:val="001810A2"/>
    <w:rPr>
      <w:color w:val="0000FF"/>
      <w:u w:val="single"/>
    </w:rPr>
  </w:style>
  <w:style w:type="paragraph" w:styleId="Textodeglobo">
    <w:name w:val="Balloon Text"/>
    <w:basedOn w:val="Normal"/>
    <w:link w:val="TextodegloboCar"/>
    <w:uiPriority w:val="99"/>
    <w:semiHidden/>
    <w:unhideWhenUsed/>
    <w:rsid w:val="00596EBD"/>
    <w:rPr>
      <w:rFonts w:ascii="Tahoma" w:hAnsi="Tahoma" w:cs="Tahoma"/>
      <w:sz w:val="16"/>
      <w:szCs w:val="16"/>
    </w:rPr>
  </w:style>
  <w:style w:type="character" w:customStyle="1" w:styleId="TextodegloboCar">
    <w:name w:val="Texto de globo Car"/>
    <w:basedOn w:val="Fuentedeprrafopredeter"/>
    <w:link w:val="Textodeglobo"/>
    <w:uiPriority w:val="99"/>
    <w:semiHidden/>
    <w:rsid w:val="00596EBD"/>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3FCA8-EBA1-4098-90D1-5AFA5827E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933</Words>
  <Characters>5133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6054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tribunal1</cp:lastModifiedBy>
  <cp:revision>2</cp:revision>
  <cp:lastPrinted>2019-04-11T18:43:00Z</cp:lastPrinted>
  <dcterms:created xsi:type="dcterms:W3CDTF">2019-04-11T18:43:00Z</dcterms:created>
  <dcterms:modified xsi:type="dcterms:W3CDTF">2019-04-11T18:43:00Z</dcterms:modified>
</cp:coreProperties>
</file>