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45" w:rsidRPr="00370B45" w:rsidRDefault="00370B45" w:rsidP="00370B4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370B45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810DD5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E43CC6">
        <w:rPr>
          <w:rFonts w:ascii="Arial" w:hAnsi="Arial" w:cs="Arial"/>
          <w:b/>
          <w:sz w:val="28"/>
          <w:szCs w:val="28"/>
          <w:lang w:val="es-ES_tradnl"/>
        </w:rPr>
        <w:t>1015</w:t>
      </w:r>
      <w:r w:rsidRPr="00370B45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370B45" w:rsidRPr="00370B45" w:rsidRDefault="00370B45" w:rsidP="00370B4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370B45" w:rsidRPr="00370B45" w:rsidRDefault="00370B45" w:rsidP="00370B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70B4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70B45" w:rsidRPr="00370B45" w:rsidRDefault="00370B45" w:rsidP="00370B4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0B45" w:rsidRPr="00370B45" w:rsidRDefault="00370B45" w:rsidP="00370B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70B4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70B45" w:rsidRPr="00370B45" w:rsidRDefault="00370B45" w:rsidP="00370B4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0B45" w:rsidRPr="00370B45" w:rsidRDefault="00370B45" w:rsidP="00370B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70B45">
        <w:rPr>
          <w:rFonts w:ascii="Arial" w:hAnsi="Arial" w:cs="Arial"/>
          <w:b/>
          <w:sz w:val="24"/>
          <w:szCs w:val="24"/>
          <w:lang w:val="es-ES_tradnl"/>
        </w:rPr>
        <w:t>EN SESION DE FECHA 25 DE ABRIL DE 2019</w:t>
      </w:r>
    </w:p>
    <w:p w:rsidR="00370B45" w:rsidRPr="00370B45" w:rsidRDefault="00370B45" w:rsidP="00370B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0B45" w:rsidRPr="00810DD5" w:rsidRDefault="00370B45" w:rsidP="00370B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0DD5">
        <w:rPr>
          <w:rFonts w:ascii="Arial" w:hAnsi="Arial" w:cs="Arial"/>
          <w:b/>
          <w:sz w:val="24"/>
          <w:szCs w:val="24"/>
        </w:rPr>
        <w:t>(E. E. Nº</w:t>
      </w:r>
      <w:r w:rsidR="00810DD5">
        <w:rPr>
          <w:rFonts w:ascii="Arial" w:hAnsi="Arial" w:cs="Arial"/>
          <w:b/>
          <w:sz w:val="24"/>
          <w:szCs w:val="24"/>
        </w:rPr>
        <w:t xml:space="preserve"> </w:t>
      </w:r>
      <w:r w:rsidR="00E43CC6" w:rsidRPr="00145747">
        <w:rPr>
          <w:rFonts w:ascii="Arial" w:eastAsia="Times New Roman" w:hAnsi="Arial" w:cs="Arial"/>
          <w:b/>
          <w:sz w:val="24"/>
          <w:szCs w:val="24"/>
          <w:lang w:val="es-ES" w:eastAsia="ar-SA"/>
        </w:rPr>
        <w:t>2018-17-1-0002436</w:t>
      </w:r>
      <w:r w:rsidRPr="00810DD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810DD5">
        <w:rPr>
          <w:rFonts w:ascii="Arial" w:hAnsi="Arial" w:cs="Arial"/>
          <w:b/>
          <w:sz w:val="24"/>
          <w:szCs w:val="24"/>
        </w:rPr>
        <w:t>Ent</w:t>
      </w:r>
      <w:proofErr w:type="spellEnd"/>
      <w:r w:rsidRPr="00810DD5">
        <w:rPr>
          <w:rFonts w:ascii="Arial" w:hAnsi="Arial" w:cs="Arial"/>
          <w:b/>
          <w:sz w:val="24"/>
          <w:szCs w:val="24"/>
        </w:rPr>
        <w:t xml:space="preserve">. N° </w:t>
      </w:r>
      <w:r w:rsidR="00E43CC6" w:rsidRPr="00810DD5">
        <w:rPr>
          <w:rFonts w:ascii="Arial" w:hAnsi="Arial" w:cs="Arial"/>
          <w:b/>
          <w:sz w:val="24"/>
          <w:szCs w:val="24"/>
        </w:rPr>
        <w:t>1818/1</w:t>
      </w:r>
      <w:r w:rsidR="009A7935" w:rsidRPr="00810DD5">
        <w:rPr>
          <w:rFonts w:ascii="Arial" w:hAnsi="Arial" w:cs="Arial"/>
          <w:b/>
          <w:sz w:val="24"/>
          <w:szCs w:val="24"/>
        </w:rPr>
        <w:t>8</w:t>
      </w:r>
      <w:r w:rsidRPr="00810DD5">
        <w:rPr>
          <w:rFonts w:ascii="Arial" w:hAnsi="Arial" w:cs="Arial"/>
          <w:b/>
          <w:sz w:val="24"/>
          <w:szCs w:val="24"/>
        </w:rPr>
        <w:t>)</w:t>
      </w:r>
    </w:p>
    <w:p w:rsidR="00E43CC6" w:rsidRDefault="00E43CC6" w:rsidP="002C78F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</w:p>
    <w:p w:rsidR="00145747" w:rsidRPr="00145747" w:rsidRDefault="00145747" w:rsidP="00E43CC6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145747">
        <w:rPr>
          <w:rFonts w:ascii="Arial" w:eastAsia="Times New Roman" w:hAnsi="Arial" w:cs="Arial"/>
          <w:b/>
          <w:sz w:val="24"/>
          <w:szCs w:val="24"/>
          <w:lang w:val="es-ES" w:eastAsia="ar-SA"/>
        </w:rPr>
        <w:t>VISTO:</w:t>
      </w:r>
      <w:r w:rsidRPr="00145747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los Estados Financieros de la Intendencia de Paysandú correspondientes al ejercicio 2017;</w:t>
      </w:r>
    </w:p>
    <w:p w:rsidR="00145747" w:rsidRPr="00145747" w:rsidRDefault="00145747" w:rsidP="00E43CC6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145747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RESULTANDO: </w:t>
      </w:r>
      <w:r w:rsidRPr="00145747">
        <w:rPr>
          <w:rFonts w:ascii="Arial" w:eastAsia="Times New Roman" w:hAnsi="Arial" w:cs="Arial"/>
          <w:sz w:val="24"/>
          <w:szCs w:val="24"/>
          <w:lang w:val="es-ES" w:eastAsia="ar-SA"/>
        </w:rPr>
        <w:t>que el examen se efectuó de acuerdo con los Principios Fundamentales de Auditoría (ISSAI 100 y 200) y las Directrices de Auditoría Financiera de la Organización Internacional de Entidades Fiscalizadoras Superiores (INTOSAI), habiéndose llevado a cabo los procedimientos considerados necesarios en las circunstancias;</w:t>
      </w:r>
    </w:p>
    <w:p w:rsidR="00145747" w:rsidRPr="00145747" w:rsidRDefault="00145747" w:rsidP="00E43CC6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145747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CONSIDERANDO: </w:t>
      </w:r>
      <w:r w:rsidRPr="00145747">
        <w:rPr>
          <w:rFonts w:ascii="Arial" w:eastAsia="Times New Roman" w:hAnsi="Arial" w:cs="Arial"/>
          <w:sz w:val="24"/>
          <w:szCs w:val="24"/>
          <w:lang w:val="es-ES" w:eastAsia="ar-SA"/>
        </w:rPr>
        <w:t>que las conclusiones y evidencias obtenidas son las que se expresan en el Informe de Auditoría, que incluye Dictamen e Informe a la Administración;</w:t>
      </w:r>
    </w:p>
    <w:p w:rsidR="00145747" w:rsidRPr="00145747" w:rsidRDefault="00145747" w:rsidP="00E43CC6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145747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ATENTO: </w:t>
      </w:r>
      <w:r w:rsidRPr="00145747">
        <w:rPr>
          <w:rFonts w:ascii="Arial" w:eastAsia="Times New Roman" w:hAnsi="Arial" w:cs="Arial"/>
          <w:sz w:val="24"/>
          <w:szCs w:val="24"/>
          <w:lang w:val="es-ES" w:eastAsia="ar-SA"/>
        </w:rPr>
        <w:t>a lo dispuesto por el Artículo 211 Literal C) de la Constitución de la República y Ordenanza Nº 89 de este Cuerpo;</w:t>
      </w:r>
    </w:p>
    <w:p w:rsidR="00145747" w:rsidRPr="00145747" w:rsidRDefault="00145747" w:rsidP="00E43CC6">
      <w:pPr>
        <w:keepNext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  <w:r w:rsidRPr="00145747">
        <w:rPr>
          <w:rFonts w:ascii="Arial" w:eastAsia="Times New Roman" w:hAnsi="Arial" w:cs="Arial"/>
          <w:b/>
          <w:sz w:val="24"/>
          <w:szCs w:val="24"/>
          <w:lang w:val="es-ES" w:eastAsia="ar-SA"/>
        </w:rPr>
        <w:t>EL TRIBUNAL ACUERDA</w:t>
      </w:r>
    </w:p>
    <w:p w:rsidR="00145747" w:rsidRPr="00145747" w:rsidRDefault="00145747" w:rsidP="00145747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145747">
        <w:rPr>
          <w:rFonts w:ascii="Arial" w:eastAsia="Times New Roman" w:hAnsi="Arial" w:cs="Arial"/>
          <w:sz w:val="24"/>
          <w:szCs w:val="24"/>
          <w:lang w:val="es-ES" w:eastAsia="ar-SA"/>
        </w:rPr>
        <w:t>Expedirse en los términos del Info</w:t>
      </w:r>
      <w:r w:rsidR="00810DD5">
        <w:rPr>
          <w:rFonts w:ascii="Arial" w:eastAsia="Times New Roman" w:hAnsi="Arial" w:cs="Arial"/>
          <w:sz w:val="24"/>
          <w:szCs w:val="24"/>
          <w:lang w:val="es-ES" w:eastAsia="ar-SA"/>
        </w:rPr>
        <w:t>rme de Auditoría que se adjunta;</w:t>
      </w:r>
    </w:p>
    <w:p w:rsidR="00145747" w:rsidRPr="00145747" w:rsidRDefault="00145747" w:rsidP="00145747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145747">
        <w:rPr>
          <w:rFonts w:ascii="Arial" w:eastAsia="Times New Roman" w:hAnsi="Arial" w:cs="Arial"/>
          <w:sz w:val="24"/>
          <w:szCs w:val="24"/>
          <w:lang w:val="es-ES" w:eastAsia="ar-SA"/>
        </w:rPr>
        <w:t xml:space="preserve">Comunicar la presente Resolución a la Junta Departamental </w:t>
      </w:r>
      <w:r w:rsidR="00810DD5">
        <w:rPr>
          <w:rFonts w:ascii="Arial" w:eastAsia="Times New Roman" w:hAnsi="Arial" w:cs="Arial"/>
          <w:sz w:val="24"/>
          <w:szCs w:val="24"/>
          <w:lang w:val="es-ES" w:eastAsia="ar-SA"/>
        </w:rPr>
        <w:t>y a la Intendencia de Paysandú;</w:t>
      </w:r>
    </w:p>
    <w:p w:rsidR="00145747" w:rsidRPr="00145747" w:rsidRDefault="00145747" w:rsidP="00145747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145747">
        <w:rPr>
          <w:rFonts w:ascii="Arial" w:eastAsia="Times New Roman" w:hAnsi="Arial" w:cs="Arial"/>
          <w:sz w:val="24"/>
          <w:szCs w:val="24"/>
          <w:lang w:val="es-ES" w:eastAsia="ar-SA"/>
        </w:rPr>
        <w:t>Da</w:t>
      </w:r>
      <w:r w:rsidR="00810DD5">
        <w:rPr>
          <w:rFonts w:ascii="Arial" w:eastAsia="Times New Roman" w:hAnsi="Arial" w:cs="Arial"/>
          <w:sz w:val="24"/>
          <w:szCs w:val="24"/>
          <w:lang w:val="es-ES" w:eastAsia="ar-SA"/>
        </w:rPr>
        <w:t>r cuenta a la Asamblea General.</w:t>
      </w:r>
    </w:p>
    <w:p w:rsidR="00145747" w:rsidRDefault="00E43CC6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  <w:r>
        <w:rPr>
          <w:rFonts w:ascii="Arial" w:eastAsia="Times New Roman" w:hAnsi="Arial" w:cs="Arial"/>
          <w:sz w:val="20"/>
          <w:szCs w:val="20"/>
          <w:lang w:val="es-ES" w:eastAsia="ar-SA"/>
        </w:rPr>
        <w:t>CLC</w:t>
      </w: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Pr="00CC1763" w:rsidRDefault="00810DD5" w:rsidP="001748D0">
      <w:pPr>
        <w:spacing w:line="360" w:lineRule="auto"/>
        <w:jc w:val="center"/>
        <w:rPr>
          <w:rFonts w:ascii="Arial" w:eastAsia="Times New Roman" w:hAnsi="Arial" w:cs="Arial"/>
          <w:b/>
          <w:sz w:val="24"/>
          <w:lang w:eastAsia="es-UY"/>
        </w:rPr>
      </w:pPr>
      <w:r>
        <w:rPr>
          <w:rFonts w:ascii="Arial" w:eastAsia="Times New Roman" w:hAnsi="Arial" w:cs="Arial"/>
          <w:b/>
          <w:sz w:val="24"/>
          <w:lang w:eastAsia="es-UY"/>
        </w:rPr>
        <w:lastRenderedPageBreak/>
        <w:t>DICTAMEN</w:t>
      </w:r>
    </w:p>
    <w:p w:rsidR="00810DD5" w:rsidRPr="00CC1763" w:rsidRDefault="00810DD5" w:rsidP="001748D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es-UY"/>
        </w:rPr>
      </w:pPr>
      <w:r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Abstención de </w:t>
      </w:r>
      <w:r w:rsidRPr="00CC1763">
        <w:rPr>
          <w:rFonts w:ascii="Arial" w:eastAsia="Times New Roman" w:hAnsi="Arial" w:cs="Arial"/>
          <w:b/>
          <w:sz w:val="24"/>
          <w:szCs w:val="24"/>
          <w:lang w:eastAsia="es-UY"/>
        </w:rPr>
        <w:t>Opinión</w:t>
      </w:r>
    </w:p>
    <w:p w:rsidR="00810DD5" w:rsidRPr="001748D0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1748D0">
        <w:rPr>
          <w:rFonts w:ascii="Arial" w:eastAsia="Times New Roman" w:hAnsi="Arial" w:cs="Arial"/>
          <w:sz w:val="24"/>
          <w:szCs w:val="24"/>
          <w:lang w:eastAsia="es-UY"/>
        </w:rPr>
        <w:t xml:space="preserve">El Tribunal de Cuentas ha auditado los estados financieros de la Intendencia de Paysandú los que comprenden el Estado de Situación Financiera al 31/12/2017, </w:t>
      </w:r>
      <w:r>
        <w:rPr>
          <w:rFonts w:ascii="Arial" w:eastAsia="Times New Roman" w:hAnsi="Arial" w:cs="Arial"/>
          <w:sz w:val="24"/>
          <w:szCs w:val="24"/>
          <w:lang w:eastAsia="es-UY"/>
        </w:rPr>
        <w:t>el</w:t>
      </w:r>
      <w:r w:rsidRPr="001748D0">
        <w:rPr>
          <w:rFonts w:ascii="Arial" w:eastAsia="Times New Roman" w:hAnsi="Arial" w:cs="Arial"/>
          <w:sz w:val="24"/>
          <w:szCs w:val="24"/>
          <w:lang w:eastAsia="es-UY"/>
        </w:rPr>
        <w:t xml:space="preserve"> correspondiente Estado de Resultados, </w:t>
      </w:r>
      <w:r>
        <w:rPr>
          <w:rFonts w:ascii="Arial" w:hAnsi="Arial"/>
        </w:rPr>
        <w:t xml:space="preserve">Cuadro de Bienes de Uso </w:t>
      </w:r>
      <w:r w:rsidRPr="001748D0">
        <w:rPr>
          <w:rFonts w:ascii="Arial" w:eastAsia="Times New Roman" w:hAnsi="Arial" w:cs="Arial"/>
          <w:sz w:val="24"/>
          <w:szCs w:val="24"/>
          <w:lang w:eastAsia="es-UY"/>
        </w:rPr>
        <w:t>por el ejercicio anual finalizado en esa fecha, las notas de políticas contables significativas aplicadas y otras notas explicativas</w:t>
      </w:r>
      <w:r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:rsidR="00810DD5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4F2B00">
        <w:rPr>
          <w:rFonts w:ascii="Arial" w:eastAsia="Times New Roman" w:hAnsi="Arial" w:cs="Arial"/>
          <w:sz w:val="24"/>
          <w:szCs w:val="24"/>
          <w:lang w:eastAsia="es-UY"/>
        </w:rPr>
        <w:t xml:space="preserve">Debido a </w:t>
      </w:r>
      <w:r>
        <w:rPr>
          <w:rFonts w:ascii="Arial" w:eastAsia="Times New Roman" w:hAnsi="Arial" w:cs="Arial"/>
          <w:sz w:val="24"/>
          <w:szCs w:val="24"/>
          <w:lang w:eastAsia="es-UY"/>
        </w:rPr>
        <w:t>la importancia</w:t>
      </w:r>
      <w:r w:rsidRPr="00B24FD0">
        <w:rPr>
          <w:rFonts w:ascii="Arial" w:eastAsia="Times New Roman" w:hAnsi="Arial" w:cs="Arial"/>
          <w:sz w:val="24"/>
          <w:szCs w:val="24"/>
          <w:lang w:eastAsia="es-UY"/>
        </w:rPr>
        <w:t xml:space="preserve"> expresada en el </w:t>
      </w:r>
      <w:r w:rsidRPr="004F2B00">
        <w:rPr>
          <w:rFonts w:ascii="Arial" w:eastAsia="Times New Roman" w:hAnsi="Arial" w:cs="Arial"/>
          <w:sz w:val="24"/>
          <w:szCs w:val="24"/>
          <w:lang w:eastAsia="es-UY"/>
        </w:rPr>
        <w:t xml:space="preserve">párrafo Bases para la Abstención de Opinión, </w:t>
      </w:r>
      <w:r>
        <w:rPr>
          <w:rFonts w:ascii="Arial" w:eastAsia="Times New Roman" w:hAnsi="Arial" w:cs="Arial"/>
          <w:sz w:val="24"/>
          <w:szCs w:val="24"/>
          <w:lang w:eastAsia="es-UY"/>
        </w:rPr>
        <w:t>y que no fue posible aplicar otros procedimientos de auditoria para obtener evidencia respecto a la razonabilidad de los saldos expuestos en los estados financieros, el alcance de la auditoria no es suficiente para permitir expresar, y por lo tanto no se expresa, una opinión sobre los estados financieros referidos precedentemente.</w:t>
      </w:r>
    </w:p>
    <w:p w:rsidR="00810DD5" w:rsidRPr="00CC1763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UY"/>
        </w:rPr>
      </w:pPr>
    </w:p>
    <w:p w:rsidR="00810DD5" w:rsidRPr="00B70E7B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UY"/>
        </w:rPr>
      </w:pPr>
      <w:r w:rsidRPr="00B70E7B">
        <w:rPr>
          <w:rFonts w:ascii="Arial" w:eastAsia="Times New Roman" w:hAnsi="Arial" w:cs="Arial"/>
          <w:b/>
          <w:sz w:val="24"/>
          <w:szCs w:val="24"/>
          <w:lang w:eastAsia="es-UY"/>
        </w:rPr>
        <w:t>Opinión respecto al cumplimiento de la normativa legal aplicable</w:t>
      </w:r>
    </w:p>
    <w:p w:rsidR="00810DD5" w:rsidRPr="00B70E7B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s-UY"/>
        </w:rPr>
      </w:pPr>
      <w:r w:rsidRPr="00B70E7B">
        <w:rPr>
          <w:rFonts w:ascii="Arial" w:eastAsia="Times New Roman" w:hAnsi="Arial" w:cs="Arial"/>
          <w:sz w:val="24"/>
          <w:szCs w:val="24"/>
          <w:lang w:eastAsia="es-UY"/>
        </w:rPr>
        <w:t xml:space="preserve">En el curso de la auditoría se han constatado </w:t>
      </w:r>
      <w:r>
        <w:rPr>
          <w:rFonts w:ascii="Arial" w:eastAsia="Times New Roman" w:hAnsi="Arial" w:cs="Arial"/>
          <w:sz w:val="24"/>
          <w:szCs w:val="24"/>
          <w:lang w:eastAsia="es-UY"/>
        </w:rPr>
        <w:t>el</w:t>
      </w:r>
      <w:r w:rsidR="00306739">
        <w:rPr>
          <w:rFonts w:ascii="Arial" w:eastAsia="Times New Roman" w:hAnsi="Arial" w:cs="Arial"/>
          <w:sz w:val="24"/>
          <w:szCs w:val="24"/>
          <w:lang w:eastAsia="es-UY"/>
        </w:rPr>
        <w:t xml:space="preserve"> siguiente incumplimiento:</w:t>
      </w:r>
    </w:p>
    <w:p w:rsidR="00810DD5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4F2B00">
        <w:rPr>
          <w:rFonts w:ascii="Arial" w:eastAsia="Times New Roman" w:hAnsi="Arial" w:cs="Arial"/>
          <w:sz w:val="24"/>
          <w:szCs w:val="24"/>
          <w:lang w:eastAsia="es-UY"/>
        </w:rPr>
        <w:t>Numeral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es </w:t>
      </w:r>
      <w:r w:rsidRPr="004F2B00">
        <w:rPr>
          <w:rFonts w:ascii="Arial" w:eastAsia="Times New Roman" w:hAnsi="Arial" w:cs="Arial"/>
          <w:sz w:val="24"/>
          <w:szCs w:val="24"/>
          <w:lang w:eastAsia="es-UY"/>
        </w:rPr>
        <w:t>1.</w:t>
      </w:r>
      <w:r>
        <w:rPr>
          <w:rFonts w:ascii="Arial" w:eastAsia="Times New Roman" w:hAnsi="Arial" w:cs="Arial"/>
          <w:sz w:val="24"/>
          <w:szCs w:val="24"/>
          <w:lang w:eastAsia="es-UY"/>
        </w:rPr>
        <w:t>6</w:t>
      </w:r>
      <w:r w:rsidRPr="004F2B00">
        <w:rPr>
          <w:rFonts w:ascii="Arial" w:eastAsia="Times New Roman" w:hAnsi="Arial" w:cs="Arial"/>
          <w:sz w:val="24"/>
          <w:szCs w:val="24"/>
          <w:lang w:eastAsia="es-UY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y 1.7) </w:t>
      </w:r>
      <w:r w:rsidRPr="004F2B00">
        <w:rPr>
          <w:rFonts w:ascii="Arial" w:eastAsia="Times New Roman" w:hAnsi="Arial" w:cs="Arial"/>
          <w:sz w:val="24"/>
          <w:szCs w:val="24"/>
          <w:lang w:eastAsia="es-UY"/>
        </w:rPr>
        <w:t>Ordenanza 89</w:t>
      </w:r>
      <w:r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:rsidR="00810DD5" w:rsidRPr="004F2B00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810DD5" w:rsidRPr="00B70E7B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UY"/>
        </w:rPr>
      </w:pPr>
      <w:r w:rsidRPr="00B70E7B">
        <w:rPr>
          <w:rFonts w:ascii="Arial" w:eastAsia="Times New Roman" w:hAnsi="Arial" w:cs="Arial"/>
          <w:b/>
          <w:sz w:val="24"/>
          <w:szCs w:val="24"/>
          <w:lang w:eastAsia="es-UY"/>
        </w:rPr>
        <w:t>Bases para la Abstención de Opinión</w:t>
      </w:r>
      <w:r w:rsidRPr="00305153"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 respecto de los Estados de Resultado del Ejercicio y de Situación Patrimonial al 31/12/</w:t>
      </w:r>
      <w:r>
        <w:rPr>
          <w:rFonts w:ascii="Arial" w:eastAsia="Times New Roman" w:hAnsi="Arial" w:cs="Arial"/>
          <w:b/>
          <w:sz w:val="24"/>
          <w:szCs w:val="24"/>
          <w:lang w:eastAsia="es-UY"/>
        </w:rPr>
        <w:t>20</w:t>
      </w:r>
      <w:r w:rsidRPr="00305153">
        <w:rPr>
          <w:rFonts w:ascii="Arial" w:eastAsia="Times New Roman" w:hAnsi="Arial" w:cs="Arial"/>
          <w:b/>
          <w:sz w:val="24"/>
          <w:szCs w:val="24"/>
          <w:lang w:eastAsia="es-UY"/>
        </w:rPr>
        <w:t>17</w:t>
      </w:r>
    </w:p>
    <w:p w:rsidR="00810DD5" w:rsidRDefault="00810DD5" w:rsidP="000D74C3">
      <w:pPr>
        <w:pStyle w:val="Textoindependiente"/>
        <w:spacing w:after="0" w:line="360" w:lineRule="auto"/>
        <w:rPr>
          <w:bCs/>
          <w:szCs w:val="24"/>
          <w:lang w:val="es-ES" w:eastAsia="es-ES"/>
        </w:rPr>
      </w:pPr>
      <w:r w:rsidRPr="009C0439">
        <w:rPr>
          <w:bCs/>
          <w:szCs w:val="24"/>
          <w:lang w:val="es-ES" w:eastAsia="es-ES"/>
        </w:rPr>
        <w:t xml:space="preserve">En el Estado de Resultados </w:t>
      </w:r>
      <w:r>
        <w:rPr>
          <w:bCs/>
          <w:szCs w:val="24"/>
          <w:lang w:val="es-ES" w:eastAsia="es-ES"/>
        </w:rPr>
        <w:t xml:space="preserve">del período 01/01/2017 </w:t>
      </w:r>
      <w:r w:rsidRPr="009C0439">
        <w:rPr>
          <w:bCs/>
          <w:szCs w:val="24"/>
          <w:lang w:val="es-ES" w:eastAsia="es-ES"/>
        </w:rPr>
        <w:t xml:space="preserve">al 31/12/2017 se </w:t>
      </w:r>
      <w:r>
        <w:rPr>
          <w:bCs/>
          <w:szCs w:val="24"/>
          <w:lang w:val="es-ES" w:eastAsia="es-ES"/>
        </w:rPr>
        <w:t>exponen los</w:t>
      </w:r>
      <w:r w:rsidRPr="009C0439">
        <w:rPr>
          <w:bCs/>
          <w:szCs w:val="24"/>
          <w:lang w:val="es-ES" w:eastAsia="es-ES"/>
        </w:rPr>
        <w:t xml:space="preserve"> rubros de </w:t>
      </w:r>
      <w:proofErr w:type="spellStart"/>
      <w:r w:rsidRPr="009C0439">
        <w:rPr>
          <w:bCs/>
          <w:szCs w:val="24"/>
          <w:lang w:val="es-ES" w:eastAsia="es-ES"/>
        </w:rPr>
        <w:t>extrapresupuestos</w:t>
      </w:r>
      <w:proofErr w:type="spellEnd"/>
      <w:r w:rsidRPr="009C0439">
        <w:rPr>
          <w:bCs/>
          <w:szCs w:val="24"/>
          <w:lang w:val="es-ES" w:eastAsia="es-ES"/>
        </w:rPr>
        <w:t xml:space="preserve"> ingreso</w:t>
      </w:r>
      <w:r w:rsidRPr="00B24FD0">
        <w:rPr>
          <w:bCs/>
          <w:szCs w:val="24"/>
          <w:lang w:val="es-ES" w:eastAsia="es-ES"/>
        </w:rPr>
        <w:t>s</w:t>
      </w:r>
      <w:r>
        <w:rPr>
          <w:bCs/>
          <w:szCs w:val="24"/>
          <w:lang w:val="es-ES" w:eastAsia="es-ES"/>
        </w:rPr>
        <w:t>, egresos y pagos realizados</w:t>
      </w:r>
      <w:r w:rsidRPr="009C0439">
        <w:rPr>
          <w:bCs/>
          <w:szCs w:val="24"/>
          <w:lang w:val="es-ES" w:eastAsia="es-ES"/>
        </w:rPr>
        <w:t xml:space="preserve"> por</w:t>
      </w:r>
      <w:r>
        <w:rPr>
          <w:bCs/>
          <w:szCs w:val="24"/>
          <w:lang w:val="es-ES" w:eastAsia="es-ES"/>
        </w:rPr>
        <w:t xml:space="preserve">        </w:t>
      </w:r>
      <w:r w:rsidRPr="009C0439">
        <w:rPr>
          <w:bCs/>
          <w:szCs w:val="24"/>
          <w:lang w:val="es-ES" w:eastAsia="es-ES"/>
        </w:rPr>
        <w:t xml:space="preserve"> $ 150:96</w:t>
      </w:r>
      <w:r>
        <w:rPr>
          <w:bCs/>
          <w:szCs w:val="24"/>
          <w:lang w:val="es-ES" w:eastAsia="es-ES"/>
        </w:rPr>
        <w:t>8</w:t>
      </w:r>
      <w:r w:rsidRPr="009C0439">
        <w:rPr>
          <w:bCs/>
          <w:szCs w:val="24"/>
          <w:lang w:val="es-ES" w:eastAsia="es-ES"/>
        </w:rPr>
        <w:t>.363, $ 85:786.178 y $ 29:566.136</w:t>
      </w:r>
      <w:r>
        <w:rPr>
          <w:bCs/>
          <w:szCs w:val="24"/>
          <w:lang w:val="es-ES" w:eastAsia="es-ES"/>
        </w:rPr>
        <w:t xml:space="preserve"> respectivamente</w:t>
      </w:r>
      <w:r w:rsidRPr="009C0439">
        <w:rPr>
          <w:bCs/>
          <w:szCs w:val="24"/>
          <w:lang w:val="es-ES" w:eastAsia="es-ES"/>
        </w:rPr>
        <w:t xml:space="preserve">. El neto de </w:t>
      </w:r>
      <w:r>
        <w:rPr>
          <w:bCs/>
          <w:szCs w:val="24"/>
          <w:lang w:val="es-ES" w:eastAsia="es-ES"/>
        </w:rPr>
        <w:t xml:space="preserve">dichos rubros </w:t>
      </w:r>
      <w:r w:rsidRPr="009C0439">
        <w:rPr>
          <w:bCs/>
          <w:szCs w:val="24"/>
          <w:lang w:val="es-ES" w:eastAsia="es-ES"/>
        </w:rPr>
        <w:t xml:space="preserve">representa </w:t>
      </w:r>
      <w:r w:rsidRPr="00B24FD0">
        <w:rPr>
          <w:bCs/>
          <w:szCs w:val="24"/>
          <w:lang w:val="es-ES" w:eastAsia="es-ES"/>
        </w:rPr>
        <w:t xml:space="preserve">un </w:t>
      </w:r>
      <w:r w:rsidRPr="009C0439">
        <w:rPr>
          <w:bCs/>
          <w:szCs w:val="24"/>
          <w:lang w:val="es-ES" w:eastAsia="es-ES"/>
        </w:rPr>
        <w:t>3</w:t>
      </w:r>
      <w:r>
        <w:rPr>
          <w:bCs/>
          <w:szCs w:val="24"/>
          <w:lang w:val="es-ES" w:eastAsia="es-ES"/>
        </w:rPr>
        <w:t>00</w:t>
      </w:r>
      <w:r w:rsidRPr="009C0439">
        <w:rPr>
          <w:bCs/>
          <w:szCs w:val="24"/>
          <w:lang w:val="es-ES" w:eastAsia="es-ES"/>
        </w:rPr>
        <w:t xml:space="preserve"> </w:t>
      </w:r>
      <w:r>
        <w:rPr>
          <w:bCs/>
          <w:szCs w:val="24"/>
          <w:lang w:val="es-ES" w:eastAsia="es-ES"/>
        </w:rPr>
        <w:t>%</w:t>
      </w:r>
      <w:r w:rsidRPr="009C0439">
        <w:rPr>
          <w:bCs/>
          <w:szCs w:val="24"/>
          <w:lang w:val="es-ES" w:eastAsia="es-ES"/>
        </w:rPr>
        <w:t xml:space="preserve"> </w:t>
      </w:r>
      <w:r w:rsidRPr="00B24FD0">
        <w:rPr>
          <w:bCs/>
          <w:szCs w:val="24"/>
          <w:lang w:val="es-ES" w:eastAsia="es-ES"/>
        </w:rPr>
        <w:t>d</w:t>
      </w:r>
      <w:r w:rsidRPr="009C0439">
        <w:rPr>
          <w:bCs/>
          <w:szCs w:val="24"/>
          <w:lang w:val="es-ES" w:eastAsia="es-ES"/>
        </w:rPr>
        <w:t xml:space="preserve">el resultado del período. </w:t>
      </w:r>
      <w:r>
        <w:rPr>
          <w:bCs/>
          <w:szCs w:val="24"/>
          <w:lang w:val="es-ES" w:eastAsia="es-ES"/>
        </w:rPr>
        <w:t xml:space="preserve">El Organismo no ha proporcionado la información correspondiente a efectos de poder opinar sobre la razonabilidad de estos importes ni se han podido aplicar otros procedimientos de </w:t>
      </w:r>
      <w:r w:rsidRPr="00B24FD0">
        <w:rPr>
          <w:bCs/>
          <w:szCs w:val="24"/>
          <w:lang w:val="es-ES" w:eastAsia="es-ES"/>
        </w:rPr>
        <w:t>auditoría</w:t>
      </w:r>
      <w:r>
        <w:rPr>
          <w:bCs/>
          <w:szCs w:val="24"/>
          <w:lang w:val="es-ES" w:eastAsia="es-ES"/>
        </w:rPr>
        <w:t xml:space="preserve"> alternativos.</w:t>
      </w:r>
    </w:p>
    <w:p w:rsidR="00810DD5" w:rsidRDefault="00810DD5" w:rsidP="000D74C3">
      <w:pPr>
        <w:pStyle w:val="Textoindependiente"/>
        <w:spacing w:after="0" w:line="360" w:lineRule="auto"/>
        <w:rPr>
          <w:szCs w:val="24"/>
        </w:rPr>
      </w:pPr>
      <w:r w:rsidRPr="00B24FD0">
        <w:rPr>
          <w:szCs w:val="24"/>
        </w:rPr>
        <w:t>E</w:t>
      </w:r>
      <w:r>
        <w:rPr>
          <w:szCs w:val="24"/>
        </w:rPr>
        <w:t>n e</w:t>
      </w:r>
      <w:r w:rsidRPr="009C0439">
        <w:rPr>
          <w:szCs w:val="24"/>
        </w:rPr>
        <w:t xml:space="preserve">l Estado de Situación Patrimonial al 31/12/2017 </w:t>
      </w:r>
      <w:r>
        <w:rPr>
          <w:szCs w:val="24"/>
        </w:rPr>
        <w:t xml:space="preserve">se </w:t>
      </w:r>
      <w:r w:rsidRPr="009C0439">
        <w:rPr>
          <w:szCs w:val="24"/>
        </w:rPr>
        <w:t xml:space="preserve">expone </w:t>
      </w:r>
      <w:r>
        <w:rPr>
          <w:szCs w:val="24"/>
        </w:rPr>
        <w:t xml:space="preserve">el pasivo de      </w:t>
      </w:r>
      <w:r w:rsidRPr="009C0439">
        <w:rPr>
          <w:szCs w:val="24"/>
        </w:rPr>
        <w:t xml:space="preserve">$ </w:t>
      </w:r>
      <w:r>
        <w:rPr>
          <w:szCs w:val="24"/>
        </w:rPr>
        <w:t>656</w:t>
      </w:r>
      <w:r w:rsidRPr="009C0439">
        <w:rPr>
          <w:szCs w:val="24"/>
        </w:rPr>
        <w:t>:</w:t>
      </w:r>
      <w:r>
        <w:rPr>
          <w:szCs w:val="24"/>
        </w:rPr>
        <w:t>957</w:t>
      </w:r>
      <w:r w:rsidRPr="009C0439">
        <w:rPr>
          <w:szCs w:val="24"/>
        </w:rPr>
        <w:t>.</w:t>
      </w:r>
      <w:r>
        <w:rPr>
          <w:szCs w:val="24"/>
        </w:rPr>
        <w:t xml:space="preserve">536 mientras que su </w:t>
      </w:r>
      <w:r w:rsidRPr="009C0439">
        <w:rPr>
          <w:szCs w:val="24"/>
        </w:rPr>
        <w:t>saldo contable</w:t>
      </w:r>
      <w:r>
        <w:rPr>
          <w:szCs w:val="24"/>
        </w:rPr>
        <w:t xml:space="preserve"> asciende a</w:t>
      </w:r>
      <w:r w:rsidRPr="009C0439">
        <w:rPr>
          <w:szCs w:val="24"/>
        </w:rPr>
        <w:t xml:space="preserve"> $ </w:t>
      </w:r>
      <w:r>
        <w:rPr>
          <w:szCs w:val="24"/>
        </w:rPr>
        <w:t>546</w:t>
      </w:r>
      <w:r w:rsidRPr="009C0439">
        <w:rPr>
          <w:szCs w:val="24"/>
        </w:rPr>
        <w:t>:</w:t>
      </w:r>
      <w:r>
        <w:rPr>
          <w:szCs w:val="24"/>
        </w:rPr>
        <w:t>537</w:t>
      </w:r>
      <w:r w:rsidRPr="009C0439">
        <w:rPr>
          <w:szCs w:val="24"/>
        </w:rPr>
        <w:t>.</w:t>
      </w:r>
      <w:r>
        <w:rPr>
          <w:szCs w:val="24"/>
        </w:rPr>
        <w:t>539</w:t>
      </w:r>
      <w:r w:rsidRPr="009C0439">
        <w:rPr>
          <w:szCs w:val="24"/>
        </w:rPr>
        <w:t xml:space="preserve">. La Intendencia </w:t>
      </w:r>
      <w:r>
        <w:rPr>
          <w:szCs w:val="24"/>
        </w:rPr>
        <w:t xml:space="preserve">no suministró detalle de la diferencias por cada rubro </w:t>
      </w:r>
      <w:r w:rsidRPr="00B24FD0">
        <w:rPr>
          <w:szCs w:val="24"/>
        </w:rPr>
        <w:t xml:space="preserve">para permitir </w:t>
      </w:r>
      <w:r w:rsidRPr="009C0439">
        <w:rPr>
          <w:szCs w:val="24"/>
        </w:rPr>
        <w:t>conciliar amb</w:t>
      </w:r>
      <w:r>
        <w:rPr>
          <w:szCs w:val="24"/>
        </w:rPr>
        <w:t>os importes</w:t>
      </w:r>
      <w:r w:rsidRPr="009C0439">
        <w:rPr>
          <w:szCs w:val="24"/>
        </w:rPr>
        <w:t xml:space="preserve"> y</w:t>
      </w:r>
      <w:r>
        <w:rPr>
          <w:szCs w:val="24"/>
        </w:rPr>
        <w:t>,</w:t>
      </w:r>
      <w:r w:rsidRPr="009C0439">
        <w:rPr>
          <w:szCs w:val="24"/>
        </w:rPr>
        <w:t xml:space="preserve"> </w:t>
      </w:r>
      <w:r>
        <w:rPr>
          <w:szCs w:val="24"/>
        </w:rPr>
        <w:t>con</w:t>
      </w:r>
      <w:r w:rsidRPr="00B24FD0">
        <w:rPr>
          <w:szCs w:val="24"/>
        </w:rPr>
        <w:t xml:space="preserve"> </w:t>
      </w:r>
      <w:r w:rsidRPr="009C0439">
        <w:rPr>
          <w:szCs w:val="24"/>
        </w:rPr>
        <w:t>los procedimientos aplicados</w:t>
      </w:r>
      <w:r>
        <w:rPr>
          <w:szCs w:val="24"/>
        </w:rPr>
        <w:t>,</w:t>
      </w:r>
      <w:r w:rsidRPr="009C0439">
        <w:rPr>
          <w:szCs w:val="24"/>
        </w:rPr>
        <w:t xml:space="preserve"> no </w:t>
      </w:r>
      <w:r>
        <w:rPr>
          <w:szCs w:val="24"/>
        </w:rPr>
        <w:t>es posible opinar sobre la razonabilidad de los saldos.</w:t>
      </w:r>
    </w:p>
    <w:p w:rsidR="00810DD5" w:rsidRDefault="00810DD5" w:rsidP="000D74C3">
      <w:pPr>
        <w:pStyle w:val="Textoindependiente"/>
        <w:spacing w:after="0" w:line="360" w:lineRule="auto"/>
        <w:rPr>
          <w:szCs w:val="24"/>
        </w:rPr>
      </w:pPr>
    </w:p>
    <w:p w:rsidR="00810DD5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s-UY"/>
        </w:rPr>
      </w:pPr>
      <w:r w:rsidRPr="00B70E7B">
        <w:rPr>
          <w:rFonts w:ascii="Arial" w:eastAsia="Times New Roman" w:hAnsi="Arial" w:cs="Arial"/>
          <w:b/>
          <w:sz w:val="24"/>
          <w:szCs w:val="24"/>
          <w:lang w:eastAsia="es-UY"/>
        </w:rPr>
        <w:t>Responsabilidad de</w:t>
      </w:r>
      <w:r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 la Intendencia </w:t>
      </w:r>
      <w:r w:rsidRPr="00B70E7B"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en relación con los estados financieros </w:t>
      </w:r>
      <w:r w:rsidRPr="00B70E7B">
        <w:rPr>
          <w:rFonts w:ascii="Arial" w:eastAsia="Times New Roman" w:hAnsi="Arial" w:cs="Arial"/>
          <w:sz w:val="18"/>
          <w:szCs w:val="18"/>
          <w:lang w:eastAsia="es-UY"/>
        </w:rPr>
        <w:t xml:space="preserve"> </w:t>
      </w:r>
    </w:p>
    <w:p w:rsidR="00810DD5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t>La</w:t>
      </w:r>
      <w:r w:rsidRPr="00481B12">
        <w:rPr>
          <w:rFonts w:ascii="Arial" w:eastAsia="Times New Roman" w:hAnsi="Arial" w:cs="Arial"/>
          <w:sz w:val="24"/>
          <w:szCs w:val="24"/>
          <w:lang w:eastAsia="es-UY"/>
        </w:rPr>
        <w:t xml:space="preserve"> Intendencia de Paysandú </w:t>
      </w:r>
      <w:r w:rsidRPr="00B70E7B">
        <w:rPr>
          <w:rFonts w:ascii="Arial" w:eastAsia="Times New Roman" w:hAnsi="Arial" w:cs="Arial"/>
          <w:sz w:val="24"/>
          <w:szCs w:val="24"/>
          <w:lang w:eastAsia="es-UY"/>
        </w:rPr>
        <w:t xml:space="preserve">es responsable por la preparación y presentación razonable de los estados financieros de acuerdo con </w:t>
      </w:r>
      <w:r>
        <w:rPr>
          <w:rFonts w:ascii="Arial" w:hAnsi="Arial"/>
        </w:rPr>
        <w:t>la normativa vigente y con la Ordenanza Nº 89 del Tribunal de Cuentas</w:t>
      </w:r>
      <w:r w:rsidRPr="00B70E7B">
        <w:rPr>
          <w:rFonts w:ascii="Arial" w:eastAsia="Times New Roman" w:hAnsi="Arial" w:cs="Arial"/>
          <w:sz w:val="24"/>
          <w:szCs w:val="24"/>
          <w:lang w:eastAsia="es-UY"/>
        </w:rPr>
        <w:t xml:space="preserve"> y del control interno que la administración de la entidad consideró necesario para permitir la preparación de estados financieros libres de errores significativos ya sea debido a fraude o error.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Asimismo, </w:t>
      </w:r>
      <w:r w:rsidRPr="00B70E7B">
        <w:rPr>
          <w:rFonts w:ascii="Arial" w:eastAsia="Times New Roman" w:hAnsi="Arial" w:cs="Arial"/>
          <w:sz w:val="24"/>
          <w:szCs w:val="24"/>
          <w:lang w:eastAsia="es-UY"/>
        </w:rPr>
        <w:t>es responsable de supervisar el proceso de preparación de los estados financieros</w:t>
      </w:r>
      <w:r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:rsidR="00810DD5" w:rsidRPr="00B70E7B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810DD5" w:rsidRPr="00B70E7B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UY"/>
        </w:rPr>
      </w:pPr>
      <w:r w:rsidRPr="00B70E7B">
        <w:rPr>
          <w:rFonts w:ascii="Arial" w:eastAsia="Times New Roman" w:hAnsi="Arial" w:cs="Arial"/>
          <w:b/>
          <w:sz w:val="24"/>
          <w:szCs w:val="24"/>
          <w:lang w:eastAsia="es-UY"/>
        </w:rPr>
        <w:t>Responsabilidad del Tribunal de Cuentas por la audit</w:t>
      </w:r>
      <w:r>
        <w:rPr>
          <w:rFonts w:ascii="Arial" w:eastAsia="Times New Roman" w:hAnsi="Arial" w:cs="Arial"/>
          <w:b/>
          <w:sz w:val="24"/>
          <w:szCs w:val="24"/>
          <w:lang w:eastAsia="es-UY"/>
        </w:rPr>
        <w:t>oría de los estados financieros</w:t>
      </w:r>
    </w:p>
    <w:p w:rsidR="00810DD5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422A14">
        <w:rPr>
          <w:rFonts w:ascii="Arial" w:eastAsia="Times New Roman" w:hAnsi="Arial" w:cs="Arial"/>
          <w:sz w:val="24"/>
          <w:szCs w:val="24"/>
          <w:lang w:eastAsia="es-UY"/>
        </w:rPr>
        <w:t>La responsabilidad del Tribunal de Cuentas es la realización de la auditoría de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422A14">
        <w:rPr>
          <w:rFonts w:ascii="Arial" w:eastAsia="Times New Roman" w:hAnsi="Arial" w:cs="Arial"/>
          <w:sz w:val="24"/>
          <w:szCs w:val="24"/>
          <w:lang w:eastAsia="es-UY"/>
        </w:rPr>
        <w:t>los estados financieros del Fideicomiso de conformidad con los Principios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422A14">
        <w:rPr>
          <w:rFonts w:ascii="Arial" w:eastAsia="Times New Roman" w:hAnsi="Arial" w:cs="Arial"/>
          <w:sz w:val="24"/>
          <w:szCs w:val="24"/>
          <w:lang w:eastAsia="es-UY"/>
        </w:rPr>
        <w:t>Fundamentales de Auditoria (ISSAI 100 y 200) y las directrices de la Auditoria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422A14">
        <w:rPr>
          <w:rFonts w:ascii="Arial" w:eastAsia="Times New Roman" w:hAnsi="Arial" w:cs="Arial"/>
          <w:sz w:val="24"/>
          <w:szCs w:val="24"/>
          <w:lang w:eastAsia="es-UY"/>
        </w:rPr>
        <w:t>Financiera (ISSAI 1000 a 1810) de la Organización Internacional de Entidades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422A14">
        <w:rPr>
          <w:rFonts w:ascii="Arial" w:eastAsia="Times New Roman" w:hAnsi="Arial" w:cs="Arial"/>
          <w:sz w:val="24"/>
          <w:szCs w:val="24"/>
          <w:lang w:eastAsia="es-UY"/>
        </w:rPr>
        <w:t>Fiscalizadoras Superiores (INTOSAI). Sin embargo, debido a la importancia de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422A14">
        <w:rPr>
          <w:rFonts w:ascii="Arial" w:eastAsia="Times New Roman" w:hAnsi="Arial" w:cs="Arial"/>
          <w:sz w:val="24"/>
          <w:szCs w:val="24"/>
          <w:lang w:eastAsia="es-UY"/>
        </w:rPr>
        <w:t>lo descrito en el párrafo Bases para la abstención de opinión, no hemos podido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422A14">
        <w:rPr>
          <w:rFonts w:ascii="Arial" w:eastAsia="Times New Roman" w:hAnsi="Arial" w:cs="Arial"/>
          <w:sz w:val="24"/>
          <w:szCs w:val="24"/>
          <w:lang w:eastAsia="es-UY"/>
        </w:rPr>
        <w:t>obtener evidencia suficiente para expresar una opinión sobre los estados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422A14">
        <w:rPr>
          <w:rFonts w:ascii="Arial" w:eastAsia="Times New Roman" w:hAnsi="Arial" w:cs="Arial"/>
          <w:sz w:val="24"/>
          <w:szCs w:val="24"/>
          <w:lang w:eastAsia="es-UY"/>
        </w:rPr>
        <w:t>financieros</w:t>
      </w:r>
      <w:r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:rsidR="00810DD5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422A14">
        <w:rPr>
          <w:rFonts w:ascii="Arial" w:eastAsia="Times New Roman" w:hAnsi="Arial" w:cs="Arial"/>
          <w:sz w:val="24"/>
          <w:szCs w:val="24"/>
          <w:lang w:eastAsia="es-UY"/>
        </w:rPr>
        <w:t>Este Tribunal es independiente de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422A14">
        <w:rPr>
          <w:rFonts w:ascii="Arial" w:eastAsia="Times New Roman" w:hAnsi="Arial" w:cs="Arial"/>
          <w:sz w:val="24"/>
          <w:szCs w:val="24"/>
          <w:lang w:eastAsia="es-UY"/>
        </w:rPr>
        <w:t>l</w:t>
      </w:r>
      <w:r>
        <w:rPr>
          <w:rFonts w:ascii="Arial" w:eastAsia="Times New Roman" w:hAnsi="Arial" w:cs="Arial"/>
          <w:sz w:val="24"/>
          <w:szCs w:val="24"/>
          <w:lang w:eastAsia="es-UY"/>
        </w:rPr>
        <w:t>a Intendencia de Paysandú</w:t>
      </w:r>
      <w:r w:rsidRPr="00422A14">
        <w:rPr>
          <w:rFonts w:ascii="Arial" w:eastAsia="Times New Roman" w:hAnsi="Arial" w:cs="Arial"/>
          <w:sz w:val="24"/>
          <w:szCs w:val="24"/>
          <w:lang w:eastAsia="es-UY"/>
        </w:rPr>
        <w:t xml:space="preserve"> y ha cumplido con las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422A14">
        <w:rPr>
          <w:rFonts w:ascii="Arial" w:eastAsia="Times New Roman" w:hAnsi="Arial" w:cs="Arial"/>
          <w:sz w:val="24"/>
          <w:szCs w:val="24"/>
          <w:lang w:eastAsia="es-UY"/>
        </w:rPr>
        <w:t>disposiciones de su Código de Ética, elaborado en concordancia con el Código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422A14">
        <w:rPr>
          <w:rFonts w:ascii="Arial" w:eastAsia="Times New Roman" w:hAnsi="Arial" w:cs="Arial"/>
          <w:sz w:val="24"/>
          <w:szCs w:val="24"/>
          <w:lang w:eastAsia="es-UY"/>
        </w:rPr>
        <w:t>de Ética de la INTOSAI.</w:t>
      </w:r>
    </w:p>
    <w:p w:rsidR="00810DD5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810DD5" w:rsidRPr="00B70E7B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UY"/>
        </w:rPr>
      </w:pPr>
      <w:r w:rsidRPr="00B70E7B">
        <w:rPr>
          <w:rFonts w:ascii="Arial" w:eastAsia="Times New Roman" w:hAnsi="Arial" w:cs="Arial"/>
          <w:b/>
          <w:sz w:val="24"/>
          <w:szCs w:val="24"/>
          <w:lang w:eastAsia="es-UY"/>
        </w:rPr>
        <w:t>Informe de cumplimiento de la normativa vigente</w:t>
      </w:r>
    </w:p>
    <w:p w:rsidR="00810DD5" w:rsidRPr="009825D4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9825D4">
        <w:rPr>
          <w:rFonts w:ascii="Arial" w:eastAsia="Times New Roman" w:hAnsi="Arial" w:cs="Arial"/>
          <w:sz w:val="24"/>
          <w:szCs w:val="24"/>
          <w:lang w:eastAsia="es-UY"/>
        </w:rPr>
        <w:t>Respecto a los incumplimientos mencionados en el párrafo Opinión respecto al cumplimiento de la normativa legal aplicable co</w:t>
      </w:r>
      <w:r w:rsidR="00510657">
        <w:rPr>
          <w:rFonts w:ascii="Arial" w:eastAsia="Times New Roman" w:hAnsi="Arial" w:cs="Arial"/>
          <w:sz w:val="24"/>
          <w:szCs w:val="24"/>
          <w:lang w:eastAsia="es-UY"/>
        </w:rPr>
        <w:t>rresponde señalar lo siguiente:</w:t>
      </w:r>
    </w:p>
    <w:p w:rsidR="00810DD5" w:rsidRPr="009825D4" w:rsidRDefault="00810DD5" w:rsidP="000D74C3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UY"/>
        </w:rPr>
      </w:pPr>
      <w:r w:rsidRPr="009825D4">
        <w:rPr>
          <w:rFonts w:ascii="Arial" w:eastAsia="Times New Roman" w:hAnsi="Arial" w:cs="Arial"/>
          <w:b/>
          <w:sz w:val="24"/>
          <w:szCs w:val="24"/>
          <w:lang w:eastAsia="es-UY"/>
        </w:rPr>
        <w:t>Numeral</w:t>
      </w:r>
      <w:r>
        <w:rPr>
          <w:rFonts w:ascii="Arial" w:eastAsia="Times New Roman" w:hAnsi="Arial" w:cs="Arial"/>
          <w:b/>
          <w:sz w:val="24"/>
          <w:szCs w:val="24"/>
          <w:lang w:eastAsia="es-UY"/>
        </w:rPr>
        <w:t>es 1.6) y 1.7) Ordenanza 89</w:t>
      </w:r>
    </w:p>
    <w:p w:rsidR="00810DD5" w:rsidRPr="009825D4" w:rsidRDefault="00810DD5" w:rsidP="000D74C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9825D4">
        <w:rPr>
          <w:rFonts w:ascii="Arial" w:eastAsia="Times New Roman" w:hAnsi="Arial" w:cs="Arial"/>
          <w:sz w:val="24"/>
          <w:szCs w:val="24"/>
          <w:lang w:eastAsia="es-UY"/>
        </w:rPr>
        <w:t>No se presenta la Memoria explicativa de los Estados Contables y no se remitieron el Estado de Flujo de Efectivo y el Estado de Cambios en el Patrimonio.</w:t>
      </w:r>
    </w:p>
    <w:p w:rsidR="00810DD5" w:rsidRDefault="00810DD5" w:rsidP="000D74C3">
      <w:pPr>
        <w:pStyle w:val="Prrafodelista"/>
        <w:spacing w:after="0" w:line="360" w:lineRule="auto"/>
        <w:ind w:left="0"/>
        <w:jc w:val="right"/>
        <w:rPr>
          <w:rFonts w:ascii="Arial" w:hAnsi="Arial" w:cs="Arial"/>
          <w:sz w:val="24"/>
          <w:szCs w:val="24"/>
          <w:lang w:val="es-ES_tradnl"/>
        </w:rPr>
      </w:pPr>
      <w:r w:rsidRPr="00B022AF">
        <w:rPr>
          <w:rFonts w:ascii="Arial" w:hAnsi="Arial" w:cs="Arial"/>
          <w:sz w:val="24"/>
          <w:szCs w:val="24"/>
          <w:lang w:val="es-ES_tradnl"/>
        </w:rPr>
        <w:t xml:space="preserve">Montevideo, </w:t>
      </w:r>
      <w:r>
        <w:rPr>
          <w:rFonts w:ascii="Arial" w:hAnsi="Arial" w:cs="Arial"/>
          <w:sz w:val="24"/>
          <w:szCs w:val="24"/>
          <w:lang w:val="es-ES_tradnl"/>
        </w:rPr>
        <w:t xml:space="preserve">05 de febrero </w:t>
      </w:r>
      <w:r w:rsidRPr="00B022AF">
        <w:rPr>
          <w:rFonts w:ascii="Arial" w:hAnsi="Arial" w:cs="Arial"/>
          <w:sz w:val="24"/>
          <w:szCs w:val="24"/>
          <w:lang w:val="es-ES_tradnl"/>
        </w:rPr>
        <w:t>de</w:t>
      </w:r>
      <w:r>
        <w:rPr>
          <w:rFonts w:ascii="Arial" w:hAnsi="Arial" w:cs="Arial"/>
          <w:sz w:val="24"/>
          <w:szCs w:val="24"/>
          <w:lang w:val="es-ES_tradnl"/>
        </w:rPr>
        <w:t xml:space="preserve"> 2019</w:t>
      </w:r>
    </w:p>
    <w:p w:rsidR="00810DD5" w:rsidRPr="000D74C3" w:rsidRDefault="00810DD5" w:rsidP="000D74C3">
      <w:pPr>
        <w:pStyle w:val="Prrafodelista"/>
        <w:spacing w:after="0" w:line="360" w:lineRule="auto"/>
        <w:ind w:left="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CLC</w:t>
      </w: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14574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:rsidR="00810DD5" w:rsidRDefault="00810DD5" w:rsidP="00952CE6">
      <w:pPr>
        <w:jc w:val="center"/>
        <w:rPr>
          <w:rFonts w:ascii="Arial" w:eastAsia="Times New Roman" w:hAnsi="Arial" w:cs="Arial"/>
          <w:b/>
          <w:bCs/>
          <w:kern w:val="1"/>
          <w:sz w:val="24"/>
          <w:szCs w:val="32"/>
          <w:lang w:val="es-ES" w:eastAsia="ar-SA"/>
        </w:rPr>
      </w:pPr>
      <w:bookmarkStart w:id="1" w:name="_Toc425860335"/>
      <w:r w:rsidRPr="00145747">
        <w:rPr>
          <w:rFonts w:ascii="Arial" w:eastAsia="Times New Roman" w:hAnsi="Arial" w:cs="Arial"/>
          <w:b/>
          <w:bCs/>
          <w:kern w:val="1"/>
          <w:sz w:val="24"/>
          <w:szCs w:val="32"/>
          <w:lang w:val="es-ES" w:eastAsia="ar-SA"/>
        </w:rPr>
        <w:t>INFORME A LA ADMINISTRACIÓN</w:t>
      </w:r>
      <w:bookmarkEnd w:id="1"/>
    </w:p>
    <w:p w:rsidR="00810DD5" w:rsidRDefault="00810DD5" w:rsidP="00952CE6">
      <w:pPr>
        <w:jc w:val="center"/>
        <w:rPr>
          <w:rFonts w:ascii="Arial" w:eastAsia="Times New Roman" w:hAnsi="Arial" w:cs="Arial"/>
          <w:b/>
          <w:bCs/>
          <w:kern w:val="1"/>
          <w:sz w:val="24"/>
          <w:szCs w:val="32"/>
          <w:lang w:val="es-ES" w:eastAsia="ar-SA"/>
        </w:rPr>
      </w:pPr>
    </w:p>
    <w:p w:rsidR="00810DD5" w:rsidRPr="00145747" w:rsidRDefault="00810DD5" w:rsidP="00952CE6">
      <w:pPr>
        <w:suppressAutoHyphens/>
        <w:spacing w:after="0" w:line="360" w:lineRule="auto"/>
        <w:jc w:val="both"/>
        <w:rPr>
          <w:rFonts w:ascii="Arial" w:hAnsi="Arial" w:cs="Arial"/>
          <w:bCs/>
          <w:color w:val="000000"/>
          <w:sz w:val="24"/>
          <w:lang w:eastAsia="ar-SA"/>
        </w:rPr>
      </w:pPr>
      <w:r w:rsidRPr="00145747">
        <w:rPr>
          <w:rFonts w:ascii="Arial" w:hAnsi="Arial" w:cs="Arial"/>
          <w:bCs/>
          <w:color w:val="000000"/>
          <w:sz w:val="24"/>
          <w:lang w:eastAsia="ar-SA"/>
        </w:rPr>
        <w:t>El Tribunal de Cuentas ha examinado los Estados Financieros de la Intendencia de Paysandú por el ejercicio finalizado el 31 de diciembre de 2017 y ha emitido su Dictamen.</w:t>
      </w:r>
    </w:p>
    <w:p w:rsidR="00810DD5" w:rsidRDefault="00810DD5" w:rsidP="00952CE6">
      <w:pPr>
        <w:suppressAutoHyphens/>
        <w:spacing w:after="0" w:line="360" w:lineRule="auto"/>
        <w:jc w:val="both"/>
        <w:rPr>
          <w:rFonts w:ascii="Arial" w:hAnsi="Arial" w:cs="Arial"/>
          <w:sz w:val="24"/>
          <w:lang w:eastAsia="es-ES"/>
        </w:rPr>
      </w:pPr>
      <w:r w:rsidRPr="00145747">
        <w:rPr>
          <w:rFonts w:ascii="Arial" w:hAnsi="Arial" w:cs="Arial"/>
          <w:sz w:val="24"/>
          <w:lang w:eastAsia="es-ES"/>
        </w:rPr>
        <w:t>Este informe contiene consideraciones relativas a la evaluación del control interno. Se incluyen además, comentarios que se ha entendido pertinente exponer, relacionados a los estados examinados y a disposiciones legales vigentes.</w:t>
      </w:r>
    </w:p>
    <w:p w:rsidR="00810DD5" w:rsidRDefault="00810DD5" w:rsidP="00952C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34EBA">
        <w:rPr>
          <w:rFonts w:ascii="Arial" w:eastAsia="Times New Roman" w:hAnsi="Arial" w:cs="Arial"/>
          <w:sz w:val="24"/>
          <w:szCs w:val="24"/>
          <w:lang w:eastAsia="es-ES"/>
        </w:rPr>
        <w:t xml:space="preserve">También se agregan las principales recomendaciones que </w:t>
      </w:r>
      <w:proofErr w:type="gramStart"/>
      <w:r w:rsidRPr="00E34EBA">
        <w:rPr>
          <w:rFonts w:ascii="Arial" w:eastAsia="Times New Roman" w:hAnsi="Arial" w:cs="Arial"/>
          <w:sz w:val="24"/>
          <w:szCs w:val="24"/>
          <w:lang w:eastAsia="es-ES"/>
        </w:rPr>
        <w:t>deberá</w:t>
      </w:r>
      <w:proofErr w:type="gramEnd"/>
      <w:r w:rsidRPr="00E34EBA">
        <w:rPr>
          <w:rFonts w:ascii="Arial" w:eastAsia="Times New Roman" w:hAnsi="Arial" w:cs="Arial"/>
          <w:sz w:val="24"/>
          <w:szCs w:val="24"/>
          <w:lang w:eastAsia="es-ES"/>
        </w:rPr>
        <w:t xml:space="preserve"> atender el Organismo y una evaluación del cumplimiento de las recomendaciones presentadas en el informe de auditoría del ejercicio anterior.</w:t>
      </w:r>
    </w:p>
    <w:p w:rsidR="00810DD5" w:rsidRPr="00E34EBA" w:rsidRDefault="00810DD5" w:rsidP="00952C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810DD5" w:rsidRPr="00145747" w:rsidRDefault="00810DD5" w:rsidP="00952CE6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lang w:eastAsia="es-ES"/>
        </w:rPr>
      </w:pPr>
      <w:r w:rsidRPr="00145747">
        <w:rPr>
          <w:rFonts w:ascii="Arial" w:hAnsi="Arial" w:cs="Arial"/>
          <w:b/>
          <w:sz w:val="24"/>
          <w:lang w:eastAsia="es-ES"/>
        </w:rPr>
        <w:t>1.- Presentación de los Estados Financieros</w:t>
      </w:r>
    </w:p>
    <w:p w:rsidR="00810DD5" w:rsidRPr="00145747" w:rsidRDefault="00810DD5" w:rsidP="00952CE6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lang w:val="es-ES_tradnl" w:eastAsia="es-ES"/>
        </w:rPr>
      </w:pPr>
      <w:r w:rsidRPr="00145747">
        <w:rPr>
          <w:rFonts w:ascii="Arial" w:hAnsi="Arial" w:cs="Arial"/>
          <w:bCs/>
          <w:sz w:val="24"/>
          <w:lang w:eastAsia="es-ES"/>
        </w:rPr>
        <w:t>Los</w:t>
      </w:r>
      <w:r w:rsidRPr="00145747">
        <w:rPr>
          <w:rFonts w:ascii="Arial" w:hAnsi="Arial" w:cs="Arial"/>
          <w:bCs/>
          <w:color w:val="000000"/>
          <w:sz w:val="24"/>
          <w:lang w:eastAsia="ar-SA"/>
        </w:rPr>
        <w:t xml:space="preserve"> Estados Financieros de la Intendencia de Paysandú</w:t>
      </w:r>
      <w:r w:rsidRPr="00145747">
        <w:rPr>
          <w:rFonts w:ascii="Arial" w:hAnsi="Arial" w:cs="Arial"/>
          <w:bCs/>
          <w:sz w:val="24"/>
          <w:lang w:eastAsia="es-ES"/>
        </w:rPr>
        <w:t xml:space="preserve"> correspondientes al ejercicio finalizado el </w:t>
      </w:r>
      <w:r w:rsidRPr="00145747">
        <w:rPr>
          <w:rFonts w:ascii="Arial" w:hAnsi="Arial" w:cs="Arial"/>
          <w:bCs/>
          <w:color w:val="000000"/>
          <w:sz w:val="24"/>
          <w:lang w:eastAsia="ar-SA"/>
        </w:rPr>
        <w:t xml:space="preserve">31 de diciembre de 2017 </w:t>
      </w:r>
      <w:r w:rsidRPr="00145747">
        <w:rPr>
          <w:rFonts w:ascii="Arial" w:hAnsi="Arial" w:cs="Arial"/>
          <w:bCs/>
          <w:sz w:val="24"/>
          <w:lang w:eastAsia="es-ES"/>
        </w:rPr>
        <w:t>fueron aprobados por Resolución del Intendente del 23/03/2018</w:t>
      </w:r>
      <w:r w:rsidRPr="00145747">
        <w:rPr>
          <w:rFonts w:ascii="Arial" w:hAnsi="Arial" w:cs="Arial"/>
          <w:spacing w:val="-3"/>
          <w:sz w:val="24"/>
          <w:lang w:val="es-ES_tradnl" w:eastAsia="es-ES"/>
        </w:rPr>
        <w:t xml:space="preserve"> y remitidos para su examen a este Tribunal con fecha 16/03/2018.</w:t>
      </w:r>
    </w:p>
    <w:p w:rsidR="00810DD5" w:rsidRDefault="00810DD5" w:rsidP="00952CE6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lang w:val="es-ES_tradnl" w:eastAsia="es-ES"/>
        </w:rPr>
      </w:pPr>
      <w:r w:rsidRPr="00145747">
        <w:rPr>
          <w:rFonts w:ascii="Arial" w:hAnsi="Arial" w:cs="Arial"/>
          <w:spacing w:val="-3"/>
          <w:sz w:val="24"/>
          <w:lang w:val="es-ES_tradnl" w:eastAsia="es-ES"/>
        </w:rPr>
        <w:t>Dichos estados se presentan de acuerdo a los criterios establecidos por la</w:t>
      </w:r>
      <w:r w:rsidRPr="00145747">
        <w:rPr>
          <w:rFonts w:ascii="Arial" w:hAnsi="Arial" w:cs="Arial"/>
          <w:sz w:val="24"/>
          <w:lang w:eastAsia="ar-SA"/>
        </w:rPr>
        <w:t xml:space="preserve"> Ordenanza Nº 89 de este Tribunal</w:t>
      </w:r>
      <w:r w:rsidRPr="00145747">
        <w:rPr>
          <w:rFonts w:ascii="Arial" w:hAnsi="Arial" w:cs="Arial"/>
          <w:spacing w:val="-3"/>
          <w:sz w:val="24"/>
          <w:lang w:val="es-ES_tradnl" w:eastAsia="es-ES"/>
        </w:rPr>
        <w:t>.</w:t>
      </w:r>
    </w:p>
    <w:p w:rsidR="00810DD5" w:rsidRPr="00145747" w:rsidRDefault="00810DD5" w:rsidP="00952CE6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lang w:val="es-ES_tradnl" w:eastAsia="es-ES"/>
        </w:rPr>
      </w:pPr>
    </w:p>
    <w:p w:rsidR="00810DD5" w:rsidRPr="003D03A5" w:rsidRDefault="00810DD5" w:rsidP="00810DD5">
      <w:pPr>
        <w:numPr>
          <w:ilvl w:val="1"/>
          <w:numId w:val="2"/>
        </w:numPr>
        <w:suppressAutoHyphens/>
        <w:spacing w:after="0" w:line="360" w:lineRule="auto"/>
        <w:ind w:left="0" w:hanging="9"/>
        <w:jc w:val="both"/>
        <w:outlineLvl w:val="1"/>
        <w:rPr>
          <w:rFonts w:ascii="Arial" w:eastAsia="Times New Roman" w:hAnsi="Arial" w:cs="Arial"/>
          <w:b/>
          <w:kern w:val="1"/>
          <w:sz w:val="24"/>
          <w:szCs w:val="20"/>
          <w:lang w:val="es-ES" w:eastAsia="es-ES"/>
        </w:rPr>
      </w:pPr>
      <w:bookmarkStart w:id="2" w:name="_Toc425860336"/>
      <w:r>
        <w:rPr>
          <w:rFonts w:ascii="Arial" w:eastAsia="Times New Roman" w:hAnsi="Arial" w:cs="Arial"/>
          <w:b/>
          <w:kern w:val="1"/>
          <w:sz w:val="24"/>
          <w:szCs w:val="20"/>
          <w:lang w:val="es-ES" w:eastAsia="es-ES"/>
        </w:rPr>
        <w:t>2 - Motivos que originan la abstención de opinión</w:t>
      </w:r>
    </w:p>
    <w:p w:rsidR="00810DD5" w:rsidRDefault="00810DD5" w:rsidP="00952CE6">
      <w:pPr>
        <w:pStyle w:val="Estilo1"/>
        <w:numPr>
          <w:ilvl w:val="0"/>
          <w:numId w:val="0"/>
        </w:numPr>
        <w:ind w:hanging="9"/>
        <w:rPr>
          <w:b w:val="0"/>
          <w:bCs w:val="0"/>
          <w:lang w:val="es-ES" w:eastAsia="es-ES"/>
        </w:rPr>
      </w:pPr>
      <w:r>
        <w:rPr>
          <w:b w:val="0"/>
          <w:bCs w:val="0"/>
          <w:lang w:val="es-ES" w:eastAsia="es-ES"/>
        </w:rPr>
        <w:t xml:space="preserve">No fue posible confirmar los saldos expuestos en el pasivo del Estado de Situación y movimientos relativos a los resultados </w:t>
      </w:r>
      <w:proofErr w:type="spellStart"/>
      <w:r>
        <w:rPr>
          <w:b w:val="0"/>
          <w:bCs w:val="0"/>
          <w:lang w:val="es-ES" w:eastAsia="es-ES"/>
        </w:rPr>
        <w:t>extrapresupuestales</w:t>
      </w:r>
      <w:proofErr w:type="spellEnd"/>
      <w:r>
        <w:rPr>
          <w:b w:val="0"/>
          <w:bCs w:val="0"/>
          <w:lang w:val="es-ES" w:eastAsia="es-ES"/>
        </w:rPr>
        <w:t xml:space="preserve"> expuestos en el Estado de Resultados.</w:t>
      </w:r>
    </w:p>
    <w:p w:rsidR="00810DD5" w:rsidRDefault="00810DD5" w:rsidP="00952CE6">
      <w:pPr>
        <w:pStyle w:val="Estilo1"/>
        <w:numPr>
          <w:ilvl w:val="0"/>
          <w:numId w:val="0"/>
        </w:numPr>
        <w:ind w:hanging="9"/>
        <w:rPr>
          <w:b w:val="0"/>
          <w:bCs w:val="0"/>
          <w:lang w:val="es-ES" w:eastAsia="es-ES"/>
        </w:rPr>
      </w:pPr>
      <w:r>
        <w:rPr>
          <w:b w:val="0"/>
          <w:bCs w:val="0"/>
          <w:lang w:val="es-ES" w:eastAsia="es-ES"/>
        </w:rPr>
        <w:t>Por otra parte, se constataron otras diferencias</w:t>
      </w:r>
    </w:p>
    <w:p w:rsidR="00810DD5" w:rsidRPr="00B83D16" w:rsidRDefault="00810DD5" w:rsidP="00952CE6">
      <w:pPr>
        <w:pStyle w:val="Estilo1"/>
        <w:numPr>
          <w:ilvl w:val="0"/>
          <w:numId w:val="0"/>
        </w:numPr>
        <w:rPr>
          <w:lang w:val="es-ES" w:eastAsia="es-ES"/>
        </w:rPr>
      </w:pPr>
      <w:r w:rsidRPr="00040272">
        <w:rPr>
          <w:bCs w:val="0"/>
          <w:lang w:val="es-ES" w:eastAsia="es-ES"/>
        </w:rPr>
        <w:t xml:space="preserve">- </w:t>
      </w:r>
      <w:r w:rsidRPr="00B83D16">
        <w:rPr>
          <w:b w:val="0"/>
          <w:bCs w:val="0"/>
          <w:lang w:val="es-ES" w:eastAsia="es-ES"/>
        </w:rPr>
        <w:t xml:space="preserve">El Estado de Resultados del Ejercicio expone ingresos presupuestales por </w:t>
      </w:r>
      <w:r>
        <w:rPr>
          <w:b w:val="0"/>
          <w:bCs w:val="0"/>
          <w:lang w:val="es-ES" w:eastAsia="es-ES"/>
        </w:rPr>
        <w:t xml:space="preserve">     </w:t>
      </w:r>
      <w:r w:rsidRPr="00B83D16">
        <w:rPr>
          <w:b w:val="0"/>
          <w:bCs w:val="0"/>
          <w:lang w:val="es-ES" w:eastAsia="es-ES"/>
        </w:rPr>
        <w:t>$ 1:803.730.828. No obstante, no se incluyeron los ajustes efectuados a los ingresos percibidos por concepto de impuestos, tasas y precios por un monto neto de $ 2:480.272</w:t>
      </w:r>
      <w:r>
        <w:rPr>
          <w:b w:val="0"/>
          <w:bCs w:val="0"/>
          <w:lang w:val="es-ES" w:eastAsia="es-ES"/>
        </w:rPr>
        <w:t>.</w:t>
      </w:r>
    </w:p>
    <w:p w:rsidR="00810DD5" w:rsidRDefault="00810DD5" w:rsidP="00952CE6">
      <w:pPr>
        <w:pStyle w:val="Estilo1"/>
        <w:numPr>
          <w:ilvl w:val="0"/>
          <w:numId w:val="0"/>
        </w:numPr>
        <w:rPr>
          <w:b w:val="0"/>
          <w:bCs w:val="0"/>
          <w:lang w:val="es-ES" w:eastAsia="es-ES"/>
        </w:rPr>
      </w:pPr>
      <w:r>
        <w:rPr>
          <w:bCs w:val="0"/>
          <w:lang w:val="es-ES" w:eastAsia="es-ES"/>
        </w:rPr>
        <w:t xml:space="preserve">- </w:t>
      </w:r>
      <w:r w:rsidRPr="00B83D16">
        <w:rPr>
          <w:b w:val="0"/>
          <w:bCs w:val="0"/>
          <w:lang w:val="es-ES" w:eastAsia="es-ES"/>
        </w:rPr>
        <w:t>El total de disponibilidades según el Estado de Situación Patrimonial difiere del saldo proporcionado por el sistema co</w:t>
      </w:r>
      <w:r>
        <w:rPr>
          <w:b w:val="0"/>
          <w:bCs w:val="0"/>
          <w:lang w:val="es-ES" w:eastAsia="es-ES"/>
        </w:rPr>
        <w:t>ntable (SEFI) en $ 456:865.838.</w:t>
      </w:r>
    </w:p>
    <w:p w:rsidR="00810DD5" w:rsidRDefault="00810DD5" w:rsidP="00952CE6">
      <w:pPr>
        <w:spacing w:after="0" w:line="360" w:lineRule="auto"/>
        <w:jc w:val="both"/>
        <w:rPr>
          <w:rFonts w:ascii="Arial" w:hAnsi="Arial" w:cs="Arial"/>
          <w:bCs/>
          <w:sz w:val="24"/>
          <w:lang w:eastAsia="es-ES"/>
        </w:rPr>
      </w:pPr>
      <w:r>
        <w:rPr>
          <w:rFonts w:ascii="Arial" w:hAnsi="Arial" w:cs="Arial"/>
          <w:b/>
          <w:bCs/>
          <w:sz w:val="24"/>
          <w:lang w:val="es-ES" w:eastAsia="es-ES"/>
        </w:rPr>
        <w:t xml:space="preserve">- </w:t>
      </w:r>
      <w:r w:rsidRPr="00040272">
        <w:rPr>
          <w:rFonts w:ascii="Arial" w:hAnsi="Arial" w:cs="Arial"/>
          <w:bCs/>
          <w:sz w:val="24"/>
          <w:lang w:eastAsia="es-ES"/>
        </w:rPr>
        <w:t>El total de disponibilidades en caja según el Estado de Situación Patrimonial es de $ 624.076. De acuerdo a los procedimientos aplicados, el saldo debe ser de $ 669.170.</w:t>
      </w:r>
    </w:p>
    <w:p w:rsidR="00810DD5" w:rsidRPr="00040272" w:rsidRDefault="00810DD5" w:rsidP="00952CE6">
      <w:pPr>
        <w:spacing w:after="0" w:line="360" w:lineRule="auto"/>
        <w:jc w:val="both"/>
        <w:rPr>
          <w:rFonts w:ascii="Arial" w:hAnsi="Arial" w:cs="Arial"/>
          <w:bCs/>
          <w:sz w:val="24"/>
          <w:lang w:eastAsia="es-ES"/>
        </w:rPr>
      </w:pPr>
    </w:p>
    <w:bookmarkEnd w:id="2"/>
    <w:p w:rsidR="00810DD5" w:rsidRPr="00145747" w:rsidRDefault="00810DD5" w:rsidP="00810DD5">
      <w:pPr>
        <w:pStyle w:val="Estilo1"/>
        <w:ind w:left="0" w:firstLine="0"/>
        <w:rPr>
          <w:lang w:val="es-ES" w:eastAsia="es-ES"/>
        </w:rPr>
      </w:pPr>
      <w:r>
        <w:rPr>
          <w:lang w:val="es-ES"/>
        </w:rPr>
        <w:t>3</w:t>
      </w:r>
      <w:r w:rsidRPr="00145747">
        <w:rPr>
          <w:lang w:val="es-ES" w:eastAsia="es-ES"/>
        </w:rPr>
        <w:t>.- Evaluación del control interno</w:t>
      </w:r>
    </w:p>
    <w:p w:rsidR="00810DD5" w:rsidRDefault="00810DD5" w:rsidP="00952CE6">
      <w:pPr>
        <w:suppressAutoHyphens/>
        <w:spacing w:after="0" w:line="360" w:lineRule="auto"/>
        <w:jc w:val="both"/>
        <w:rPr>
          <w:rFonts w:ascii="Arial" w:hAnsi="Arial" w:cs="Arial"/>
          <w:bCs/>
          <w:sz w:val="24"/>
          <w:lang w:eastAsia="es-ES"/>
        </w:rPr>
      </w:pPr>
      <w:r w:rsidRPr="00145747">
        <w:rPr>
          <w:rFonts w:ascii="Arial" w:hAnsi="Arial" w:cs="Arial"/>
          <w:bCs/>
          <w:sz w:val="24"/>
          <w:lang w:eastAsia="es-ES"/>
        </w:rPr>
        <w:t xml:space="preserve">El examen de los aspectos de control interno relevantes para la preparación y presentación razonable de los estados financieros, permitió constatar las </w:t>
      </w:r>
      <w:r>
        <w:rPr>
          <w:rFonts w:ascii="Arial" w:hAnsi="Arial" w:cs="Arial"/>
          <w:bCs/>
          <w:sz w:val="24"/>
          <w:lang w:eastAsia="es-ES"/>
        </w:rPr>
        <w:t xml:space="preserve">siguientes </w:t>
      </w:r>
      <w:r w:rsidRPr="00145747">
        <w:rPr>
          <w:rFonts w:ascii="Arial" w:hAnsi="Arial" w:cs="Arial"/>
          <w:bCs/>
          <w:sz w:val="24"/>
          <w:lang w:eastAsia="es-ES"/>
        </w:rPr>
        <w:t>debilidades de control interno</w:t>
      </w:r>
      <w:r w:rsidR="00510657">
        <w:rPr>
          <w:rFonts w:ascii="Arial" w:hAnsi="Arial" w:cs="Arial"/>
          <w:bCs/>
          <w:sz w:val="24"/>
          <w:lang w:eastAsia="es-ES"/>
        </w:rPr>
        <w:t>.</w:t>
      </w:r>
    </w:p>
    <w:p w:rsidR="00810DD5" w:rsidRPr="00B21E46" w:rsidRDefault="00810DD5" w:rsidP="00952C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B21E46">
        <w:rPr>
          <w:rFonts w:ascii="Arial" w:hAnsi="Arial" w:cs="Arial"/>
          <w:b/>
          <w:bCs/>
          <w:sz w:val="24"/>
          <w:szCs w:val="24"/>
        </w:rPr>
        <w:t>.1) Conciliaciones bancarias</w:t>
      </w:r>
    </w:p>
    <w:p w:rsidR="00810DD5" w:rsidRPr="00B21E46" w:rsidRDefault="00810DD5" w:rsidP="00952C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B21E46">
        <w:rPr>
          <w:rFonts w:ascii="Arial" w:hAnsi="Arial" w:cs="Arial"/>
          <w:sz w:val="24"/>
          <w:szCs w:val="24"/>
        </w:rPr>
        <w:t>Los ajustes resultantes de las conciliaciones bancarias, si bien se consideran a los efectos de determinar el saldo de caja y bancos al 31/12/2017, no se contabilizan.</w:t>
      </w:r>
    </w:p>
    <w:p w:rsidR="00810DD5" w:rsidRPr="00B21E46" w:rsidRDefault="00810DD5" w:rsidP="00810DD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B21E46">
        <w:rPr>
          <w:rFonts w:ascii="Arial" w:hAnsi="Arial" w:cs="Arial"/>
          <w:b/>
          <w:bCs/>
          <w:sz w:val="24"/>
          <w:szCs w:val="24"/>
        </w:rPr>
        <w:t>.2) Respecto a recursos y manejo de fondos</w:t>
      </w:r>
    </w:p>
    <w:p w:rsidR="00810DD5" w:rsidRPr="00040272" w:rsidRDefault="00810DD5" w:rsidP="00952C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- </w:t>
      </w:r>
      <w:r w:rsidRPr="00040272">
        <w:rPr>
          <w:rFonts w:ascii="Arial" w:hAnsi="Arial" w:cs="Arial"/>
          <w:sz w:val="24"/>
          <w:szCs w:val="24"/>
        </w:rPr>
        <w:t>No se mantiene un compendio de todas las normas tributarias aplicadas por la Intendencia.</w:t>
      </w:r>
    </w:p>
    <w:p w:rsidR="00810DD5" w:rsidRPr="00040272" w:rsidRDefault="00810DD5" w:rsidP="00952C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040272">
        <w:rPr>
          <w:rFonts w:ascii="Arial" w:hAnsi="Arial" w:cs="Arial"/>
          <w:sz w:val="24"/>
          <w:szCs w:val="24"/>
        </w:rPr>
        <w:t>Al momento de practicar los arqueos de fondos de la “Caja Sueldos” en Tesorería, se carece de información del saldo contable en el sistema correspondiente a las partidas pendientes de entrega, a efectos de cotejar  que los montos recontados por este concepto sean coincidentes con aquéllos.</w:t>
      </w:r>
    </w:p>
    <w:p w:rsidR="00810DD5" w:rsidRPr="00040272" w:rsidRDefault="00810DD5" w:rsidP="00952C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040272">
        <w:rPr>
          <w:rFonts w:ascii="Arial" w:hAnsi="Arial" w:cs="Arial"/>
          <w:sz w:val="24"/>
          <w:szCs w:val="24"/>
        </w:rPr>
        <w:t>En el año 2017, no se realizaron arqueos sorpresivos en algunos Municipios.</w:t>
      </w:r>
    </w:p>
    <w:p w:rsidR="00810DD5" w:rsidRPr="00B21E46" w:rsidRDefault="00810DD5" w:rsidP="00810DD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B21E46">
        <w:rPr>
          <w:rFonts w:ascii="Arial" w:hAnsi="Arial" w:cs="Arial"/>
          <w:b/>
          <w:bCs/>
          <w:sz w:val="24"/>
          <w:szCs w:val="24"/>
        </w:rPr>
        <w:t>.3) Respecto al área de compras</w:t>
      </w:r>
    </w:p>
    <w:p w:rsidR="00810DD5" w:rsidRPr="00040272" w:rsidRDefault="00810DD5" w:rsidP="00952C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040272">
        <w:rPr>
          <w:rFonts w:ascii="Arial" w:hAnsi="Arial" w:cs="Arial"/>
          <w:sz w:val="24"/>
          <w:szCs w:val="24"/>
        </w:rPr>
        <w:t>No existe un manual que abarque todo el procedimiento de compras.</w:t>
      </w:r>
    </w:p>
    <w:p w:rsidR="00810DD5" w:rsidRPr="00040272" w:rsidRDefault="00810DD5" w:rsidP="00810D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040272">
        <w:rPr>
          <w:rFonts w:ascii="Arial" w:hAnsi="Arial" w:cs="Arial"/>
          <w:sz w:val="24"/>
          <w:szCs w:val="24"/>
        </w:rPr>
        <w:t>No se realizan conciliaciones de saldo</w:t>
      </w:r>
      <w:r>
        <w:rPr>
          <w:rFonts w:ascii="Arial" w:hAnsi="Arial" w:cs="Arial"/>
          <w:sz w:val="24"/>
          <w:szCs w:val="24"/>
        </w:rPr>
        <w:t xml:space="preserve">s con los proveedores públicos </w:t>
      </w:r>
      <w:r w:rsidRPr="00040272">
        <w:rPr>
          <w:rFonts w:ascii="Arial" w:hAnsi="Arial" w:cs="Arial"/>
          <w:sz w:val="24"/>
          <w:szCs w:val="24"/>
        </w:rPr>
        <w:t xml:space="preserve"> privados.</w:t>
      </w:r>
    </w:p>
    <w:p w:rsidR="00810DD5" w:rsidRDefault="00810DD5" w:rsidP="00952C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040272">
        <w:rPr>
          <w:rFonts w:ascii="Arial" w:hAnsi="Arial" w:cs="Arial"/>
          <w:sz w:val="24"/>
          <w:szCs w:val="24"/>
        </w:rPr>
        <w:t>No hay una planificación anual para la compra de artículos.</w:t>
      </w:r>
    </w:p>
    <w:p w:rsidR="00810DD5" w:rsidRDefault="00810DD5" w:rsidP="00952C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10DD5" w:rsidRPr="00040272" w:rsidRDefault="00810DD5" w:rsidP="00952C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810DD5" w:rsidRPr="00B21E46" w:rsidRDefault="00810DD5" w:rsidP="00810DD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B21E46">
        <w:rPr>
          <w:rFonts w:ascii="Arial" w:hAnsi="Arial" w:cs="Arial"/>
          <w:b/>
          <w:bCs/>
          <w:sz w:val="24"/>
          <w:szCs w:val="24"/>
        </w:rPr>
        <w:t>.4) Respecto a retribuciones personales</w:t>
      </w:r>
    </w:p>
    <w:p w:rsidR="00810DD5" w:rsidRPr="00B21E46" w:rsidRDefault="00810DD5" w:rsidP="00810DD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21E46">
        <w:rPr>
          <w:rFonts w:ascii="Arial" w:hAnsi="Arial" w:cs="Arial"/>
          <w:sz w:val="24"/>
          <w:szCs w:val="24"/>
        </w:rPr>
        <w:t>No se cuenta con un compendio normativo actualizado que incluya las normas presupuestales de la totalidad de las partidas abonadas a los funcionarios.</w:t>
      </w:r>
    </w:p>
    <w:p w:rsidR="00810DD5" w:rsidRPr="0009651C" w:rsidRDefault="00810DD5" w:rsidP="00952CE6">
      <w:pPr>
        <w:spacing w:after="0" w:line="360" w:lineRule="auto"/>
        <w:rPr>
          <w:rFonts w:ascii="Arial" w:hAnsi="Arial" w:cs="Arial"/>
          <w:bCs/>
          <w:sz w:val="24"/>
          <w:lang w:val="es-ES" w:eastAsia="es-ES"/>
        </w:rPr>
      </w:pPr>
    </w:p>
    <w:p w:rsidR="00810DD5" w:rsidRPr="00145747" w:rsidRDefault="00810DD5" w:rsidP="00810DD5">
      <w:pPr>
        <w:numPr>
          <w:ilvl w:val="1"/>
          <w:numId w:val="2"/>
        </w:numPr>
        <w:suppressAutoHyphens/>
        <w:spacing w:after="0" w:line="360" w:lineRule="auto"/>
        <w:ind w:left="0" w:firstLine="0"/>
        <w:jc w:val="both"/>
        <w:outlineLvl w:val="1"/>
        <w:rPr>
          <w:rFonts w:ascii="Arial" w:eastAsia="Times New Roman" w:hAnsi="Arial" w:cs="Arial"/>
          <w:b/>
          <w:kern w:val="1"/>
          <w:sz w:val="24"/>
          <w:szCs w:val="20"/>
          <w:lang w:val="es-ES" w:eastAsia="ar-SA"/>
        </w:rPr>
      </w:pPr>
      <w:bookmarkStart w:id="3" w:name="_Toc425860338"/>
      <w:r>
        <w:rPr>
          <w:rFonts w:ascii="Arial" w:eastAsia="Times New Roman" w:hAnsi="Arial" w:cs="Arial"/>
          <w:b/>
          <w:kern w:val="1"/>
          <w:sz w:val="24"/>
          <w:szCs w:val="20"/>
          <w:lang w:val="es-ES" w:eastAsia="ar-SA"/>
        </w:rPr>
        <w:t>4</w:t>
      </w:r>
      <w:r w:rsidRPr="00145747">
        <w:rPr>
          <w:rFonts w:ascii="Arial" w:eastAsia="Times New Roman" w:hAnsi="Arial" w:cs="Arial"/>
          <w:b/>
          <w:kern w:val="1"/>
          <w:sz w:val="24"/>
          <w:szCs w:val="20"/>
          <w:lang w:val="es-ES" w:eastAsia="ar-SA"/>
        </w:rPr>
        <w:t>.- Recomendaciones</w:t>
      </w:r>
      <w:bookmarkEnd w:id="3"/>
    </w:p>
    <w:p w:rsidR="00810DD5" w:rsidRPr="00145747" w:rsidRDefault="00810DD5" w:rsidP="00952CE6">
      <w:pPr>
        <w:widowControl w:val="0"/>
        <w:numPr>
          <w:ilvl w:val="1"/>
          <w:numId w:val="0"/>
        </w:numPr>
        <w:spacing w:after="0" w:line="360" w:lineRule="auto"/>
        <w:ind w:hanging="9"/>
        <w:jc w:val="both"/>
        <w:rPr>
          <w:rFonts w:ascii="Arial" w:eastAsia="Times New Roman" w:hAnsi="Arial" w:cs="Arial"/>
          <w:b/>
          <w:bCs/>
          <w:kern w:val="1"/>
          <w:sz w:val="24"/>
          <w:szCs w:val="20"/>
          <w:lang w:val="es-ES_tradnl" w:eastAsia="ar-SA"/>
        </w:rPr>
      </w:pPr>
      <w:r>
        <w:rPr>
          <w:rFonts w:ascii="Arial" w:eastAsia="Times New Roman" w:hAnsi="Arial" w:cs="Arial"/>
          <w:b/>
          <w:bCs/>
          <w:kern w:val="1"/>
          <w:sz w:val="24"/>
          <w:szCs w:val="20"/>
          <w:lang w:val="es-ES_tradnl" w:eastAsia="ar-SA"/>
        </w:rPr>
        <w:t>4</w:t>
      </w:r>
      <w:r w:rsidRPr="00145747">
        <w:rPr>
          <w:rFonts w:ascii="Arial" w:eastAsia="Times New Roman" w:hAnsi="Arial" w:cs="Arial"/>
          <w:b/>
          <w:bCs/>
          <w:kern w:val="1"/>
          <w:sz w:val="24"/>
          <w:szCs w:val="20"/>
          <w:lang w:val="es-ES_tradnl" w:eastAsia="ar-SA"/>
        </w:rPr>
        <w:t>.1 Recomendaciones del ejercicio anterior cumplidas</w:t>
      </w:r>
    </w:p>
    <w:p w:rsidR="00810DD5" w:rsidRPr="00347F0F" w:rsidRDefault="00810DD5" w:rsidP="00810DD5">
      <w:pPr>
        <w:widowControl w:val="0"/>
        <w:numPr>
          <w:ilvl w:val="0"/>
          <w:numId w:val="2"/>
        </w:numPr>
        <w:suppressAutoHyphens/>
        <w:spacing w:after="0" w:line="360" w:lineRule="auto"/>
        <w:ind w:left="0" w:hanging="9"/>
        <w:jc w:val="both"/>
        <w:outlineLvl w:val="1"/>
        <w:rPr>
          <w:rFonts w:ascii="Arial" w:eastAsia="Times New Roman" w:hAnsi="Arial" w:cs="Arial"/>
          <w:b/>
          <w:kern w:val="1"/>
          <w:sz w:val="24"/>
          <w:szCs w:val="24"/>
          <w:lang w:val="es-ES" w:eastAsia="ar-SA"/>
        </w:rPr>
      </w:pPr>
      <w:r w:rsidRPr="00145747">
        <w:rPr>
          <w:rFonts w:ascii="Arial" w:eastAsia="Times New Roman" w:hAnsi="Arial" w:cs="Arial"/>
          <w:b/>
          <w:bCs/>
          <w:kern w:val="1"/>
          <w:sz w:val="24"/>
          <w:szCs w:val="20"/>
          <w:lang w:val="es-ES" w:eastAsia="ar-SA"/>
        </w:rPr>
        <w:t>Artículo 28 de la Ordenanza 81</w:t>
      </w:r>
    </w:p>
    <w:p w:rsidR="00810DD5" w:rsidRDefault="00810DD5" w:rsidP="00952CE6">
      <w:pPr>
        <w:tabs>
          <w:tab w:val="left" w:pos="-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45747">
        <w:rPr>
          <w:rFonts w:ascii="Arial" w:eastAsia="Times New Roman" w:hAnsi="Arial" w:cs="Arial"/>
          <w:sz w:val="24"/>
          <w:szCs w:val="24"/>
          <w:lang w:val="es-ES" w:eastAsia="zh-CN"/>
        </w:rPr>
        <w:t>Los Estados Contables se remitieron con copia de la Resolución por la que se</w:t>
      </w:r>
      <w:r>
        <w:rPr>
          <w:rFonts w:ascii="Arial" w:eastAsia="Times New Roman" w:hAnsi="Arial" w:cs="Arial"/>
          <w:sz w:val="24"/>
          <w:szCs w:val="24"/>
          <w:lang w:val="es-ES" w:eastAsia="zh-CN"/>
        </w:rPr>
        <w:t xml:space="preserve"> </w:t>
      </w:r>
      <w:r w:rsidRPr="00145747">
        <w:rPr>
          <w:rFonts w:ascii="Arial" w:eastAsia="Times New Roman" w:hAnsi="Arial" w:cs="Arial"/>
          <w:sz w:val="24"/>
          <w:szCs w:val="24"/>
          <w:lang w:val="es-ES" w:eastAsia="zh-CN"/>
        </w:rPr>
        <w:t>aprobaron.</w:t>
      </w:r>
    </w:p>
    <w:p w:rsidR="00810DD5" w:rsidRPr="00145747" w:rsidRDefault="00810DD5" w:rsidP="00952CE6">
      <w:pPr>
        <w:tabs>
          <w:tab w:val="left" w:pos="-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810DD5" w:rsidRPr="00145747" w:rsidRDefault="00810DD5" w:rsidP="00952CE6">
      <w:pPr>
        <w:widowControl w:val="0"/>
        <w:numPr>
          <w:ilvl w:val="1"/>
          <w:numId w:val="0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1"/>
          <w:sz w:val="24"/>
          <w:szCs w:val="20"/>
          <w:lang w:val="es-ES_tradnl" w:eastAsia="ar-SA"/>
        </w:rPr>
      </w:pPr>
      <w:bookmarkStart w:id="4" w:name="_Toc343587277"/>
      <w:bookmarkStart w:id="5" w:name="_Toc407008325"/>
      <w:r>
        <w:rPr>
          <w:rFonts w:ascii="Arial" w:eastAsia="Times New Roman" w:hAnsi="Arial" w:cs="Arial"/>
          <w:b/>
          <w:bCs/>
          <w:kern w:val="1"/>
          <w:sz w:val="24"/>
          <w:szCs w:val="20"/>
          <w:lang w:val="es-ES_tradnl" w:eastAsia="ar-SA"/>
        </w:rPr>
        <w:t>4</w:t>
      </w:r>
      <w:r w:rsidRPr="00145747">
        <w:rPr>
          <w:rFonts w:ascii="Arial" w:eastAsia="Times New Roman" w:hAnsi="Arial" w:cs="Arial"/>
          <w:b/>
          <w:bCs/>
          <w:kern w:val="1"/>
          <w:sz w:val="24"/>
          <w:szCs w:val="20"/>
          <w:lang w:val="es-ES_tradnl" w:eastAsia="ar-SA"/>
        </w:rPr>
        <w:t>.2 Recomendaciones del ejercicio anterior no cumplidas</w:t>
      </w:r>
      <w:bookmarkEnd w:id="4"/>
      <w:bookmarkEnd w:id="5"/>
    </w:p>
    <w:p w:rsidR="00810DD5" w:rsidRPr="00B24FD0" w:rsidRDefault="00810DD5" w:rsidP="00952CE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4</w:t>
      </w:r>
      <w:r w:rsidRPr="00145747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.2.1 Artículo 3 de la Ordenanza 81, </w:t>
      </w:r>
      <w:r w:rsidRPr="00B24FD0">
        <w:rPr>
          <w:rFonts w:ascii="Arial" w:eastAsia="Times New Roman" w:hAnsi="Arial" w:cs="Arial"/>
          <w:b/>
          <w:bCs/>
          <w:sz w:val="24"/>
          <w:szCs w:val="24"/>
          <w:lang w:val="es-ES"/>
        </w:rPr>
        <w:t>(</w:t>
      </w: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Numeral 1.8</w:t>
      </w:r>
      <w:r w:rsidRPr="00145747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 Ordenanza 89</w:t>
      </w:r>
      <w:r w:rsidRPr="00B24FD0">
        <w:rPr>
          <w:rFonts w:ascii="Arial" w:eastAsia="Times New Roman" w:hAnsi="Arial" w:cs="Arial"/>
          <w:b/>
          <w:bCs/>
          <w:sz w:val="24"/>
          <w:szCs w:val="24"/>
          <w:lang w:val="es-ES"/>
        </w:rPr>
        <w:t>)</w:t>
      </w:r>
    </w:p>
    <w:p w:rsidR="00810DD5" w:rsidRPr="00952CE6" w:rsidRDefault="00810DD5" w:rsidP="00952CE6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zh-CN"/>
        </w:rPr>
      </w:pPr>
      <w:r w:rsidRPr="00145747">
        <w:rPr>
          <w:rFonts w:ascii="Arial" w:eastAsia="Times New Roman" w:hAnsi="Arial" w:cs="Arial"/>
          <w:sz w:val="24"/>
          <w:szCs w:val="24"/>
          <w:lang w:val="es-ES" w:eastAsia="zh-CN"/>
        </w:rPr>
        <w:t>Los estados contables deben emanar del sistema contable del organismo.</w:t>
      </w:r>
      <w:r>
        <w:rPr>
          <w:rFonts w:ascii="Arial" w:eastAsia="Times New Roman" w:hAnsi="Arial" w:cs="Arial"/>
          <w:sz w:val="24"/>
          <w:szCs w:val="24"/>
          <w:lang w:val="es-ES" w:eastAsia="zh-CN"/>
        </w:rPr>
        <w:t xml:space="preserve"> </w:t>
      </w:r>
      <w:r w:rsidRPr="00145747">
        <w:rPr>
          <w:rFonts w:ascii="Arial" w:eastAsia="Times New Roman" w:hAnsi="Arial" w:cs="Arial"/>
          <w:sz w:val="24"/>
          <w:szCs w:val="24"/>
          <w:lang w:val="es-ES" w:eastAsia="zh-CN"/>
        </w:rPr>
        <w:t>Se</w:t>
      </w:r>
      <w:r>
        <w:rPr>
          <w:rFonts w:ascii="Arial" w:eastAsia="Times New Roman" w:hAnsi="Arial" w:cs="Arial"/>
          <w:sz w:val="24"/>
          <w:szCs w:val="24"/>
          <w:lang w:val="es-ES" w:eastAsia="zh-CN"/>
        </w:rPr>
        <w:t xml:space="preserve"> </w:t>
      </w:r>
      <w:r w:rsidRPr="00145747">
        <w:rPr>
          <w:rFonts w:ascii="Arial" w:eastAsia="Times New Roman" w:hAnsi="Arial" w:cs="Arial"/>
          <w:sz w:val="24"/>
          <w:szCs w:val="24"/>
          <w:lang w:val="es-ES" w:eastAsia="zh-CN"/>
        </w:rPr>
        <w:t xml:space="preserve">deberá implementar un sistema contable adecuado a la operativa del mismo y que proporcione información </w:t>
      </w:r>
      <w:r>
        <w:rPr>
          <w:rFonts w:ascii="Arial" w:eastAsia="Times New Roman" w:hAnsi="Arial" w:cs="Arial"/>
          <w:sz w:val="24"/>
          <w:szCs w:val="24"/>
          <w:lang w:val="es-ES" w:eastAsia="zh-CN"/>
        </w:rPr>
        <w:t>confiable, íntegra y oportuna.</w:t>
      </w:r>
    </w:p>
    <w:p w:rsidR="00810DD5" w:rsidRPr="00145747" w:rsidRDefault="00810DD5" w:rsidP="00952CE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4</w:t>
      </w:r>
      <w:r w:rsidRPr="00145747">
        <w:rPr>
          <w:rFonts w:ascii="Arial" w:eastAsia="Times New Roman" w:hAnsi="Arial" w:cs="Arial"/>
          <w:b/>
          <w:bCs/>
          <w:sz w:val="24"/>
          <w:szCs w:val="24"/>
          <w:lang w:val="es-ES"/>
        </w:rPr>
        <w:t>.2.2 Artículos 13 y 15 de la Ordenanza 81</w:t>
      </w:r>
      <w:r w:rsidRPr="00B24FD0">
        <w:rPr>
          <w:rFonts w:ascii="Arial" w:eastAsia="Times New Roman" w:hAnsi="Arial" w:cs="Arial"/>
          <w:b/>
          <w:bCs/>
          <w:sz w:val="24"/>
          <w:szCs w:val="24"/>
          <w:lang w:val="es-ES"/>
        </w:rPr>
        <w:t>,</w:t>
      </w:r>
      <w:r w:rsidRPr="00145747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 </w:t>
      </w:r>
      <w:r w:rsidRPr="00B24FD0">
        <w:rPr>
          <w:rFonts w:ascii="Arial" w:eastAsia="Times New Roman" w:hAnsi="Arial" w:cs="Arial"/>
          <w:b/>
          <w:bCs/>
          <w:sz w:val="24"/>
          <w:szCs w:val="24"/>
          <w:lang w:val="es-ES"/>
        </w:rPr>
        <w:t>(</w:t>
      </w:r>
      <w:r w:rsidRPr="00145747">
        <w:rPr>
          <w:rFonts w:ascii="Arial" w:eastAsia="Times New Roman" w:hAnsi="Arial" w:cs="Arial"/>
          <w:b/>
          <w:bCs/>
          <w:sz w:val="24"/>
          <w:szCs w:val="24"/>
          <w:lang w:val="es-ES"/>
        </w:rPr>
        <w:t>Numeral</w:t>
      </w: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es</w:t>
      </w:r>
      <w:r w:rsidRPr="00145747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 1.</w:t>
      </w:r>
      <w:r>
        <w:rPr>
          <w:rFonts w:ascii="Arial" w:eastAsia="Times New Roman" w:hAnsi="Arial" w:cs="Arial"/>
          <w:b/>
          <w:bCs/>
          <w:sz w:val="24"/>
          <w:szCs w:val="24"/>
          <w:lang w:val="es-ES"/>
        </w:rPr>
        <w:t>6 y 1.7)</w:t>
      </w:r>
      <w:r w:rsidRPr="00145747">
        <w:rPr>
          <w:rFonts w:ascii="Arial" w:eastAsia="Times New Roman" w:hAnsi="Arial" w:cs="Arial"/>
          <w:b/>
          <w:bCs/>
          <w:sz w:val="24"/>
          <w:szCs w:val="24"/>
          <w:lang w:val="es-ES"/>
        </w:rPr>
        <w:t xml:space="preserve"> Ordenanza 89</w:t>
      </w:r>
      <w:r w:rsidRPr="00B24FD0">
        <w:rPr>
          <w:rFonts w:ascii="Arial" w:eastAsia="Times New Roman" w:hAnsi="Arial" w:cs="Arial"/>
          <w:b/>
          <w:bCs/>
          <w:sz w:val="24"/>
          <w:szCs w:val="24"/>
          <w:lang w:val="es-ES"/>
        </w:rPr>
        <w:t>)</w:t>
      </w:r>
    </w:p>
    <w:p w:rsidR="00810DD5" w:rsidRPr="00145747" w:rsidRDefault="00810DD5" w:rsidP="00952CE6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45747">
        <w:rPr>
          <w:rFonts w:ascii="Arial" w:hAnsi="Arial" w:cs="Arial"/>
          <w:sz w:val="24"/>
          <w:szCs w:val="24"/>
          <w:lang w:eastAsia="ar-SA"/>
        </w:rPr>
        <w:t xml:space="preserve">Se debe presentar la Memoria explicativa de los Estados Contables informando sobre todos los puntos de interés. Se deben presentar </w:t>
      </w:r>
      <w:r w:rsidRPr="00145747">
        <w:rPr>
          <w:rFonts w:ascii="Arial" w:eastAsia="Times New Roman" w:hAnsi="Arial" w:cs="Arial"/>
          <w:sz w:val="24"/>
          <w:szCs w:val="24"/>
          <w:lang w:val="es-ES"/>
        </w:rPr>
        <w:t>el Estado de Origen y Aplicación de Fondos y el Estado de Evolución del Patrimonio.</w:t>
      </w:r>
    </w:p>
    <w:p w:rsidR="00810DD5" w:rsidRPr="00145747" w:rsidRDefault="00810DD5" w:rsidP="00952CE6">
      <w:pPr>
        <w:widowControl w:val="0"/>
        <w:numPr>
          <w:ilvl w:val="1"/>
          <w:numId w:val="0"/>
        </w:numPr>
        <w:spacing w:after="0" w:line="360" w:lineRule="auto"/>
        <w:ind w:hanging="576"/>
        <w:jc w:val="both"/>
        <w:rPr>
          <w:rFonts w:ascii="Arial" w:eastAsia="Times New Roman" w:hAnsi="Arial" w:cs="Arial"/>
          <w:b/>
          <w:bCs/>
          <w:kern w:val="1"/>
          <w:sz w:val="24"/>
          <w:szCs w:val="20"/>
          <w:lang w:val="es-ES_tradnl" w:eastAsia="ar-SA"/>
        </w:rPr>
      </w:pPr>
      <w:bookmarkStart w:id="6" w:name="_Toc207699455"/>
      <w:bookmarkStart w:id="7" w:name="_Toc343587290"/>
      <w:bookmarkStart w:id="8" w:name="_Toc407008335"/>
    </w:p>
    <w:p w:rsidR="00810DD5" w:rsidRPr="00145747" w:rsidRDefault="00810DD5" w:rsidP="00952CE6">
      <w:pPr>
        <w:widowControl w:val="0"/>
        <w:numPr>
          <w:ilvl w:val="1"/>
          <w:numId w:val="0"/>
        </w:numPr>
        <w:spacing w:after="0" w:line="360" w:lineRule="auto"/>
        <w:jc w:val="both"/>
        <w:rPr>
          <w:rFonts w:ascii="Arial" w:eastAsia="Times New Roman" w:hAnsi="Arial" w:cs="Arial"/>
          <w:b/>
          <w:bCs/>
          <w:kern w:val="1"/>
          <w:sz w:val="24"/>
          <w:szCs w:val="20"/>
          <w:lang w:val="es-ES_tradnl" w:eastAsia="ar-SA"/>
        </w:rPr>
      </w:pPr>
      <w:r>
        <w:rPr>
          <w:rFonts w:ascii="Arial" w:eastAsia="Times New Roman" w:hAnsi="Arial" w:cs="Arial"/>
          <w:b/>
          <w:bCs/>
          <w:kern w:val="1"/>
          <w:sz w:val="24"/>
          <w:szCs w:val="20"/>
          <w:lang w:val="es-ES_tradnl" w:eastAsia="ar-SA"/>
        </w:rPr>
        <w:t>4</w:t>
      </w:r>
      <w:r w:rsidRPr="00145747">
        <w:rPr>
          <w:rFonts w:ascii="Arial" w:eastAsia="Times New Roman" w:hAnsi="Arial" w:cs="Arial"/>
          <w:b/>
          <w:bCs/>
          <w:kern w:val="1"/>
          <w:sz w:val="24"/>
          <w:szCs w:val="20"/>
          <w:lang w:val="es-ES_tradnl" w:eastAsia="ar-SA"/>
        </w:rPr>
        <w:t>.3 Recomendaciones del ejercicio</w:t>
      </w:r>
      <w:bookmarkEnd w:id="6"/>
      <w:bookmarkEnd w:id="7"/>
      <w:bookmarkEnd w:id="8"/>
    </w:p>
    <w:p w:rsidR="00810DD5" w:rsidRPr="00145747" w:rsidRDefault="00810DD5" w:rsidP="00952CE6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4"/>
          <w:szCs w:val="20"/>
          <w:lang w:val="es-ES_tradnl" w:eastAsia="ar-SA"/>
        </w:rPr>
      </w:pPr>
      <w:r w:rsidRPr="00145747">
        <w:rPr>
          <w:rFonts w:ascii="Arial" w:eastAsia="Times New Roman" w:hAnsi="Arial" w:cs="Arial"/>
          <w:kern w:val="1"/>
          <w:sz w:val="24"/>
          <w:szCs w:val="20"/>
          <w:lang w:val="es-ES_tradnl" w:eastAsia="ar-SA"/>
        </w:rPr>
        <w:t>Se reiteran las recomendaciones señaladas en el Numeral 3.2.</w:t>
      </w:r>
    </w:p>
    <w:p w:rsidR="00810DD5" w:rsidRPr="00145747" w:rsidRDefault="00810DD5" w:rsidP="00952C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>4</w:t>
      </w:r>
      <w:r w:rsidRPr="00145747">
        <w:rPr>
          <w:rFonts w:ascii="Arial" w:hAnsi="Arial" w:cs="Arial"/>
          <w:b/>
          <w:bCs/>
          <w:sz w:val="24"/>
          <w:szCs w:val="24"/>
          <w:lang w:val="es-ES" w:eastAsia="es-ES"/>
        </w:rPr>
        <w:t>.3.1</w:t>
      </w:r>
      <w:r w:rsidRPr="00145747">
        <w:rPr>
          <w:rFonts w:ascii="Arial" w:hAnsi="Arial" w:cs="Arial"/>
          <w:bCs/>
          <w:sz w:val="24"/>
          <w:szCs w:val="24"/>
          <w:lang w:val="es-ES" w:eastAsia="es-ES"/>
        </w:rPr>
        <w:t xml:space="preserve"> La Intendencia deberá arbitrar los mecanismos a fin de superar las debilidades de control interno señaladas en el numeral </w:t>
      </w:r>
      <w:r>
        <w:rPr>
          <w:rFonts w:ascii="Arial" w:hAnsi="Arial" w:cs="Arial"/>
          <w:bCs/>
          <w:sz w:val="24"/>
          <w:szCs w:val="24"/>
          <w:lang w:val="es-ES" w:eastAsia="es-ES"/>
        </w:rPr>
        <w:t>2</w:t>
      </w:r>
      <w:r w:rsidRPr="00145747">
        <w:rPr>
          <w:rFonts w:ascii="Arial" w:hAnsi="Arial" w:cs="Arial"/>
          <w:bCs/>
          <w:sz w:val="24"/>
          <w:szCs w:val="24"/>
          <w:lang w:val="es-ES" w:eastAsia="es-ES"/>
        </w:rPr>
        <w:t>) del presente Informe.</w:t>
      </w:r>
    </w:p>
    <w:p w:rsidR="00810DD5" w:rsidRPr="00145747" w:rsidRDefault="00810DD5" w:rsidP="00952CE6">
      <w:pPr>
        <w:widowControl w:val="0"/>
        <w:spacing w:after="0" w:line="360" w:lineRule="auto"/>
        <w:jc w:val="right"/>
        <w:rPr>
          <w:rFonts w:ascii="Arial" w:eastAsia="Times New Roman" w:hAnsi="Arial" w:cs="Arial"/>
          <w:spacing w:val="-3"/>
          <w:kern w:val="1"/>
          <w:sz w:val="24"/>
          <w:szCs w:val="20"/>
          <w:lang w:val="es-ES_tradnl" w:eastAsia="ar-SA"/>
        </w:rPr>
      </w:pPr>
      <w:r w:rsidRPr="00145747">
        <w:rPr>
          <w:rFonts w:ascii="Arial" w:eastAsia="Times New Roman" w:hAnsi="Arial" w:cs="Arial"/>
          <w:spacing w:val="-3"/>
          <w:kern w:val="1"/>
          <w:sz w:val="24"/>
          <w:szCs w:val="20"/>
          <w:lang w:val="es-ES_tradnl" w:eastAsia="ar-SA"/>
        </w:rPr>
        <w:t>Montevideo, 05 de febrero de 2019</w:t>
      </w:r>
    </w:p>
    <w:p w:rsidR="00810DD5" w:rsidRPr="00145747" w:rsidRDefault="00810DD5" w:rsidP="00952CE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810DD5" w:rsidRPr="00810DD5" w:rsidRDefault="00810DD5" w:rsidP="00810DD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10DD5">
        <w:rPr>
          <w:rFonts w:ascii="Arial" w:hAnsi="Arial" w:cs="Arial"/>
          <w:sz w:val="20"/>
          <w:szCs w:val="20"/>
        </w:rPr>
        <w:t>CLC</w:t>
      </w:r>
    </w:p>
    <w:sectPr w:rsidR="00810DD5" w:rsidRPr="00810DD5" w:rsidSect="00E43CC6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D76B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Estilo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11351B"/>
    <w:multiLevelType w:val="multilevel"/>
    <w:tmpl w:val="30F696FA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64590761"/>
    <w:multiLevelType w:val="hybridMultilevel"/>
    <w:tmpl w:val="AA16AB8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D12B2"/>
    <w:multiLevelType w:val="hybridMultilevel"/>
    <w:tmpl w:val="81F29D6C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B1E89"/>
    <w:multiLevelType w:val="multilevel"/>
    <w:tmpl w:val="282EB3AA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EC"/>
    <w:rsid w:val="00003D18"/>
    <w:rsid w:val="00021E23"/>
    <w:rsid w:val="00024C5B"/>
    <w:rsid w:val="000256CA"/>
    <w:rsid w:val="00060501"/>
    <w:rsid w:val="00075154"/>
    <w:rsid w:val="00082F49"/>
    <w:rsid w:val="0009651C"/>
    <w:rsid w:val="000B2634"/>
    <w:rsid w:val="000B6F79"/>
    <w:rsid w:val="00145747"/>
    <w:rsid w:val="001748D0"/>
    <w:rsid w:val="00197832"/>
    <w:rsid w:val="001C2DB2"/>
    <w:rsid w:val="001C7719"/>
    <w:rsid w:val="00236B31"/>
    <w:rsid w:val="002C78F4"/>
    <w:rsid w:val="00305153"/>
    <w:rsid w:val="00306739"/>
    <w:rsid w:val="00317578"/>
    <w:rsid w:val="00331D51"/>
    <w:rsid w:val="003531CF"/>
    <w:rsid w:val="00356459"/>
    <w:rsid w:val="0036747A"/>
    <w:rsid w:val="00370B45"/>
    <w:rsid w:val="00373C79"/>
    <w:rsid w:val="00384E7E"/>
    <w:rsid w:val="003D03A5"/>
    <w:rsid w:val="003D7C53"/>
    <w:rsid w:val="00422A14"/>
    <w:rsid w:val="00481B12"/>
    <w:rsid w:val="0049208A"/>
    <w:rsid w:val="004F2B00"/>
    <w:rsid w:val="00510657"/>
    <w:rsid w:val="00540D72"/>
    <w:rsid w:val="00567F6E"/>
    <w:rsid w:val="005D60E8"/>
    <w:rsid w:val="006E63EC"/>
    <w:rsid w:val="0074513B"/>
    <w:rsid w:val="007757F5"/>
    <w:rsid w:val="007A7EE7"/>
    <w:rsid w:val="007C0F65"/>
    <w:rsid w:val="007C47B6"/>
    <w:rsid w:val="007F51EF"/>
    <w:rsid w:val="00810DD5"/>
    <w:rsid w:val="008A3732"/>
    <w:rsid w:val="00910009"/>
    <w:rsid w:val="009825D4"/>
    <w:rsid w:val="009A7935"/>
    <w:rsid w:val="009C0439"/>
    <w:rsid w:val="009E3BDA"/>
    <w:rsid w:val="00A22F2E"/>
    <w:rsid w:val="00B009D8"/>
    <w:rsid w:val="00B13760"/>
    <w:rsid w:val="00B21E46"/>
    <w:rsid w:val="00B24FD0"/>
    <w:rsid w:val="00B4598B"/>
    <w:rsid w:val="00B83D16"/>
    <w:rsid w:val="00B91055"/>
    <w:rsid w:val="00BF6FA6"/>
    <w:rsid w:val="00C36875"/>
    <w:rsid w:val="00C640A2"/>
    <w:rsid w:val="00CC0C29"/>
    <w:rsid w:val="00CC1763"/>
    <w:rsid w:val="00D239DE"/>
    <w:rsid w:val="00D46E1D"/>
    <w:rsid w:val="00D636EA"/>
    <w:rsid w:val="00D93403"/>
    <w:rsid w:val="00E36826"/>
    <w:rsid w:val="00E43CC6"/>
    <w:rsid w:val="00E916A6"/>
    <w:rsid w:val="00F37799"/>
    <w:rsid w:val="00F905FB"/>
    <w:rsid w:val="00F96CBF"/>
    <w:rsid w:val="00FA7DC0"/>
    <w:rsid w:val="00FF1E63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5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05153"/>
    <w:pPr>
      <w:suppressAutoHyphens/>
      <w:spacing w:after="240" w:line="240" w:lineRule="atLeast"/>
      <w:jc w:val="both"/>
    </w:pPr>
    <w:rPr>
      <w:rFonts w:ascii="Arial" w:eastAsia="Times New Roman" w:hAnsi="Arial" w:cs="Arial"/>
      <w:kern w:val="1"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305153"/>
    <w:rPr>
      <w:rFonts w:ascii="Arial" w:eastAsia="Times New Roman" w:hAnsi="Arial" w:cs="Arial"/>
      <w:kern w:val="1"/>
      <w:sz w:val="24"/>
      <w:szCs w:val="20"/>
      <w:lang w:val="es-ES_tradnl" w:eastAsia="ar-SA"/>
    </w:rPr>
  </w:style>
  <w:style w:type="paragraph" w:styleId="Subttulo">
    <w:name w:val="Subtitle"/>
    <w:basedOn w:val="Normal"/>
    <w:next w:val="Textoindependiente"/>
    <w:link w:val="SubttuloCar"/>
    <w:qFormat/>
    <w:rsid w:val="00305153"/>
    <w:pPr>
      <w:suppressAutoHyphens/>
      <w:spacing w:after="0" w:line="360" w:lineRule="auto"/>
      <w:jc w:val="both"/>
    </w:pPr>
    <w:rPr>
      <w:rFonts w:ascii="Bookman Old Style" w:eastAsia="Times New Roman" w:hAnsi="Bookman Old Style" w:cs="Arial"/>
      <w:b/>
      <w:kern w:val="1"/>
      <w:sz w:val="24"/>
      <w:szCs w:val="20"/>
      <w:lang w:val="es-ES" w:eastAsia="ar-SA"/>
    </w:rPr>
  </w:style>
  <w:style w:type="character" w:customStyle="1" w:styleId="SubttuloCar">
    <w:name w:val="Subtítulo Car"/>
    <w:basedOn w:val="Fuentedeprrafopredeter"/>
    <w:link w:val="Subttulo"/>
    <w:rsid w:val="00305153"/>
    <w:rPr>
      <w:rFonts w:ascii="Bookman Old Style" w:eastAsia="Times New Roman" w:hAnsi="Bookman Old Style" w:cs="Arial"/>
      <w:b/>
      <w:kern w:val="1"/>
      <w:sz w:val="24"/>
      <w:szCs w:val="20"/>
      <w:lang w:val="es-ES" w:eastAsia="ar-SA"/>
    </w:rPr>
  </w:style>
  <w:style w:type="paragraph" w:customStyle="1" w:styleId="Estilo1">
    <w:name w:val="Estilo1"/>
    <w:basedOn w:val="Textoindependiente"/>
    <w:next w:val="Ttulo2"/>
    <w:qFormat/>
    <w:rsid w:val="00305153"/>
    <w:pPr>
      <w:widowControl w:val="0"/>
      <w:numPr>
        <w:ilvl w:val="1"/>
        <w:numId w:val="2"/>
      </w:numPr>
      <w:suppressAutoHyphens w:val="0"/>
      <w:spacing w:after="0" w:line="360" w:lineRule="auto"/>
    </w:pPr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5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qFormat/>
    <w:rsid w:val="009825D4"/>
    <w:pPr>
      <w:ind w:left="720"/>
    </w:pPr>
    <w:rPr>
      <w:rFonts w:ascii="Calibri" w:eastAsia="Times New Roman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5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05153"/>
    <w:pPr>
      <w:suppressAutoHyphens/>
      <w:spacing w:after="240" w:line="240" w:lineRule="atLeast"/>
      <w:jc w:val="both"/>
    </w:pPr>
    <w:rPr>
      <w:rFonts w:ascii="Arial" w:eastAsia="Times New Roman" w:hAnsi="Arial" w:cs="Arial"/>
      <w:kern w:val="1"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305153"/>
    <w:rPr>
      <w:rFonts w:ascii="Arial" w:eastAsia="Times New Roman" w:hAnsi="Arial" w:cs="Arial"/>
      <w:kern w:val="1"/>
      <w:sz w:val="24"/>
      <w:szCs w:val="20"/>
      <w:lang w:val="es-ES_tradnl" w:eastAsia="ar-SA"/>
    </w:rPr>
  </w:style>
  <w:style w:type="paragraph" w:styleId="Subttulo">
    <w:name w:val="Subtitle"/>
    <w:basedOn w:val="Normal"/>
    <w:next w:val="Textoindependiente"/>
    <w:link w:val="SubttuloCar"/>
    <w:qFormat/>
    <w:rsid w:val="00305153"/>
    <w:pPr>
      <w:suppressAutoHyphens/>
      <w:spacing w:after="0" w:line="360" w:lineRule="auto"/>
      <w:jc w:val="both"/>
    </w:pPr>
    <w:rPr>
      <w:rFonts w:ascii="Bookman Old Style" w:eastAsia="Times New Roman" w:hAnsi="Bookman Old Style" w:cs="Arial"/>
      <w:b/>
      <w:kern w:val="1"/>
      <w:sz w:val="24"/>
      <w:szCs w:val="20"/>
      <w:lang w:val="es-ES" w:eastAsia="ar-SA"/>
    </w:rPr>
  </w:style>
  <w:style w:type="character" w:customStyle="1" w:styleId="SubttuloCar">
    <w:name w:val="Subtítulo Car"/>
    <w:basedOn w:val="Fuentedeprrafopredeter"/>
    <w:link w:val="Subttulo"/>
    <w:rsid w:val="00305153"/>
    <w:rPr>
      <w:rFonts w:ascii="Bookman Old Style" w:eastAsia="Times New Roman" w:hAnsi="Bookman Old Style" w:cs="Arial"/>
      <w:b/>
      <w:kern w:val="1"/>
      <w:sz w:val="24"/>
      <w:szCs w:val="20"/>
      <w:lang w:val="es-ES" w:eastAsia="ar-SA"/>
    </w:rPr>
  </w:style>
  <w:style w:type="paragraph" w:customStyle="1" w:styleId="Estilo1">
    <w:name w:val="Estilo1"/>
    <w:basedOn w:val="Textoindependiente"/>
    <w:next w:val="Ttulo2"/>
    <w:qFormat/>
    <w:rsid w:val="00305153"/>
    <w:pPr>
      <w:widowControl w:val="0"/>
      <w:numPr>
        <w:ilvl w:val="1"/>
        <w:numId w:val="2"/>
      </w:numPr>
      <w:suppressAutoHyphens w:val="0"/>
      <w:spacing w:after="0" w:line="360" w:lineRule="auto"/>
    </w:pPr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5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qFormat/>
    <w:rsid w:val="009825D4"/>
    <w:pPr>
      <w:ind w:left="720"/>
    </w:pPr>
    <w:rPr>
      <w:rFonts w:ascii="Calibri" w:eastAsia="Times New Roman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AE58-9E87-4A58-87C5-C79EE266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1424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Patricio Young</dc:creator>
  <cp:lastModifiedBy>Tribunal1</cp:lastModifiedBy>
  <cp:revision>8</cp:revision>
  <cp:lastPrinted>2019-04-30T17:31:00Z</cp:lastPrinted>
  <dcterms:created xsi:type="dcterms:W3CDTF">2019-04-25T17:56:00Z</dcterms:created>
  <dcterms:modified xsi:type="dcterms:W3CDTF">2019-05-13T18:52:00Z</dcterms:modified>
</cp:coreProperties>
</file>