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777" w:rsidRPr="003F3A3F" w:rsidRDefault="00110777" w:rsidP="00110777">
      <w:pPr>
        <w:tabs>
          <w:tab w:val="center" w:pos="4253"/>
        </w:tabs>
        <w:suppressAutoHyphens/>
        <w:spacing w:line="480" w:lineRule="auto"/>
        <w:jc w:val="right"/>
        <w:rPr>
          <w:rFonts w:cs="Arial"/>
          <w:b/>
          <w:sz w:val="28"/>
          <w:szCs w:val="28"/>
          <w:lang w:val="es-ES_tradnl"/>
        </w:rPr>
      </w:pPr>
      <w:r w:rsidRPr="003F3A3F">
        <w:rPr>
          <w:rFonts w:cs="Arial"/>
          <w:b/>
          <w:sz w:val="28"/>
          <w:szCs w:val="28"/>
          <w:lang w:val="es-ES_tradnl"/>
        </w:rPr>
        <w:t xml:space="preserve">RES. </w:t>
      </w:r>
      <w:r>
        <w:rPr>
          <w:rFonts w:cs="Arial"/>
          <w:b/>
          <w:sz w:val="28"/>
          <w:szCs w:val="28"/>
          <w:lang w:val="es-ES_tradnl"/>
        </w:rPr>
        <w:t>965</w:t>
      </w:r>
      <w:r w:rsidRPr="003F3A3F">
        <w:rPr>
          <w:rFonts w:cs="Arial"/>
          <w:b/>
          <w:sz w:val="28"/>
          <w:szCs w:val="28"/>
          <w:lang w:val="es-ES_tradnl"/>
        </w:rPr>
        <w:t>/19</w:t>
      </w:r>
    </w:p>
    <w:p w:rsidR="00110777" w:rsidRPr="000F48AC" w:rsidRDefault="00110777" w:rsidP="00110777">
      <w:pPr>
        <w:tabs>
          <w:tab w:val="center" w:pos="4253"/>
        </w:tabs>
        <w:suppressAutoHyphens/>
        <w:spacing w:line="480" w:lineRule="auto"/>
        <w:jc w:val="center"/>
        <w:rPr>
          <w:rFonts w:cs="Arial"/>
          <w:b/>
          <w:lang w:val="es-ES_tradnl"/>
        </w:rPr>
      </w:pPr>
      <w:r w:rsidRPr="000F48AC">
        <w:rPr>
          <w:rFonts w:cs="Arial"/>
          <w:b/>
          <w:lang w:val="es-ES_tradnl"/>
        </w:rPr>
        <w:t>RESOLUCION ADOPTADA POR EL</w:t>
      </w:r>
    </w:p>
    <w:p w:rsidR="00110777" w:rsidRPr="000F48AC" w:rsidRDefault="00110777" w:rsidP="00110777">
      <w:pPr>
        <w:tabs>
          <w:tab w:val="center" w:pos="4253"/>
        </w:tabs>
        <w:suppressAutoHyphens/>
        <w:spacing w:line="480" w:lineRule="auto"/>
        <w:jc w:val="center"/>
        <w:rPr>
          <w:rFonts w:cs="Arial"/>
          <w:b/>
          <w:lang w:val="es-ES_tradnl"/>
        </w:rPr>
      </w:pPr>
      <w:r w:rsidRPr="000F48AC">
        <w:rPr>
          <w:rFonts w:cs="Arial"/>
          <w:b/>
          <w:lang w:val="es-ES_tradnl"/>
        </w:rPr>
        <w:t>TRIBUNAL DE CUENTAS</w:t>
      </w:r>
    </w:p>
    <w:p w:rsidR="00110777" w:rsidRPr="000F48AC" w:rsidRDefault="00110777" w:rsidP="00110777">
      <w:pPr>
        <w:tabs>
          <w:tab w:val="center" w:pos="4253"/>
        </w:tabs>
        <w:suppressAutoHyphens/>
        <w:spacing w:line="480" w:lineRule="auto"/>
        <w:jc w:val="center"/>
        <w:rPr>
          <w:rFonts w:cs="Arial"/>
          <w:b/>
          <w:lang w:val="es-ES_tradnl"/>
        </w:rPr>
      </w:pPr>
      <w:r w:rsidRPr="000F48AC">
        <w:rPr>
          <w:rFonts w:cs="Arial"/>
          <w:b/>
          <w:lang w:val="es-ES_tradnl"/>
        </w:rPr>
        <w:t xml:space="preserve">EN SESION DE FECHA </w:t>
      </w:r>
      <w:r>
        <w:rPr>
          <w:rFonts w:cs="Arial"/>
          <w:b/>
          <w:lang w:val="es-ES_tradnl"/>
        </w:rPr>
        <w:t>10 DE ABRIL DE 2019</w:t>
      </w:r>
    </w:p>
    <w:p w:rsidR="00110777" w:rsidRDefault="00110777" w:rsidP="00110777">
      <w:pPr>
        <w:tabs>
          <w:tab w:val="center" w:pos="4253"/>
        </w:tabs>
        <w:suppressAutoHyphens/>
        <w:spacing w:line="360" w:lineRule="auto"/>
        <w:jc w:val="center"/>
        <w:rPr>
          <w:rFonts w:cs="Arial"/>
          <w:b/>
        </w:rPr>
      </w:pPr>
      <w:r w:rsidRPr="00BB4DEC">
        <w:rPr>
          <w:rFonts w:cs="Arial"/>
          <w:b/>
        </w:rPr>
        <w:t>(E.</w:t>
      </w:r>
      <w:r>
        <w:rPr>
          <w:rFonts w:cs="Arial"/>
          <w:b/>
        </w:rPr>
        <w:t xml:space="preserve"> E. Nº 201</w:t>
      </w:r>
      <w:r>
        <w:rPr>
          <w:rFonts w:cs="Arial"/>
          <w:b/>
        </w:rPr>
        <w:t>9</w:t>
      </w:r>
      <w:r>
        <w:rPr>
          <w:rFonts w:cs="Arial"/>
          <w:b/>
        </w:rPr>
        <w:t>-17-1-000</w:t>
      </w:r>
      <w:r>
        <w:rPr>
          <w:rFonts w:cs="Arial"/>
          <w:b/>
        </w:rPr>
        <w:t>0700</w:t>
      </w:r>
      <w:r>
        <w:rPr>
          <w:rFonts w:cs="Arial"/>
          <w:b/>
        </w:rPr>
        <w:t xml:space="preserve">, </w:t>
      </w:r>
      <w:proofErr w:type="spellStart"/>
      <w:r>
        <w:rPr>
          <w:rFonts w:cs="Arial"/>
          <w:b/>
        </w:rPr>
        <w:t>Ent</w:t>
      </w:r>
      <w:proofErr w:type="spellEnd"/>
      <w:r>
        <w:rPr>
          <w:rFonts w:cs="Arial"/>
          <w:b/>
        </w:rPr>
        <w:t xml:space="preserve">. N° </w:t>
      </w:r>
      <w:r>
        <w:rPr>
          <w:rFonts w:cs="Arial"/>
          <w:b/>
        </w:rPr>
        <w:t>1155</w:t>
      </w:r>
      <w:r>
        <w:rPr>
          <w:rFonts w:cs="Arial"/>
          <w:b/>
        </w:rPr>
        <w:t>/19</w:t>
      </w:r>
      <w:r w:rsidRPr="00BB4DEC">
        <w:rPr>
          <w:rFonts w:cs="Arial"/>
          <w:b/>
        </w:rPr>
        <w:t>)</w:t>
      </w:r>
    </w:p>
    <w:p w:rsidR="00110777" w:rsidRPr="00BB4DEC" w:rsidRDefault="00110777" w:rsidP="00110777">
      <w:pPr>
        <w:tabs>
          <w:tab w:val="center" w:pos="4253"/>
        </w:tabs>
        <w:suppressAutoHyphens/>
        <w:spacing w:line="360" w:lineRule="auto"/>
        <w:jc w:val="center"/>
        <w:rPr>
          <w:rFonts w:cs="Arial"/>
          <w:b/>
        </w:rPr>
      </w:pPr>
    </w:p>
    <w:p w:rsidR="0013101A" w:rsidRDefault="0013101A" w:rsidP="00110777">
      <w:pPr>
        <w:spacing w:line="360" w:lineRule="auto"/>
        <w:ind w:firstLine="851"/>
        <w:jc w:val="both"/>
        <w:rPr>
          <w:rFonts w:cs="Arial"/>
          <w:szCs w:val="20"/>
          <w:lang w:val="es-MX"/>
        </w:rPr>
      </w:pPr>
      <w:r w:rsidRPr="004E5E26">
        <w:rPr>
          <w:rFonts w:cs="Arial"/>
          <w:b/>
          <w:szCs w:val="20"/>
          <w:lang w:val="es-MX"/>
        </w:rPr>
        <w:t>VISTO:</w:t>
      </w:r>
      <w:r w:rsidRPr="004E5E26">
        <w:rPr>
          <w:rFonts w:cs="Arial"/>
          <w:szCs w:val="20"/>
          <w:lang w:val="es-MX"/>
        </w:rPr>
        <w:t xml:space="preserve"> </w:t>
      </w:r>
      <w:r>
        <w:rPr>
          <w:rFonts w:cs="Arial"/>
          <w:szCs w:val="20"/>
          <w:lang w:val="es-MX"/>
        </w:rPr>
        <w:t>las actuaciones remitidas por la Administración Nacional de Educación Pública relacionadas con el fraccionamiento del gasto para las obras de mantenimiento de menor porte en los centros educativos de todo el país durante el ejercicio 2019;</w:t>
      </w:r>
    </w:p>
    <w:p w:rsidR="007F7C14" w:rsidRDefault="0013101A" w:rsidP="00110777">
      <w:pPr>
        <w:spacing w:line="360" w:lineRule="auto"/>
        <w:ind w:firstLine="851"/>
        <w:jc w:val="both"/>
        <w:rPr>
          <w:rFonts w:cs="Arial"/>
          <w:szCs w:val="20"/>
          <w:lang w:val="es-MX"/>
        </w:rPr>
      </w:pPr>
      <w:r w:rsidRPr="00A71A21">
        <w:rPr>
          <w:rFonts w:cs="Arial"/>
          <w:b/>
          <w:szCs w:val="20"/>
          <w:lang w:val="es-MX"/>
        </w:rPr>
        <w:t>RESULTANDO:</w:t>
      </w:r>
      <w:r w:rsidR="0074460F">
        <w:rPr>
          <w:rFonts w:cs="Arial"/>
          <w:b/>
          <w:szCs w:val="20"/>
          <w:lang w:val="es-MX"/>
        </w:rPr>
        <w:t xml:space="preserve"> </w:t>
      </w:r>
      <w:r>
        <w:rPr>
          <w:rFonts w:cs="Arial"/>
          <w:b/>
          <w:szCs w:val="20"/>
          <w:lang w:val="es-MX"/>
        </w:rPr>
        <w:t xml:space="preserve">1) </w:t>
      </w:r>
      <w:r>
        <w:rPr>
          <w:rFonts w:cs="Arial"/>
          <w:szCs w:val="20"/>
          <w:lang w:val="es-MX"/>
        </w:rPr>
        <w:t xml:space="preserve">que con fecha 28.11.18 la Dirección Sectorial de Infraestructura informó que, a efectos de asegurar las condiciones edilicias de los locales educativos, se realizan obras de mantenimiento de menor porte de acuerdo a las necesidades técnicas específicas de cada local, </w:t>
      </w:r>
      <w:r w:rsidR="007F7C14">
        <w:rPr>
          <w:rFonts w:cs="Arial"/>
          <w:szCs w:val="20"/>
          <w:lang w:val="es-MX"/>
        </w:rPr>
        <w:t>señalando que:</w:t>
      </w:r>
    </w:p>
    <w:p w:rsidR="0013101A" w:rsidRDefault="007F7C14" w:rsidP="00110777">
      <w:pPr>
        <w:spacing w:line="360" w:lineRule="auto"/>
        <w:jc w:val="both"/>
        <w:rPr>
          <w:rFonts w:cs="Arial"/>
          <w:szCs w:val="20"/>
          <w:lang w:val="es-MX"/>
        </w:rPr>
      </w:pPr>
      <w:r w:rsidRPr="0074460F">
        <w:rPr>
          <w:rFonts w:cs="Arial"/>
          <w:b/>
          <w:szCs w:val="20"/>
          <w:lang w:val="es-MX"/>
        </w:rPr>
        <w:t>1</w:t>
      </w:r>
      <w:r w:rsidR="0013101A" w:rsidRPr="00A71A21">
        <w:rPr>
          <w:rFonts w:cs="Arial"/>
          <w:b/>
          <w:szCs w:val="20"/>
          <w:lang w:val="es-MX"/>
        </w:rPr>
        <w:t>.1)</w:t>
      </w:r>
      <w:r w:rsidR="0013101A">
        <w:rPr>
          <w:rFonts w:cs="Arial"/>
          <w:szCs w:val="20"/>
          <w:lang w:val="es-MX"/>
        </w:rPr>
        <w:t xml:space="preserve"> si bien todas las obras a efectuar tienen objeto similar, no es posible realizar un solo procedimiento público que las contemple en su totalidad a efectos de cubrir las necesidades de cada local, lo que hace muy factible el elevado precio de las eventuales ofertas ya que, inclusive, debe considerarse las distancias existentes entre los centros; </w:t>
      </w:r>
    </w:p>
    <w:p w:rsidR="0013101A" w:rsidRDefault="007F7C14" w:rsidP="00110777">
      <w:pPr>
        <w:spacing w:line="360" w:lineRule="auto"/>
        <w:jc w:val="both"/>
        <w:rPr>
          <w:rFonts w:cs="Arial"/>
          <w:szCs w:val="20"/>
          <w:lang w:val="es-MX"/>
        </w:rPr>
      </w:pPr>
      <w:r>
        <w:rPr>
          <w:rFonts w:cs="Arial"/>
          <w:b/>
          <w:szCs w:val="20"/>
          <w:lang w:val="es-MX"/>
        </w:rPr>
        <w:t>1</w:t>
      </w:r>
      <w:r w:rsidR="0013101A" w:rsidRPr="00A71A21">
        <w:rPr>
          <w:rFonts w:cs="Arial"/>
          <w:b/>
          <w:szCs w:val="20"/>
          <w:lang w:val="es-MX"/>
        </w:rPr>
        <w:t>.2)</w:t>
      </w:r>
      <w:r w:rsidR="0013101A">
        <w:rPr>
          <w:rFonts w:cs="Arial"/>
          <w:szCs w:val="20"/>
          <w:lang w:val="es-MX"/>
        </w:rPr>
        <w:t xml:space="preserve"> realizar procedimientos separadamente para cada local permite tomar recaudos específicos, detallando las obras necesarias, posibilitando su supervisión y habilitando la participación de empresas locales de menor estructura;</w:t>
      </w:r>
    </w:p>
    <w:p w:rsidR="0013101A" w:rsidRDefault="007F7C14" w:rsidP="00110777">
      <w:pPr>
        <w:spacing w:line="360" w:lineRule="auto"/>
        <w:jc w:val="both"/>
        <w:rPr>
          <w:rFonts w:cs="Arial"/>
          <w:szCs w:val="20"/>
          <w:lang w:val="es-MX"/>
        </w:rPr>
      </w:pPr>
      <w:r>
        <w:rPr>
          <w:rFonts w:cs="Arial"/>
          <w:b/>
          <w:szCs w:val="20"/>
          <w:lang w:val="es-MX"/>
        </w:rPr>
        <w:t>1</w:t>
      </w:r>
      <w:r w:rsidR="0013101A" w:rsidRPr="00A71A21">
        <w:rPr>
          <w:rFonts w:cs="Arial"/>
          <w:b/>
          <w:szCs w:val="20"/>
          <w:lang w:val="es-MX"/>
        </w:rPr>
        <w:t xml:space="preserve">.3) </w:t>
      </w:r>
      <w:r w:rsidR="0013101A">
        <w:rPr>
          <w:rFonts w:cs="Arial"/>
          <w:szCs w:val="20"/>
          <w:lang w:val="es-MX"/>
        </w:rPr>
        <w:t xml:space="preserve">asimismo, debe sumarse el mantenimiento realizado por casos de emergencias climáticas, vandalismo, </w:t>
      </w:r>
      <w:proofErr w:type="spellStart"/>
      <w:r w:rsidR="0013101A">
        <w:rPr>
          <w:rFonts w:cs="Arial"/>
          <w:szCs w:val="20"/>
          <w:lang w:val="es-MX"/>
        </w:rPr>
        <w:t>etc</w:t>
      </w:r>
      <w:proofErr w:type="spellEnd"/>
      <w:r w:rsidR="0013101A">
        <w:rPr>
          <w:rFonts w:cs="Arial"/>
          <w:szCs w:val="20"/>
          <w:lang w:val="es-MX"/>
        </w:rPr>
        <w:t xml:space="preserve"> que resulta imposible de prever y planificar y requiere de respuesta inmediata;</w:t>
      </w:r>
    </w:p>
    <w:p w:rsidR="00627BB1" w:rsidRDefault="007F7C14" w:rsidP="00627BB1">
      <w:pPr>
        <w:spacing w:line="360" w:lineRule="auto"/>
        <w:ind w:firstLine="2694"/>
        <w:jc w:val="both"/>
        <w:rPr>
          <w:rFonts w:cs="Arial"/>
          <w:szCs w:val="20"/>
          <w:lang w:val="es-MX"/>
        </w:rPr>
      </w:pPr>
      <w:r w:rsidRPr="0074460F">
        <w:rPr>
          <w:rFonts w:cs="Arial"/>
          <w:b/>
          <w:szCs w:val="20"/>
          <w:lang w:val="es-MX"/>
        </w:rPr>
        <w:t>2</w:t>
      </w:r>
      <w:r w:rsidR="0013101A" w:rsidRPr="00A71A21">
        <w:rPr>
          <w:rFonts w:cs="Arial"/>
          <w:b/>
          <w:szCs w:val="20"/>
          <w:lang w:val="es-MX"/>
        </w:rPr>
        <w:t xml:space="preserve">) </w:t>
      </w:r>
      <w:r w:rsidR="0013101A">
        <w:rPr>
          <w:rFonts w:cs="Arial"/>
          <w:szCs w:val="20"/>
          <w:lang w:val="es-MX"/>
        </w:rPr>
        <w:t>que con fecha 03.12.18</w:t>
      </w:r>
      <w:r>
        <w:rPr>
          <w:rFonts w:cs="Arial"/>
          <w:szCs w:val="20"/>
          <w:lang w:val="es-MX"/>
        </w:rPr>
        <w:t>,</w:t>
      </w:r>
      <w:r w:rsidR="0013101A">
        <w:rPr>
          <w:rFonts w:cs="Arial"/>
          <w:szCs w:val="20"/>
          <w:lang w:val="es-MX"/>
        </w:rPr>
        <w:t xml:space="preserve"> la Unidad Letrada expresó que la fundamentación y mérito son suficientes en cuanto a la conveniencia </w:t>
      </w:r>
      <w:r w:rsidR="0013101A">
        <w:rPr>
          <w:rFonts w:cs="Arial"/>
          <w:szCs w:val="20"/>
          <w:lang w:val="es-MX"/>
        </w:rPr>
        <w:lastRenderedPageBreak/>
        <w:t>para el servicio y así solucionar la problemática que enfrenta la referida Dirección para cumplir con sus cometidos;</w:t>
      </w:r>
    </w:p>
    <w:p w:rsidR="00627BB1" w:rsidRDefault="007F7C14" w:rsidP="00627BB1">
      <w:pPr>
        <w:spacing w:line="360" w:lineRule="auto"/>
        <w:ind w:firstLine="2694"/>
        <w:jc w:val="both"/>
        <w:rPr>
          <w:rFonts w:cs="Arial"/>
          <w:szCs w:val="20"/>
          <w:lang w:val="es-MX"/>
        </w:rPr>
      </w:pPr>
      <w:r w:rsidRPr="0074460F">
        <w:rPr>
          <w:rFonts w:cs="Arial"/>
          <w:b/>
          <w:szCs w:val="20"/>
          <w:lang w:val="es-MX"/>
        </w:rPr>
        <w:t>3</w:t>
      </w:r>
      <w:r w:rsidR="0013101A" w:rsidRPr="00A71A21">
        <w:rPr>
          <w:rFonts w:cs="Arial"/>
          <w:b/>
          <w:szCs w:val="20"/>
          <w:lang w:val="es-MX"/>
        </w:rPr>
        <w:t>)</w:t>
      </w:r>
      <w:r w:rsidR="0013101A">
        <w:rPr>
          <w:rFonts w:cs="Arial"/>
          <w:b/>
          <w:szCs w:val="20"/>
          <w:lang w:val="es-MX"/>
        </w:rPr>
        <w:t xml:space="preserve"> </w:t>
      </w:r>
      <w:r w:rsidR="0013101A">
        <w:rPr>
          <w:rFonts w:cs="Arial"/>
          <w:szCs w:val="20"/>
          <w:lang w:val="es-MX"/>
        </w:rPr>
        <w:t xml:space="preserve">que por Resolución N° 48, Acta N° 86 de fecha 26.12.18 el Consejo Directivo Central solicitó a este Tribunal </w:t>
      </w:r>
      <w:r w:rsidR="00BB05EE">
        <w:rPr>
          <w:rFonts w:cs="Arial"/>
          <w:szCs w:val="20"/>
          <w:lang w:val="es-MX"/>
        </w:rPr>
        <w:t xml:space="preserve">se </w:t>
      </w:r>
      <w:r w:rsidR="0013101A">
        <w:rPr>
          <w:rFonts w:cs="Arial"/>
          <w:szCs w:val="20"/>
          <w:lang w:val="es-MX"/>
        </w:rPr>
        <w:t xml:space="preserve">autorice a la Dirección Sectorial de Infraestructura, en el marco de lo dispuesto en el artículo 43 del TOCAF, la realización de compras directas al amparo del artículo 33 </w:t>
      </w:r>
      <w:r w:rsidR="00BB05EE">
        <w:rPr>
          <w:rFonts w:cs="Arial"/>
          <w:szCs w:val="20"/>
          <w:lang w:val="es-MX"/>
        </w:rPr>
        <w:t>l</w:t>
      </w:r>
      <w:r w:rsidR="0013101A">
        <w:rPr>
          <w:rFonts w:cs="Arial"/>
          <w:szCs w:val="20"/>
          <w:lang w:val="es-MX"/>
        </w:rPr>
        <w:t>iteral B) para atender obras de mantenimiento y accesibilidad en forma independiente por local educativo de todo el país, hasta un monto de $100.000.000 durante el ejercicio 2019 y, asimismo, permita a la referida Dirección, en caso de haber ejecutado una obra en un local durante el año y surja la necesidad justificable con un objeto distinto, intervenir con un procedimiento diferente;</w:t>
      </w:r>
    </w:p>
    <w:p w:rsidR="00627BB1" w:rsidRDefault="007F7C14" w:rsidP="00627BB1">
      <w:pPr>
        <w:spacing w:line="360" w:lineRule="auto"/>
        <w:ind w:firstLine="2694"/>
        <w:jc w:val="both"/>
        <w:rPr>
          <w:rFonts w:cs="Arial"/>
          <w:szCs w:val="20"/>
          <w:lang w:val="es-MX"/>
        </w:rPr>
      </w:pPr>
      <w:r w:rsidRPr="0074460F">
        <w:rPr>
          <w:rFonts w:cs="Arial"/>
          <w:b/>
          <w:szCs w:val="20"/>
          <w:lang w:val="es-MX"/>
        </w:rPr>
        <w:t>4)</w:t>
      </w:r>
      <w:r w:rsidR="0074460F">
        <w:rPr>
          <w:rFonts w:cs="Arial"/>
          <w:szCs w:val="20"/>
          <w:lang w:val="es-MX"/>
        </w:rPr>
        <w:t xml:space="preserve"> </w:t>
      </w:r>
      <w:r>
        <w:rPr>
          <w:rFonts w:cs="Arial"/>
          <w:szCs w:val="20"/>
          <w:lang w:val="es-MX"/>
        </w:rPr>
        <w:t>que este Tribunal por oficio del 22/2/19 solicito que se acla</w:t>
      </w:r>
      <w:r w:rsidR="00627BB1">
        <w:rPr>
          <w:rFonts w:cs="Arial"/>
          <w:szCs w:val="20"/>
          <w:lang w:val="es-MX"/>
        </w:rPr>
        <w:t>rara la parte dispositiva de la</w:t>
      </w:r>
      <w:r>
        <w:rPr>
          <w:rFonts w:cs="Arial"/>
          <w:szCs w:val="20"/>
          <w:lang w:val="es-MX"/>
        </w:rPr>
        <w:t xml:space="preserve"> Resolución del 26/12/18 por la cual se solicita a este Tribunal, entre otros, que se permita a la Dirección Sectorial de I. del </w:t>
      </w:r>
      <w:proofErr w:type="spellStart"/>
      <w:r>
        <w:rPr>
          <w:rFonts w:cs="Arial"/>
          <w:szCs w:val="20"/>
          <w:lang w:val="es-MX"/>
        </w:rPr>
        <w:t>Codicen</w:t>
      </w:r>
      <w:proofErr w:type="spellEnd"/>
      <w:r>
        <w:rPr>
          <w:rFonts w:cs="Arial"/>
          <w:szCs w:val="20"/>
          <w:lang w:val="es-MX"/>
        </w:rPr>
        <w:t xml:space="preserve"> que en caso de haber ejecutado una obra en un local durante el año y surja una necesidad justificable común objeto distinto, volverlo a intervenir con un procedimiento diferente;</w:t>
      </w:r>
    </w:p>
    <w:p w:rsidR="007F7C14" w:rsidRDefault="007F7C14" w:rsidP="00627BB1">
      <w:pPr>
        <w:spacing w:line="360" w:lineRule="auto"/>
        <w:ind w:firstLine="2694"/>
        <w:jc w:val="both"/>
        <w:rPr>
          <w:rFonts w:cs="Arial"/>
          <w:szCs w:val="20"/>
          <w:lang w:val="es-MX"/>
        </w:rPr>
      </w:pPr>
      <w:r w:rsidRPr="0074460F">
        <w:rPr>
          <w:rFonts w:cs="Arial"/>
          <w:b/>
          <w:szCs w:val="20"/>
          <w:lang w:val="es-MX"/>
        </w:rPr>
        <w:t>5)</w:t>
      </w:r>
      <w:r w:rsidR="0074460F">
        <w:rPr>
          <w:rFonts w:cs="Arial"/>
          <w:szCs w:val="20"/>
          <w:lang w:val="es-MX"/>
        </w:rPr>
        <w:t xml:space="preserve"> </w:t>
      </w:r>
      <w:r>
        <w:rPr>
          <w:rFonts w:cs="Arial"/>
          <w:szCs w:val="20"/>
          <w:lang w:val="es-MX"/>
        </w:rPr>
        <w:t>que la Dirección Sec</w:t>
      </w:r>
      <w:r w:rsidR="00627BB1">
        <w:rPr>
          <w:rFonts w:cs="Arial"/>
          <w:szCs w:val="20"/>
          <w:lang w:val="es-MX"/>
        </w:rPr>
        <w:t>torial de Infraestructura señaló</w:t>
      </w:r>
      <w:r>
        <w:rPr>
          <w:rFonts w:cs="Arial"/>
          <w:szCs w:val="20"/>
          <w:lang w:val="es-MX"/>
        </w:rPr>
        <w:t xml:space="preserve"> que si bien tienen un objeto general similar, son obras con una solución técnica específica para cada local donde varían los materiales, no limitándose al objeto general, sino que abarca otras reparaciones necesarias en</w:t>
      </w:r>
      <w:r w:rsidR="00BB05EE">
        <w:rPr>
          <w:rFonts w:cs="Arial"/>
          <w:szCs w:val="20"/>
          <w:lang w:val="es-MX"/>
        </w:rPr>
        <w:t xml:space="preserve"> </w:t>
      </w:r>
      <w:r>
        <w:rPr>
          <w:rFonts w:cs="Arial"/>
          <w:szCs w:val="20"/>
          <w:lang w:val="es-MX"/>
        </w:rPr>
        <w:t xml:space="preserve">ese local, habiéndose dado el caso de realizar una reparación en un local y en el mismo ejercicio </w:t>
      </w:r>
      <w:r w:rsidR="005E72F9">
        <w:rPr>
          <w:rFonts w:cs="Arial"/>
          <w:szCs w:val="20"/>
          <w:lang w:val="es-MX"/>
        </w:rPr>
        <w:t xml:space="preserve">y tener la necesidad de </w:t>
      </w:r>
      <w:r w:rsidR="00BB05EE">
        <w:rPr>
          <w:rFonts w:cs="Arial"/>
          <w:szCs w:val="20"/>
          <w:lang w:val="es-MX"/>
        </w:rPr>
        <w:t>realizar</w:t>
      </w:r>
      <w:r w:rsidR="005E72F9">
        <w:rPr>
          <w:rFonts w:cs="Arial"/>
          <w:szCs w:val="20"/>
          <w:lang w:val="es-MX"/>
        </w:rPr>
        <w:t xml:space="preserve"> nuevamente reparaciones que no estaban previstas en la contratación anterior</w:t>
      </w:r>
      <w:r w:rsidR="00D46B38">
        <w:rPr>
          <w:rFonts w:cs="Arial"/>
          <w:szCs w:val="20"/>
          <w:lang w:val="es-MX"/>
        </w:rPr>
        <w:t>;</w:t>
      </w:r>
    </w:p>
    <w:p w:rsidR="0013101A" w:rsidRDefault="0013101A" w:rsidP="00D46B38">
      <w:pPr>
        <w:spacing w:line="360" w:lineRule="auto"/>
        <w:ind w:firstLine="851"/>
        <w:jc w:val="both"/>
        <w:rPr>
          <w:rFonts w:cs="Arial"/>
          <w:szCs w:val="20"/>
          <w:lang w:val="es-MX"/>
        </w:rPr>
      </w:pPr>
      <w:r w:rsidRPr="00A71A21">
        <w:rPr>
          <w:rFonts w:cs="Arial"/>
          <w:b/>
          <w:szCs w:val="20"/>
          <w:lang w:val="es-MX"/>
        </w:rPr>
        <w:t>CONSIDERANDO:</w:t>
      </w:r>
      <w:r w:rsidR="00D46B38">
        <w:rPr>
          <w:rFonts w:cs="Arial"/>
          <w:b/>
          <w:szCs w:val="20"/>
          <w:lang w:val="es-MX"/>
        </w:rPr>
        <w:t xml:space="preserve"> </w:t>
      </w:r>
      <w:r>
        <w:rPr>
          <w:rFonts w:cs="Arial"/>
          <w:b/>
          <w:szCs w:val="20"/>
          <w:lang w:val="es-MX"/>
        </w:rPr>
        <w:t xml:space="preserve">1) </w:t>
      </w:r>
      <w:r w:rsidRPr="00763469">
        <w:rPr>
          <w:rFonts w:cs="Arial"/>
          <w:lang w:val="es-MX"/>
        </w:rPr>
        <w:t xml:space="preserve">que se denomina fraccionamiento necesario o regular a aquellos </w:t>
      </w:r>
      <w:r w:rsidRPr="00763469">
        <w:rPr>
          <w:rFonts w:eastAsia="Arial" w:cs="Arial"/>
          <w:szCs w:val="28"/>
          <w:lang w:val="es-UY"/>
        </w:rPr>
        <w:t>casos en que resulta imperioso para el servicio fragmentar el gasto, en cuyo caso el Ordenador procede bajo su responsabilidad, siendo requisitos para su procedencia, el formular expresa</w:t>
      </w:r>
      <w:r>
        <w:rPr>
          <w:rFonts w:eastAsia="Arial" w:cs="Arial"/>
          <w:szCs w:val="28"/>
          <w:lang w:val="es-UY"/>
        </w:rPr>
        <w:t xml:space="preserve"> constancia de su </w:t>
      </w:r>
      <w:proofErr w:type="gramStart"/>
      <w:r>
        <w:rPr>
          <w:rFonts w:eastAsia="Arial" w:cs="Arial"/>
          <w:szCs w:val="28"/>
          <w:lang w:val="es-UY"/>
        </w:rPr>
        <w:lastRenderedPageBreak/>
        <w:t>fundamento</w:t>
      </w:r>
      <w:proofErr w:type="gramEnd"/>
      <w:r>
        <w:rPr>
          <w:rFonts w:eastAsia="Arial" w:cs="Arial"/>
          <w:szCs w:val="28"/>
          <w:lang w:val="es-UY"/>
        </w:rPr>
        <w:t xml:space="preserve"> y</w:t>
      </w:r>
      <w:r w:rsidRPr="00763469">
        <w:rPr>
          <w:rFonts w:eastAsia="Arial" w:cs="Arial"/>
          <w:szCs w:val="28"/>
          <w:lang w:val="es-UY"/>
        </w:rPr>
        <w:t xml:space="preserve"> la conveniencia para el servicio, tal como lo establece el </w:t>
      </w:r>
      <w:r w:rsidR="00BB05EE">
        <w:rPr>
          <w:rFonts w:eastAsia="Arial" w:cs="Arial"/>
          <w:szCs w:val="28"/>
          <w:lang w:val="es-UY"/>
        </w:rPr>
        <w:t>a</w:t>
      </w:r>
      <w:r>
        <w:rPr>
          <w:rFonts w:eastAsia="Arial" w:cs="Arial"/>
          <w:szCs w:val="28"/>
          <w:lang w:val="es-UY"/>
        </w:rPr>
        <w:t>rt. 43 inciso 3º del TOCAF;</w:t>
      </w:r>
    </w:p>
    <w:p w:rsidR="00D46B38" w:rsidRDefault="00D46B38" w:rsidP="00D46B38">
      <w:pPr>
        <w:spacing w:line="360" w:lineRule="auto"/>
        <w:ind w:firstLine="2977"/>
        <w:jc w:val="both"/>
        <w:rPr>
          <w:rFonts w:cs="Arial"/>
          <w:szCs w:val="20"/>
          <w:lang w:val="es-MX"/>
        </w:rPr>
      </w:pPr>
      <w:r>
        <w:rPr>
          <w:rFonts w:cs="Arial"/>
          <w:szCs w:val="20"/>
          <w:lang w:val="es-MX"/>
        </w:rPr>
        <w:t xml:space="preserve"> </w:t>
      </w:r>
      <w:r w:rsidR="0013101A" w:rsidRPr="00080F37">
        <w:rPr>
          <w:rFonts w:cs="Arial"/>
          <w:b/>
          <w:szCs w:val="20"/>
          <w:lang w:val="es-MX"/>
        </w:rPr>
        <w:t>2)</w:t>
      </w:r>
      <w:r w:rsidR="0013101A" w:rsidRPr="00080F37">
        <w:rPr>
          <w:rFonts w:cs="Arial"/>
          <w:lang w:val="es-MX"/>
        </w:rPr>
        <w:t xml:space="preserve"> </w:t>
      </w:r>
      <w:r w:rsidR="0013101A" w:rsidRPr="00763469">
        <w:rPr>
          <w:rFonts w:cs="Arial"/>
          <w:szCs w:val="20"/>
          <w:lang w:val="es-MX"/>
        </w:rPr>
        <w:t>que en la especie</w:t>
      </w:r>
      <w:r w:rsidR="00A2635A" w:rsidRPr="00A2635A">
        <w:rPr>
          <w:rFonts w:cs="Arial"/>
          <w:lang w:val="es-MX"/>
        </w:rPr>
        <w:t xml:space="preserve"> </w:t>
      </w:r>
      <w:r w:rsidR="00A2635A">
        <w:rPr>
          <w:rFonts w:cs="Arial"/>
          <w:lang w:val="es-MX"/>
        </w:rPr>
        <w:t>se cumplen los requisitos que habilitan la procedencia del fraccionamiento necesario, en tanto existe motivación en el acto administrativo, habiéndose expresado</w:t>
      </w:r>
      <w:r w:rsidR="0013101A">
        <w:rPr>
          <w:rFonts w:cs="Arial"/>
          <w:szCs w:val="20"/>
          <w:lang w:val="es-MX"/>
        </w:rPr>
        <w:t xml:space="preserve"> </w:t>
      </w:r>
      <w:r w:rsidR="0013101A" w:rsidRPr="00763469">
        <w:rPr>
          <w:rFonts w:cs="Arial"/>
          <w:szCs w:val="20"/>
          <w:lang w:val="es-MX"/>
        </w:rPr>
        <w:t>los fundamentos</w:t>
      </w:r>
      <w:r w:rsidR="0013101A" w:rsidRPr="00836BE0">
        <w:rPr>
          <w:rFonts w:cs="Arial"/>
          <w:szCs w:val="20"/>
          <w:lang w:val="es-MX"/>
        </w:rPr>
        <w:t xml:space="preserve"> </w:t>
      </w:r>
      <w:r w:rsidR="0013101A">
        <w:rPr>
          <w:rFonts w:cs="Arial"/>
          <w:szCs w:val="20"/>
          <w:lang w:val="es-MX"/>
        </w:rPr>
        <w:t xml:space="preserve">que </w:t>
      </w:r>
      <w:r w:rsidR="0013101A" w:rsidRPr="00763469">
        <w:rPr>
          <w:rFonts w:cs="Arial"/>
          <w:szCs w:val="20"/>
          <w:lang w:val="es-MX"/>
        </w:rPr>
        <w:t xml:space="preserve">indican </w:t>
      </w:r>
      <w:r w:rsidR="0013101A">
        <w:rPr>
          <w:rFonts w:cs="Arial"/>
          <w:szCs w:val="20"/>
          <w:lang w:val="es-MX"/>
        </w:rPr>
        <w:t xml:space="preserve">la </w:t>
      </w:r>
      <w:r w:rsidR="0013101A" w:rsidRPr="00763469">
        <w:rPr>
          <w:rFonts w:cs="Arial"/>
          <w:szCs w:val="20"/>
          <w:lang w:val="es-MX"/>
        </w:rPr>
        <w:t xml:space="preserve">conveniencia del </w:t>
      </w:r>
      <w:r w:rsidR="0013101A">
        <w:rPr>
          <w:rFonts w:cs="Arial"/>
          <w:szCs w:val="20"/>
          <w:lang w:val="es-MX"/>
        </w:rPr>
        <w:t xml:space="preserve">fraccionamiento necesario; </w:t>
      </w:r>
    </w:p>
    <w:p w:rsidR="00D46B38" w:rsidRDefault="00D46B38" w:rsidP="00D46B38">
      <w:pPr>
        <w:spacing w:line="360" w:lineRule="auto"/>
        <w:ind w:firstLine="2977"/>
        <w:jc w:val="both"/>
        <w:rPr>
          <w:rFonts w:cs="Arial"/>
          <w:szCs w:val="20"/>
          <w:lang w:val="es-MX"/>
        </w:rPr>
      </w:pPr>
      <w:r>
        <w:rPr>
          <w:rFonts w:cs="Arial"/>
          <w:szCs w:val="20"/>
          <w:lang w:val="es-MX"/>
        </w:rPr>
        <w:t xml:space="preserve"> </w:t>
      </w:r>
      <w:r w:rsidR="0013101A" w:rsidRPr="00763469">
        <w:rPr>
          <w:rFonts w:cs="Arial"/>
          <w:b/>
          <w:szCs w:val="20"/>
          <w:lang w:val="es-MX"/>
        </w:rPr>
        <w:t>3)</w:t>
      </w:r>
      <w:r w:rsidR="0013101A" w:rsidRPr="00763469">
        <w:rPr>
          <w:rFonts w:cs="Arial"/>
          <w:szCs w:val="20"/>
          <w:lang w:val="es-MX"/>
        </w:rPr>
        <w:t xml:space="preserve"> </w:t>
      </w:r>
      <w:r w:rsidR="0013101A" w:rsidRPr="00763469">
        <w:rPr>
          <w:rFonts w:cs="Arial"/>
          <w:lang w:val="es-MX"/>
        </w:rPr>
        <w:t>que</w:t>
      </w:r>
      <w:r w:rsidR="0013101A">
        <w:rPr>
          <w:rFonts w:cs="Arial"/>
          <w:lang w:val="es-MX"/>
        </w:rPr>
        <w:t xml:space="preserve"> </w:t>
      </w:r>
      <w:r w:rsidR="0013101A">
        <w:rPr>
          <w:rFonts w:cs="Arial"/>
          <w:szCs w:val="20"/>
          <w:lang w:val="es-MX"/>
        </w:rPr>
        <w:t>conforme lo dispuesto en el artículo 43 del TOCAF la disposición para el fraccionamiento de las contrataciones corresponde al ordenador</w:t>
      </w:r>
      <w:r w:rsidR="00140B59">
        <w:rPr>
          <w:rFonts w:cs="Arial"/>
          <w:szCs w:val="20"/>
          <w:lang w:val="es-MX"/>
        </w:rPr>
        <w:t xml:space="preserve"> </w:t>
      </w:r>
      <w:r w:rsidR="0013101A">
        <w:rPr>
          <w:rFonts w:cs="Arial"/>
          <w:szCs w:val="20"/>
          <w:lang w:val="es-MX"/>
        </w:rPr>
        <w:t xml:space="preserve">competente del Organismo, bajo su responsabilidad, dejando </w:t>
      </w:r>
      <w:r w:rsidR="0013101A">
        <w:t>expresa constancia de su fundamento y de su conveniencia para el servicio;</w:t>
      </w:r>
    </w:p>
    <w:p w:rsidR="0013101A" w:rsidRPr="00D46B38" w:rsidRDefault="00D46B38" w:rsidP="00D46B38">
      <w:pPr>
        <w:spacing w:line="360" w:lineRule="auto"/>
        <w:ind w:firstLine="2977"/>
        <w:jc w:val="both"/>
        <w:rPr>
          <w:rFonts w:cs="Arial"/>
          <w:szCs w:val="20"/>
          <w:lang w:val="es-MX"/>
        </w:rPr>
      </w:pPr>
      <w:r>
        <w:rPr>
          <w:rFonts w:cs="Arial"/>
          <w:szCs w:val="20"/>
          <w:lang w:val="es-MX"/>
        </w:rPr>
        <w:t xml:space="preserve"> </w:t>
      </w:r>
      <w:r w:rsidR="0013101A" w:rsidRPr="00763469">
        <w:rPr>
          <w:rFonts w:cs="Arial"/>
          <w:b/>
          <w:lang w:val="es-MX"/>
        </w:rPr>
        <w:t>4)</w:t>
      </w:r>
      <w:r w:rsidR="0013101A" w:rsidRPr="00763469">
        <w:rPr>
          <w:rFonts w:cs="Arial"/>
          <w:lang w:val="es-MX"/>
        </w:rPr>
        <w:t xml:space="preserve"> </w:t>
      </w:r>
      <w:r w:rsidR="0013101A">
        <w:rPr>
          <w:rFonts w:cs="Arial"/>
          <w:lang w:val="es-MX"/>
        </w:rPr>
        <w:t>q</w:t>
      </w:r>
      <w:r w:rsidR="0013101A" w:rsidRPr="00763469">
        <w:rPr>
          <w:rFonts w:cs="Arial"/>
          <w:lang w:val="es-MX"/>
        </w:rPr>
        <w:t xml:space="preserve">ue en virtud de lo </w:t>
      </w:r>
      <w:r w:rsidR="0013101A">
        <w:rPr>
          <w:rFonts w:cs="Arial"/>
          <w:lang w:val="es-MX"/>
        </w:rPr>
        <w:t>dispuesto en el artículo 132 del TOCAF</w:t>
      </w:r>
      <w:r w:rsidR="0013101A" w:rsidRPr="00763469">
        <w:rPr>
          <w:rFonts w:cs="Arial"/>
          <w:lang w:val="es-MX"/>
        </w:rPr>
        <w:t xml:space="preserve">, se deberá rendir cuenta documentada o comprobable de la versión, utilización o gestión de </w:t>
      </w:r>
      <w:r w:rsidR="0013101A">
        <w:rPr>
          <w:rFonts w:cs="Arial"/>
          <w:lang w:val="es-MX"/>
        </w:rPr>
        <w:t>los gastos efectuados por</w:t>
      </w:r>
      <w:r w:rsidR="0013101A" w:rsidRPr="00763469">
        <w:rPr>
          <w:rFonts w:cs="Arial"/>
          <w:lang w:val="es-MX"/>
        </w:rPr>
        <w:t xml:space="preserve"> cada uno de los centros escolares </w:t>
      </w:r>
      <w:r w:rsidR="0013101A">
        <w:rPr>
          <w:rFonts w:cs="Arial"/>
          <w:lang w:val="es-MX"/>
        </w:rPr>
        <w:t>en los que se realicen obras de mantenimiento, por las contrataciones directas que se efectúen al amparo del artículo 33 literal B) del TOCAF</w:t>
      </w:r>
      <w:r w:rsidR="0013101A" w:rsidRPr="00763469">
        <w:rPr>
          <w:rFonts w:cs="Arial"/>
          <w:szCs w:val="20"/>
        </w:rPr>
        <w:t>;</w:t>
      </w:r>
    </w:p>
    <w:p w:rsidR="0013101A" w:rsidRPr="00E90FD1" w:rsidRDefault="0013101A" w:rsidP="00D46B38">
      <w:pPr>
        <w:spacing w:line="360" w:lineRule="auto"/>
        <w:ind w:firstLine="851"/>
        <w:jc w:val="both"/>
        <w:rPr>
          <w:rFonts w:cs="Arial"/>
          <w:szCs w:val="20"/>
        </w:rPr>
      </w:pPr>
      <w:r w:rsidRPr="00763469">
        <w:rPr>
          <w:rFonts w:cs="Arial"/>
          <w:b/>
          <w:szCs w:val="20"/>
        </w:rPr>
        <w:t xml:space="preserve">ATENTO: </w:t>
      </w:r>
      <w:r w:rsidRPr="00763469">
        <w:rPr>
          <w:rFonts w:cs="Arial"/>
          <w:szCs w:val="20"/>
        </w:rPr>
        <w:t xml:space="preserve">a lo expuesto y a lo dispuesto por el </w:t>
      </w:r>
      <w:r w:rsidR="00BB05EE">
        <w:rPr>
          <w:rFonts w:cs="Arial"/>
          <w:szCs w:val="20"/>
        </w:rPr>
        <w:t>a</w:t>
      </w:r>
      <w:r w:rsidRPr="00763469">
        <w:rPr>
          <w:rFonts w:cs="Arial"/>
          <w:szCs w:val="20"/>
        </w:rPr>
        <w:t xml:space="preserve">rtículo 211 </w:t>
      </w:r>
      <w:r w:rsidR="00BB05EE">
        <w:rPr>
          <w:rFonts w:cs="Arial"/>
          <w:szCs w:val="20"/>
        </w:rPr>
        <w:t>l</w:t>
      </w:r>
      <w:r w:rsidRPr="00763469">
        <w:rPr>
          <w:rFonts w:cs="Arial"/>
          <w:szCs w:val="20"/>
        </w:rPr>
        <w:t>iteral B) de la Constitución de la República;</w:t>
      </w:r>
    </w:p>
    <w:p w:rsidR="0013101A" w:rsidRPr="00E90FD1" w:rsidRDefault="0013101A" w:rsidP="00110777">
      <w:pPr>
        <w:spacing w:line="360" w:lineRule="auto"/>
        <w:jc w:val="center"/>
        <w:rPr>
          <w:rFonts w:cs="Arial"/>
          <w:b/>
          <w:szCs w:val="20"/>
        </w:rPr>
      </w:pPr>
      <w:r w:rsidRPr="00E90FD1">
        <w:rPr>
          <w:rFonts w:cs="Arial"/>
          <w:b/>
          <w:szCs w:val="20"/>
        </w:rPr>
        <w:t>EL TRIBUNAL ACUERDA</w:t>
      </w:r>
    </w:p>
    <w:p w:rsidR="0013101A" w:rsidRPr="00E90FD1" w:rsidRDefault="00D46B38" w:rsidP="00D46B38">
      <w:pPr>
        <w:spacing w:line="360" w:lineRule="auto"/>
        <w:jc w:val="both"/>
        <w:rPr>
          <w:rFonts w:cs="Arial"/>
          <w:szCs w:val="20"/>
        </w:rPr>
      </w:pPr>
      <w:r w:rsidRPr="00D46B38">
        <w:rPr>
          <w:rFonts w:cs="Arial"/>
          <w:b/>
          <w:szCs w:val="20"/>
        </w:rPr>
        <w:t>1)</w:t>
      </w:r>
      <w:r>
        <w:rPr>
          <w:rFonts w:cs="Arial"/>
          <w:szCs w:val="20"/>
        </w:rPr>
        <w:t xml:space="preserve"> </w:t>
      </w:r>
      <w:r w:rsidR="0013101A" w:rsidRPr="00E90FD1">
        <w:rPr>
          <w:rFonts w:cs="Arial"/>
          <w:szCs w:val="20"/>
        </w:rPr>
        <w:t xml:space="preserve">Una vez dictado el acto administrativo </w:t>
      </w:r>
      <w:r w:rsidR="0013101A">
        <w:rPr>
          <w:rFonts w:cs="Arial"/>
          <w:szCs w:val="20"/>
        </w:rPr>
        <w:t>disponiéndose el fraccionamiento del gasto por el ordenador competente, com</w:t>
      </w:r>
      <w:r w:rsidR="00140B59">
        <w:rPr>
          <w:rFonts w:cs="Arial"/>
          <w:szCs w:val="20"/>
        </w:rPr>
        <w:t>e</w:t>
      </w:r>
      <w:r w:rsidR="0013101A">
        <w:rPr>
          <w:rFonts w:cs="Arial"/>
          <w:szCs w:val="20"/>
        </w:rPr>
        <w:t xml:space="preserve">ter </w:t>
      </w:r>
      <w:r w:rsidR="0013101A" w:rsidRPr="00E90FD1">
        <w:rPr>
          <w:rFonts w:cs="Arial"/>
          <w:szCs w:val="20"/>
        </w:rPr>
        <w:t>a</w:t>
      </w:r>
      <w:r w:rsidR="0013101A">
        <w:rPr>
          <w:rFonts w:cs="Arial"/>
          <w:szCs w:val="20"/>
        </w:rPr>
        <w:t xml:space="preserve">l </w:t>
      </w:r>
      <w:r w:rsidR="0013101A" w:rsidRPr="00E90FD1">
        <w:rPr>
          <w:rFonts w:cs="Arial"/>
          <w:szCs w:val="20"/>
        </w:rPr>
        <w:t>Contador Delegad</w:t>
      </w:r>
      <w:r w:rsidR="0013101A">
        <w:rPr>
          <w:rFonts w:cs="Arial"/>
          <w:szCs w:val="20"/>
        </w:rPr>
        <w:t>o</w:t>
      </w:r>
      <w:r w:rsidR="0013101A" w:rsidRPr="00E90FD1">
        <w:rPr>
          <w:rFonts w:cs="Arial"/>
          <w:szCs w:val="20"/>
        </w:rPr>
        <w:t xml:space="preserve"> la intervención del </w:t>
      </w:r>
      <w:r w:rsidR="0013101A">
        <w:rPr>
          <w:rFonts w:cs="Arial"/>
          <w:szCs w:val="20"/>
        </w:rPr>
        <w:t xml:space="preserve">mismo por </w:t>
      </w:r>
      <w:r>
        <w:rPr>
          <w:rFonts w:cs="Arial"/>
          <w:szCs w:val="20"/>
        </w:rPr>
        <w:t xml:space="preserve">hasta </w:t>
      </w:r>
      <w:r w:rsidR="0013101A">
        <w:rPr>
          <w:rFonts w:cs="Arial"/>
          <w:szCs w:val="20"/>
          <w:lang w:val="es-MX"/>
        </w:rPr>
        <w:t xml:space="preserve">$100.000.000 </w:t>
      </w:r>
      <w:r w:rsidR="0013101A">
        <w:rPr>
          <w:rFonts w:cs="Arial"/>
          <w:szCs w:val="20"/>
        </w:rPr>
        <w:t>por el ejercicio 2019</w:t>
      </w:r>
      <w:r w:rsidR="0013101A" w:rsidRPr="00E90FD1">
        <w:rPr>
          <w:rFonts w:cs="Arial"/>
          <w:szCs w:val="20"/>
        </w:rPr>
        <w:t>, previo control de la imputación a grupo adecuad</w:t>
      </w:r>
      <w:r>
        <w:rPr>
          <w:rFonts w:cs="Arial"/>
          <w:szCs w:val="20"/>
        </w:rPr>
        <w:t>o con disponibilidad suficiente;</w:t>
      </w:r>
    </w:p>
    <w:p w:rsidR="0013101A" w:rsidRPr="00E90FD1" w:rsidRDefault="00D46B38" w:rsidP="00D46B38">
      <w:pPr>
        <w:spacing w:line="360" w:lineRule="auto"/>
        <w:jc w:val="both"/>
        <w:rPr>
          <w:rFonts w:cs="Arial"/>
          <w:szCs w:val="20"/>
        </w:rPr>
      </w:pPr>
      <w:r w:rsidRPr="00D46B38">
        <w:rPr>
          <w:rFonts w:cs="Arial"/>
          <w:b/>
          <w:szCs w:val="20"/>
        </w:rPr>
        <w:t>2)</w:t>
      </w:r>
      <w:r>
        <w:rPr>
          <w:rFonts w:cs="Arial"/>
          <w:szCs w:val="20"/>
        </w:rPr>
        <w:t xml:space="preserve"> </w:t>
      </w:r>
      <w:r w:rsidR="0013101A" w:rsidRPr="00E90FD1">
        <w:rPr>
          <w:rFonts w:cs="Arial"/>
          <w:szCs w:val="20"/>
        </w:rPr>
        <w:t xml:space="preserve">Téngase presente lo </w:t>
      </w:r>
      <w:r w:rsidR="0013101A">
        <w:rPr>
          <w:rFonts w:cs="Arial"/>
          <w:szCs w:val="20"/>
        </w:rPr>
        <w:t>expresado en los Considerandos 3)</w:t>
      </w:r>
      <w:r w:rsidR="0013101A" w:rsidRPr="00E90FD1">
        <w:rPr>
          <w:rFonts w:cs="Arial"/>
          <w:szCs w:val="20"/>
        </w:rPr>
        <w:t xml:space="preserve"> y </w:t>
      </w:r>
      <w:r w:rsidR="0013101A">
        <w:rPr>
          <w:rFonts w:cs="Arial"/>
          <w:szCs w:val="20"/>
        </w:rPr>
        <w:t>4)</w:t>
      </w:r>
      <w:r>
        <w:rPr>
          <w:rFonts w:cs="Arial"/>
          <w:szCs w:val="20"/>
        </w:rPr>
        <w:t>;</w:t>
      </w:r>
      <w:bookmarkStart w:id="0" w:name="_GoBack"/>
      <w:bookmarkEnd w:id="0"/>
    </w:p>
    <w:p w:rsidR="0013101A" w:rsidRPr="00E90FD1" w:rsidRDefault="00D46B38" w:rsidP="00D46B38">
      <w:pPr>
        <w:spacing w:line="360" w:lineRule="auto"/>
        <w:jc w:val="both"/>
        <w:rPr>
          <w:rFonts w:cs="Arial"/>
          <w:szCs w:val="20"/>
        </w:rPr>
      </w:pPr>
      <w:r w:rsidRPr="00D46B38">
        <w:rPr>
          <w:rFonts w:cs="Arial"/>
          <w:b/>
          <w:szCs w:val="20"/>
          <w:lang w:val="es-MX"/>
        </w:rPr>
        <w:t>3)</w:t>
      </w:r>
      <w:r>
        <w:rPr>
          <w:rFonts w:cs="Arial"/>
          <w:szCs w:val="20"/>
          <w:lang w:val="es-MX"/>
        </w:rPr>
        <w:t xml:space="preserve"> </w:t>
      </w:r>
      <w:r w:rsidR="0013101A" w:rsidRPr="00E90FD1">
        <w:rPr>
          <w:rFonts w:cs="Arial"/>
          <w:szCs w:val="20"/>
          <w:lang w:val="es-MX"/>
        </w:rPr>
        <w:t>Co</w:t>
      </w:r>
      <w:r>
        <w:rPr>
          <w:rFonts w:cs="Arial"/>
          <w:szCs w:val="20"/>
          <w:lang w:val="es-MX"/>
        </w:rPr>
        <w:t>municar a la Contadora Delegada;</w:t>
      </w:r>
    </w:p>
    <w:p w:rsidR="002C7A4E" w:rsidRDefault="00D46B38" w:rsidP="00D46B38">
      <w:pPr>
        <w:spacing w:line="360" w:lineRule="auto"/>
        <w:jc w:val="both"/>
        <w:rPr>
          <w:rFonts w:cs="Arial"/>
          <w:szCs w:val="20"/>
        </w:rPr>
      </w:pPr>
      <w:r w:rsidRPr="00D46B38">
        <w:rPr>
          <w:rFonts w:cs="Arial"/>
          <w:b/>
          <w:szCs w:val="20"/>
        </w:rPr>
        <w:t>4)</w:t>
      </w:r>
      <w:r>
        <w:rPr>
          <w:rFonts w:cs="Arial"/>
          <w:szCs w:val="20"/>
        </w:rPr>
        <w:t xml:space="preserve"> </w:t>
      </w:r>
      <w:r w:rsidR="0013101A" w:rsidRPr="00E90FD1">
        <w:rPr>
          <w:rFonts w:cs="Arial"/>
          <w:szCs w:val="20"/>
          <w:lang w:val="es-MX"/>
        </w:rPr>
        <w:t>Devolver las actuaciones.</w:t>
      </w:r>
    </w:p>
    <w:p w:rsidR="0074460F" w:rsidRDefault="0074460F" w:rsidP="00110777">
      <w:pPr>
        <w:spacing w:line="360" w:lineRule="auto"/>
        <w:jc w:val="both"/>
        <w:rPr>
          <w:rFonts w:cs="Arial"/>
          <w:szCs w:val="20"/>
        </w:rPr>
      </w:pPr>
    </w:p>
    <w:p w:rsidR="0074460F" w:rsidRPr="0074460F" w:rsidRDefault="0074460F" w:rsidP="00110777">
      <w:pPr>
        <w:spacing w:line="360" w:lineRule="auto"/>
        <w:jc w:val="both"/>
        <w:rPr>
          <w:rFonts w:cs="Arial"/>
          <w:szCs w:val="20"/>
        </w:rPr>
      </w:pPr>
      <w:proofErr w:type="gramStart"/>
      <w:r>
        <w:rPr>
          <w:rFonts w:cs="Arial"/>
          <w:szCs w:val="20"/>
        </w:rPr>
        <w:t>lm</w:t>
      </w:r>
      <w:proofErr w:type="gramEnd"/>
    </w:p>
    <w:sectPr w:rsidR="0074460F" w:rsidRPr="0074460F" w:rsidSect="00A34ECF">
      <w:footerReference w:type="even" r:id="rId8"/>
      <w:footerReference w:type="default" r:id="rId9"/>
      <w:pgSz w:w="11907" w:h="16840" w:code="9"/>
      <w:pgMar w:top="3402" w:right="1701" w:bottom="1134" w:left="1701" w:header="720" w:footer="720" w:gutter="0"/>
      <w:paperSrc w:first="4" w:other="4"/>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DC0" w:rsidRDefault="005E72F9">
      <w:r>
        <w:separator/>
      </w:r>
    </w:p>
  </w:endnote>
  <w:endnote w:type="continuationSeparator" w:id="0">
    <w:p w:rsidR="00137DC0" w:rsidRDefault="005E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CE" w:rsidRDefault="00140B5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1CCE" w:rsidRDefault="00A34EC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CE" w:rsidRDefault="00140B5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4ECF">
      <w:rPr>
        <w:rStyle w:val="Nmerodepgina"/>
        <w:noProof/>
      </w:rPr>
      <w:t>3</w:t>
    </w:r>
    <w:r>
      <w:rPr>
        <w:rStyle w:val="Nmerodepgina"/>
      </w:rPr>
      <w:fldChar w:fldCharType="end"/>
    </w:r>
  </w:p>
  <w:p w:rsidR="00911CCE" w:rsidRDefault="00A34E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DC0" w:rsidRDefault="005E72F9">
      <w:r>
        <w:separator/>
      </w:r>
    </w:p>
  </w:footnote>
  <w:footnote w:type="continuationSeparator" w:id="0">
    <w:p w:rsidR="00137DC0" w:rsidRDefault="005E7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02C4F"/>
    <w:multiLevelType w:val="hybridMultilevel"/>
    <w:tmpl w:val="7DB4F73A"/>
    <w:lvl w:ilvl="0" w:tplc="FCA29B5E">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01A"/>
    <w:rsid w:val="00110777"/>
    <w:rsid w:val="0013101A"/>
    <w:rsid w:val="00137DC0"/>
    <w:rsid w:val="00140B59"/>
    <w:rsid w:val="002C7A4E"/>
    <w:rsid w:val="005E72F9"/>
    <w:rsid w:val="00627BB1"/>
    <w:rsid w:val="0074460F"/>
    <w:rsid w:val="007F7C14"/>
    <w:rsid w:val="00A2635A"/>
    <w:rsid w:val="00A34ECF"/>
    <w:rsid w:val="00BB05EE"/>
    <w:rsid w:val="00D46B38"/>
    <w:rsid w:val="00EA492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01A"/>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13101A"/>
    <w:pPr>
      <w:tabs>
        <w:tab w:val="center" w:pos="4419"/>
        <w:tab w:val="right" w:pos="8838"/>
      </w:tabs>
    </w:pPr>
    <w:rPr>
      <w:szCs w:val="20"/>
    </w:rPr>
  </w:style>
  <w:style w:type="character" w:customStyle="1" w:styleId="PiedepginaCar">
    <w:name w:val="Pie de página Car"/>
    <w:basedOn w:val="Fuentedeprrafopredeter"/>
    <w:link w:val="Piedepgina"/>
    <w:semiHidden/>
    <w:rsid w:val="0013101A"/>
    <w:rPr>
      <w:rFonts w:ascii="Arial" w:eastAsia="Times New Roman" w:hAnsi="Arial" w:cs="Times New Roman"/>
      <w:sz w:val="24"/>
      <w:szCs w:val="20"/>
      <w:lang w:val="es-ES" w:eastAsia="es-ES"/>
    </w:rPr>
  </w:style>
  <w:style w:type="character" w:styleId="Nmerodepgina">
    <w:name w:val="page number"/>
    <w:basedOn w:val="Fuentedeprrafopredeter"/>
    <w:semiHidden/>
    <w:rsid w:val="00131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01A"/>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13101A"/>
    <w:pPr>
      <w:tabs>
        <w:tab w:val="center" w:pos="4419"/>
        <w:tab w:val="right" w:pos="8838"/>
      </w:tabs>
    </w:pPr>
    <w:rPr>
      <w:szCs w:val="20"/>
    </w:rPr>
  </w:style>
  <w:style w:type="character" w:customStyle="1" w:styleId="PiedepginaCar">
    <w:name w:val="Pie de página Car"/>
    <w:basedOn w:val="Fuentedeprrafopredeter"/>
    <w:link w:val="Piedepgina"/>
    <w:semiHidden/>
    <w:rsid w:val="0013101A"/>
    <w:rPr>
      <w:rFonts w:ascii="Arial" w:eastAsia="Times New Roman" w:hAnsi="Arial" w:cs="Times New Roman"/>
      <w:sz w:val="24"/>
      <w:szCs w:val="20"/>
      <w:lang w:val="es-ES" w:eastAsia="es-ES"/>
    </w:rPr>
  </w:style>
  <w:style w:type="character" w:styleId="Nmerodepgina">
    <w:name w:val="page number"/>
    <w:basedOn w:val="Fuentedeprrafopredeter"/>
    <w:semiHidden/>
    <w:rsid w:val="00131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786</Words>
  <Characters>4326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2019-04-23T18:42:00Z</cp:lastPrinted>
  <dcterms:created xsi:type="dcterms:W3CDTF">2019-04-23T18:15:00Z</dcterms:created>
  <dcterms:modified xsi:type="dcterms:W3CDTF">2019-04-23T18:42:00Z</dcterms:modified>
</cp:coreProperties>
</file>