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1B" w:rsidRPr="00BF551B" w:rsidRDefault="00BF551B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BF551B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858</w:t>
      </w:r>
      <w:r w:rsidRPr="00BF551B">
        <w:rPr>
          <w:rFonts w:ascii="Arial" w:hAnsi="Arial" w:cs="Arial"/>
          <w:sz w:val="28"/>
          <w:szCs w:val="28"/>
          <w:lang w:val="es-ES_tradnl"/>
        </w:rPr>
        <w:t>/19</w:t>
      </w:r>
    </w:p>
    <w:p w:rsidR="00BF551B" w:rsidRPr="00BF551B" w:rsidRDefault="00BF551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BF551B">
        <w:rPr>
          <w:rFonts w:ascii="Arial" w:hAnsi="Arial" w:cs="Arial"/>
          <w:lang w:val="es-ES_tradnl"/>
        </w:rPr>
        <w:t>RESOLUCION ADOPTADA POR EL</w:t>
      </w:r>
    </w:p>
    <w:p w:rsidR="00BF551B" w:rsidRPr="00BF551B" w:rsidRDefault="00BF551B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BF551B" w:rsidRPr="00BF551B" w:rsidRDefault="00BF551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BF551B">
        <w:rPr>
          <w:rFonts w:ascii="Arial" w:hAnsi="Arial" w:cs="Arial"/>
          <w:lang w:val="es-ES_tradnl"/>
        </w:rPr>
        <w:t>TRIBUNAL DE CUENTAS</w:t>
      </w:r>
    </w:p>
    <w:p w:rsidR="00BF551B" w:rsidRPr="00BF551B" w:rsidRDefault="00BF551B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BF551B" w:rsidRPr="00BF551B" w:rsidRDefault="00BF551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BF551B">
        <w:rPr>
          <w:rFonts w:ascii="Arial" w:hAnsi="Arial" w:cs="Arial"/>
          <w:lang w:val="es-ES_tradnl"/>
        </w:rPr>
        <w:t xml:space="preserve">EN SESION DE FECHA </w:t>
      </w:r>
      <w:r w:rsidRPr="00BF551B">
        <w:rPr>
          <w:rFonts w:ascii="Helvetica" w:hAnsi="Helvetica"/>
          <w:lang w:val="es-ES_tradnl"/>
        </w:rPr>
        <w:t>3 DE ABRIL DE 2019</w:t>
      </w:r>
    </w:p>
    <w:p w:rsidR="00BF551B" w:rsidRPr="00BF551B" w:rsidRDefault="00BF551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BF551B" w:rsidRPr="00577D62" w:rsidRDefault="00BF551B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577D62">
        <w:rPr>
          <w:rFonts w:ascii="Arial" w:hAnsi="Arial" w:cs="Arial"/>
          <w:lang w:val="es-UY"/>
        </w:rPr>
        <w:t xml:space="preserve">(E. E. Nº  2018-17-1-0004218, </w:t>
      </w:r>
      <w:proofErr w:type="spellStart"/>
      <w:r w:rsidRPr="00577D62">
        <w:rPr>
          <w:rFonts w:ascii="Arial" w:hAnsi="Arial" w:cs="Arial"/>
          <w:lang w:val="es-UY"/>
        </w:rPr>
        <w:t>Ent</w:t>
      </w:r>
      <w:proofErr w:type="spellEnd"/>
      <w:r w:rsidRPr="00577D62">
        <w:rPr>
          <w:rFonts w:ascii="Arial" w:hAnsi="Arial" w:cs="Arial"/>
          <w:lang w:val="es-UY"/>
        </w:rPr>
        <w:t>. N° 1074/19)</w:t>
      </w:r>
    </w:p>
    <w:p w:rsidR="00BF551B" w:rsidRPr="00577D62" w:rsidRDefault="00BF551B">
      <w:pPr>
        <w:rPr>
          <w:lang w:val="es-UY"/>
        </w:rPr>
      </w:pPr>
    </w:p>
    <w:p w:rsidR="007605F2" w:rsidRDefault="007605F2" w:rsidP="00877D58">
      <w:pPr>
        <w:pStyle w:val="Ttulo8"/>
        <w:numPr>
          <w:ilvl w:val="0"/>
          <w:numId w:val="0"/>
        </w:numPr>
        <w:tabs>
          <w:tab w:val="left" w:pos="708"/>
        </w:tabs>
      </w:pPr>
    </w:p>
    <w:p w:rsidR="00877D58" w:rsidRDefault="00BF551B" w:rsidP="00877D58">
      <w:pPr>
        <w:pStyle w:val="Ttulo8"/>
        <w:numPr>
          <w:ilvl w:val="0"/>
          <w:numId w:val="0"/>
        </w:numPr>
        <w:tabs>
          <w:tab w:val="left" w:pos="708"/>
        </w:tabs>
        <w:rPr>
          <w:b w:val="0"/>
          <w:bCs/>
        </w:rPr>
      </w:pPr>
      <w:r>
        <w:tab/>
      </w:r>
      <w:r w:rsidR="00877D58">
        <w:t xml:space="preserve">VISTO: </w:t>
      </w:r>
      <w:r w:rsidR="00877D58">
        <w:rPr>
          <w:b w:val="0"/>
        </w:rPr>
        <w:t>las actuaciones remitidas por la Contadora Delegada en la Intendencia de Canelones, relacionadas con la reiteración del gasto derivado de la  Licitación Pública Nº</w:t>
      </w:r>
      <w:r w:rsidR="00877D58">
        <w:rPr>
          <w:b w:val="0"/>
          <w:bCs/>
        </w:rPr>
        <w:t xml:space="preserve"> </w:t>
      </w:r>
      <w:r w:rsidR="00877D58">
        <w:rPr>
          <w:b w:val="0"/>
        </w:rPr>
        <w:t xml:space="preserve">06/2017 para la </w:t>
      </w:r>
      <w:r w:rsidR="00877D58">
        <w:t xml:space="preserve"> </w:t>
      </w:r>
      <w:r w:rsidR="00877D58">
        <w:rPr>
          <w:b w:val="0"/>
        </w:rPr>
        <w:t xml:space="preserve">contratación de obras de infraestructura vial e hidráulica en el centro del Departamento, comprendiendo las localidades de Barros Blancos, Toledo, Joaquín Suárez, Sauce, Pando y Empalme Olmos;   </w:t>
      </w:r>
    </w:p>
    <w:p w:rsidR="00877D58" w:rsidRDefault="00BF551B" w:rsidP="00877D58">
      <w:pPr>
        <w:pStyle w:val="Ttulo8"/>
        <w:numPr>
          <w:ilvl w:val="0"/>
          <w:numId w:val="0"/>
        </w:numPr>
        <w:tabs>
          <w:tab w:val="left" w:pos="708"/>
        </w:tabs>
        <w:rPr>
          <w:rFonts w:ascii="GothicPS" w:hAnsi="GothicPS" w:cs="Times New Roman"/>
        </w:rPr>
      </w:pPr>
      <w:r>
        <w:tab/>
      </w:r>
      <w:r w:rsidR="00877D58">
        <w:t>RESULTANDO: 1</w:t>
      </w:r>
      <w:r w:rsidR="00877D58">
        <w:rPr>
          <w:bCs/>
        </w:rPr>
        <w:t xml:space="preserve">) </w:t>
      </w:r>
      <w:r w:rsidR="00877D58">
        <w:rPr>
          <w:b w:val="0"/>
          <w:bCs/>
        </w:rPr>
        <w:t xml:space="preserve">que por Resolución No. 18/03651 de fecha 1/6/2018 , el Intendente dispuso adjudicar la presente contratación a la </w:t>
      </w:r>
      <w:r w:rsidR="00CD7F3E">
        <w:rPr>
          <w:b w:val="0"/>
          <w:bCs/>
        </w:rPr>
        <w:t>F</w:t>
      </w:r>
      <w:r w:rsidR="00877D58">
        <w:rPr>
          <w:b w:val="0"/>
          <w:bCs/>
        </w:rPr>
        <w:t>irma COLIER S.A</w:t>
      </w:r>
      <w:r w:rsidR="007605F2">
        <w:rPr>
          <w:b w:val="0"/>
          <w:bCs/>
        </w:rPr>
        <w:t>,</w:t>
      </w:r>
      <w:r w:rsidR="00877D58">
        <w:rPr>
          <w:b w:val="0"/>
          <w:bCs/>
        </w:rPr>
        <w:t xml:space="preserve"> </w:t>
      </w:r>
      <w:r w:rsidR="00877D58">
        <w:rPr>
          <w:b w:val="0"/>
        </w:rPr>
        <w:t xml:space="preserve">por un </w:t>
      </w:r>
      <w:r w:rsidR="00CD7F3E">
        <w:rPr>
          <w:b w:val="0"/>
        </w:rPr>
        <w:t>monto total de $ 159.925.935,68</w:t>
      </w:r>
      <w:r w:rsidR="007605F2">
        <w:rPr>
          <w:b w:val="0"/>
        </w:rPr>
        <w:t>,</w:t>
      </w:r>
      <w:r w:rsidR="00CD7F3E">
        <w:rPr>
          <w:b w:val="0"/>
        </w:rPr>
        <w:t xml:space="preserve"> con IVA </w:t>
      </w:r>
      <w:r w:rsidR="00877D58">
        <w:rPr>
          <w:b w:val="0"/>
        </w:rPr>
        <w:t xml:space="preserve">y </w:t>
      </w:r>
      <w:r w:rsidR="00CD7F3E">
        <w:rPr>
          <w:b w:val="0"/>
        </w:rPr>
        <w:t>L</w:t>
      </w:r>
      <w:r w:rsidR="00877D58">
        <w:rPr>
          <w:b w:val="0"/>
        </w:rPr>
        <w:t xml:space="preserve">eyes </w:t>
      </w:r>
      <w:r w:rsidR="00CD7F3E">
        <w:rPr>
          <w:b w:val="0"/>
        </w:rPr>
        <w:t>S</w:t>
      </w:r>
      <w:r w:rsidR="00877D58">
        <w:rPr>
          <w:b w:val="0"/>
        </w:rPr>
        <w:t>ociales incluidos;</w:t>
      </w:r>
      <w:r w:rsidR="00877D58">
        <w:rPr>
          <w:b w:val="0"/>
          <w:bCs/>
        </w:rPr>
        <w:t xml:space="preserve">                                          </w:t>
      </w:r>
      <w:r w:rsidR="00877D58">
        <w:t xml:space="preserve">  </w:t>
      </w:r>
    </w:p>
    <w:p w:rsidR="00BF551B" w:rsidRDefault="00877D58" w:rsidP="00BF551B">
      <w:pPr>
        <w:spacing w:line="360" w:lineRule="auto"/>
        <w:ind w:firstLine="2552"/>
        <w:jc w:val="both"/>
        <w:rPr>
          <w:rFonts w:ascii="Arial" w:hAnsi="Arial" w:cs="Arial"/>
          <w:b w:val="0"/>
          <w:u w:val="single"/>
        </w:rPr>
      </w:pPr>
      <w:r>
        <w:rPr>
          <w:rFonts w:ascii="Arial" w:hAnsi="Arial" w:cs="Arial"/>
          <w:lang w:val="es-ES_tradnl"/>
        </w:rPr>
        <w:t xml:space="preserve">2) </w:t>
      </w:r>
      <w:r>
        <w:rPr>
          <w:rFonts w:ascii="Arial" w:hAnsi="Arial" w:cs="Arial"/>
          <w:b w:val="0"/>
          <w:bCs/>
        </w:rPr>
        <w:t xml:space="preserve">que </w:t>
      </w:r>
      <w:r w:rsidR="007605F2">
        <w:rPr>
          <w:rFonts w:ascii="Arial" w:hAnsi="Arial" w:cs="Arial"/>
          <w:b w:val="0"/>
          <w:bCs/>
        </w:rPr>
        <w:t xml:space="preserve">este </w:t>
      </w:r>
      <w:proofErr w:type="gramStart"/>
      <w:r>
        <w:rPr>
          <w:rFonts w:ascii="Arial" w:hAnsi="Arial" w:cs="Arial"/>
          <w:b w:val="0"/>
          <w:bCs/>
        </w:rPr>
        <w:t>Tribunal ,</w:t>
      </w:r>
      <w:proofErr w:type="gramEnd"/>
      <w:r>
        <w:rPr>
          <w:rFonts w:ascii="Arial" w:hAnsi="Arial" w:cs="Arial"/>
          <w:b w:val="0"/>
          <w:bCs/>
        </w:rPr>
        <w:t xml:space="preserve"> en sesión de fecha 19 de julio de 2018</w:t>
      </w:r>
      <w:r w:rsidR="007605F2">
        <w:rPr>
          <w:rFonts w:ascii="Arial" w:hAnsi="Arial" w:cs="Arial"/>
          <w:b w:val="0"/>
          <w:bCs/>
        </w:rPr>
        <w:t>,</w:t>
      </w:r>
      <w:r w:rsidR="007605F2" w:rsidRPr="007605F2">
        <w:rPr>
          <w:rFonts w:ascii="Arial" w:hAnsi="Arial" w:cs="Arial"/>
          <w:b w:val="0"/>
        </w:rPr>
        <w:t xml:space="preserve"> </w:t>
      </w:r>
      <w:r w:rsidR="007605F2">
        <w:rPr>
          <w:rFonts w:ascii="Arial" w:hAnsi="Arial" w:cs="Arial"/>
          <w:b w:val="0"/>
        </w:rPr>
        <w:t xml:space="preserve">cometió </w:t>
      </w:r>
      <w:r w:rsidR="007605F2" w:rsidRPr="00877D58">
        <w:rPr>
          <w:rFonts w:ascii="Arial" w:hAnsi="Arial" w:cs="Arial"/>
          <w:b w:val="0"/>
        </w:rPr>
        <w:t>al Contador Delegado la intervención del gasto previo control de su imputación a rubro adecuado y con disponibilidad</w:t>
      </w:r>
      <w:r w:rsidR="007605F2">
        <w:rPr>
          <w:rFonts w:ascii="Arial" w:hAnsi="Arial" w:cs="Arial"/>
          <w:b w:val="0"/>
          <w:bCs/>
        </w:rPr>
        <w:t>,</w:t>
      </w:r>
      <w:r w:rsidR="00CD7F3E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señal</w:t>
      </w:r>
      <w:r w:rsidR="007605F2">
        <w:rPr>
          <w:rFonts w:ascii="Arial" w:hAnsi="Arial" w:cs="Arial"/>
          <w:b w:val="0"/>
          <w:bCs/>
        </w:rPr>
        <w:t xml:space="preserve">ando </w:t>
      </w:r>
      <w:r>
        <w:rPr>
          <w:rFonts w:ascii="Arial" w:hAnsi="Arial" w:cs="Arial"/>
          <w:b w:val="0"/>
          <w:bCs/>
        </w:rPr>
        <w:t xml:space="preserve"> que </w:t>
      </w:r>
      <w:r>
        <w:rPr>
          <w:rFonts w:ascii="Arial" w:hAnsi="Arial" w:cs="Arial"/>
          <w:b w:val="0"/>
        </w:rPr>
        <w:t>el origen de los fondos con los que se afrontará el gasto constituye un concepto diferente al requerimiento legal de contar con disponibilidad presupuestal</w:t>
      </w:r>
      <w:r w:rsidRPr="00877D58">
        <w:rPr>
          <w:rFonts w:ascii="Arial" w:hAnsi="Arial" w:cs="Arial"/>
          <w:b w:val="0"/>
        </w:rPr>
        <w:t>;</w:t>
      </w:r>
    </w:p>
    <w:p w:rsidR="00BF551B" w:rsidRDefault="00BF551B" w:rsidP="00BF551B">
      <w:pPr>
        <w:spacing w:line="360" w:lineRule="auto"/>
        <w:ind w:firstLine="2552"/>
        <w:jc w:val="both"/>
        <w:rPr>
          <w:rFonts w:ascii="Arial" w:hAnsi="Arial" w:cs="Arial"/>
          <w:b w:val="0"/>
          <w:u w:val="single"/>
        </w:rPr>
      </w:pPr>
      <w:r>
        <w:rPr>
          <w:rFonts w:ascii="Arial" w:hAnsi="Arial" w:cs="Arial"/>
        </w:rPr>
        <w:t xml:space="preserve"> </w:t>
      </w:r>
      <w:r w:rsidR="00877D58" w:rsidRPr="00877D58">
        <w:rPr>
          <w:rFonts w:ascii="Arial" w:hAnsi="Arial" w:cs="Arial"/>
        </w:rPr>
        <w:t>3</w:t>
      </w:r>
      <w:r w:rsidR="00877D58" w:rsidRPr="00BF551B">
        <w:rPr>
          <w:rFonts w:ascii="Arial" w:hAnsi="Arial" w:cs="Arial"/>
        </w:rPr>
        <w:t>)</w:t>
      </w:r>
      <w:r w:rsidR="00877D58" w:rsidRPr="008F7DD2">
        <w:rPr>
          <w:rFonts w:ascii="Arial" w:hAnsi="Arial" w:cs="Arial"/>
          <w:b w:val="0"/>
        </w:rPr>
        <w:t xml:space="preserve"> </w:t>
      </w:r>
      <w:r w:rsidR="008F7DD2" w:rsidRPr="008F7DD2">
        <w:rPr>
          <w:rFonts w:ascii="Arial" w:hAnsi="Arial" w:cs="Arial"/>
          <w:b w:val="0"/>
        </w:rPr>
        <w:t xml:space="preserve"> que </w:t>
      </w:r>
      <w:r w:rsidR="00877D58" w:rsidRPr="008F7DD2">
        <w:rPr>
          <w:rFonts w:ascii="Arial" w:hAnsi="Arial" w:cs="Arial"/>
          <w:b w:val="0"/>
        </w:rPr>
        <w:t xml:space="preserve">el </w:t>
      </w:r>
      <w:r w:rsidR="007605F2">
        <w:rPr>
          <w:rFonts w:ascii="Arial" w:hAnsi="Arial" w:cs="Arial"/>
          <w:b w:val="0"/>
        </w:rPr>
        <w:t>C</w:t>
      </w:r>
      <w:r w:rsidR="00877D58" w:rsidRPr="008F7DD2">
        <w:rPr>
          <w:rFonts w:ascii="Arial" w:hAnsi="Arial" w:cs="Arial"/>
          <w:b w:val="0"/>
        </w:rPr>
        <w:t>ontador Delegado</w:t>
      </w:r>
      <w:r w:rsidR="007605F2">
        <w:rPr>
          <w:rFonts w:ascii="Arial" w:hAnsi="Arial" w:cs="Arial"/>
          <w:b w:val="0"/>
        </w:rPr>
        <w:t>,</w:t>
      </w:r>
      <w:r w:rsidR="00877D58" w:rsidRPr="008F7DD2">
        <w:rPr>
          <w:rFonts w:ascii="Arial" w:hAnsi="Arial" w:cs="Arial"/>
          <w:b w:val="0"/>
        </w:rPr>
        <w:t xml:space="preserve"> </w:t>
      </w:r>
      <w:r w:rsidR="008F7DD2" w:rsidRPr="008F7DD2">
        <w:rPr>
          <w:rFonts w:ascii="Arial" w:hAnsi="Arial" w:cs="Arial"/>
          <w:b w:val="0"/>
        </w:rPr>
        <w:t>con fecha 7 de agosto de 2018 observ</w:t>
      </w:r>
      <w:r w:rsidR="00CD7F3E">
        <w:rPr>
          <w:rFonts w:ascii="Arial" w:hAnsi="Arial" w:cs="Arial"/>
          <w:b w:val="0"/>
        </w:rPr>
        <w:t>ó</w:t>
      </w:r>
      <w:r w:rsidR="008F7DD2" w:rsidRPr="008F7DD2">
        <w:rPr>
          <w:rFonts w:ascii="Arial" w:hAnsi="Arial" w:cs="Arial"/>
          <w:b w:val="0"/>
        </w:rPr>
        <w:t xml:space="preserve"> el gasto de $ 159.925.935,68</w:t>
      </w:r>
      <w:r w:rsidR="007605F2">
        <w:rPr>
          <w:rFonts w:ascii="Arial" w:hAnsi="Arial" w:cs="Arial"/>
          <w:b w:val="0"/>
        </w:rPr>
        <w:t>,</w:t>
      </w:r>
      <w:r w:rsidR="008F7DD2" w:rsidRPr="008F7DD2">
        <w:rPr>
          <w:rFonts w:ascii="Arial" w:hAnsi="Arial" w:cs="Arial"/>
          <w:b w:val="0"/>
        </w:rPr>
        <w:t xml:space="preserve">  </w:t>
      </w:r>
      <w:r w:rsidR="004F12C4">
        <w:rPr>
          <w:rFonts w:ascii="Arial" w:hAnsi="Arial" w:cs="Arial"/>
          <w:b w:val="0"/>
        </w:rPr>
        <w:t>p</w:t>
      </w:r>
      <w:r w:rsidR="008F7DD2" w:rsidRPr="008F7DD2">
        <w:rPr>
          <w:rFonts w:ascii="Arial" w:hAnsi="Arial" w:cs="Arial"/>
          <w:b w:val="0"/>
        </w:rPr>
        <w:t xml:space="preserve">or no ajustarse a lo dispuesto en los </w:t>
      </w:r>
      <w:r>
        <w:rPr>
          <w:rFonts w:ascii="Arial" w:hAnsi="Arial" w:cs="Arial"/>
          <w:b w:val="0"/>
        </w:rPr>
        <w:t>Artículos</w:t>
      </w:r>
      <w:r w:rsidR="008F7DD2" w:rsidRPr="008F7DD2">
        <w:rPr>
          <w:rFonts w:ascii="Arial" w:hAnsi="Arial" w:cs="Arial"/>
          <w:b w:val="0"/>
        </w:rPr>
        <w:t xml:space="preserve"> 14 y 15 del TOCAF;</w:t>
      </w:r>
    </w:p>
    <w:p w:rsidR="008F7DD2" w:rsidRPr="00BF551B" w:rsidRDefault="00BF551B" w:rsidP="00BF551B">
      <w:pPr>
        <w:spacing w:line="360" w:lineRule="auto"/>
        <w:ind w:firstLine="2552"/>
        <w:jc w:val="both"/>
        <w:rPr>
          <w:rFonts w:ascii="Arial" w:hAnsi="Arial" w:cs="Arial"/>
          <w:b w:val="0"/>
          <w:u w:val="single"/>
        </w:rPr>
      </w:pPr>
      <w:r>
        <w:rPr>
          <w:rFonts w:ascii="Arial" w:hAnsi="Arial" w:cs="Arial"/>
        </w:rPr>
        <w:t xml:space="preserve"> </w:t>
      </w:r>
      <w:r w:rsidR="008F7DD2">
        <w:rPr>
          <w:rFonts w:ascii="Arial" w:hAnsi="Arial" w:cs="Arial"/>
        </w:rPr>
        <w:t xml:space="preserve">4)  </w:t>
      </w:r>
      <w:r w:rsidR="008F7DD2">
        <w:rPr>
          <w:rFonts w:ascii="Arial" w:hAnsi="Arial" w:cs="Arial"/>
          <w:b w:val="0"/>
        </w:rPr>
        <w:t>que el</w:t>
      </w:r>
      <w:r w:rsidR="008F7DD2" w:rsidRPr="008F7DD2">
        <w:rPr>
          <w:rFonts w:ascii="Arial" w:hAnsi="Arial" w:cs="Arial"/>
          <w:b w:val="0"/>
        </w:rPr>
        <w:t xml:space="preserve"> Intendente por Resolución </w:t>
      </w:r>
      <w:r w:rsidR="00CD7F3E">
        <w:rPr>
          <w:rFonts w:ascii="Arial" w:hAnsi="Arial" w:cs="Arial"/>
          <w:b w:val="0"/>
        </w:rPr>
        <w:t>N</w:t>
      </w:r>
      <w:r w:rsidR="008F7DD2" w:rsidRPr="008F7DD2">
        <w:rPr>
          <w:rFonts w:ascii="Arial" w:hAnsi="Arial" w:cs="Arial"/>
          <w:b w:val="0"/>
        </w:rPr>
        <w:t>° 18/05485 de fecha  17/08/2018</w:t>
      </w:r>
      <w:r w:rsidR="008F7DD2">
        <w:rPr>
          <w:rFonts w:ascii="Arial" w:hAnsi="Arial" w:cs="Arial"/>
          <w:b w:val="0"/>
        </w:rPr>
        <w:t xml:space="preserve"> reiter</w:t>
      </w:r>
      <w:r w:rsidR="00CD7F3E">
        <w:rPr>
          <w:rFonts w:ascii="Arial" w:hAnsi="Arial" w:cs="Arial"/>
          <w:b w:val="0"/>
        </w:rPr>
        <w:t>ó</w:t>
      </w:r>
      <w:r w:rsidR="008F7DD2">
        <w:rPr>
          <w:rFonts w:ascii="Arial" w:hAnsi="Arial" w:cs="Arial"/>
          <w:b w:val="0"/>
        </w:rPr>
        <w:t xml:space="preserve"> el gasto observado considerando que</w:t>
      </w:r>
      <w:r w:rsidR="00EB5337">
        <w:rPr>
          <w:rFonts w:ascii="Arial" w:hAnsi="Arial" w:cs="Arial"/>
          <w:b w:val="0"/>
        </w:rPr>
        <w:t>:</w:t>
      </w:r>
    </w:p>
    <w:p w:rsidR="00BF551B" w:rsidRDefault="00EB5337" w:rsidP="00BF551B">
      <w:pPr>
        <w:tabs>
          <w:tab w:val="left" w:pos="1843"/>
        </w:tabs>
        <w:spacing w:line="360" w:lineRule="auto"/>
        <w:jc w:val="both"/>
        <w:rPr>
          <w:rFonts w:ascii="Arial" w:eastAsia="Lucida Sans Unicode" w:hAnsi="Arial" w:cs="Arial"/>
          <w:b w:val="0"/>
          <w:kern w:val="1"/>
          <w:szCs w:val="24"/>
          <w:lang w:eastAsia="hi-IN" w:bidi="hi-IN"/>
        </w:rPr>
      </w:pPr>
      <w:r w:rsidRPr="00BF551B">
        <w:rPr>
          <w:rFonts w:ascii="Arial" w:eastAsia="Lucida Sans Unicode" w:hAnsi="Arial" w:cs="Arial"/>
          <w:bCs/>
          <w:kern w:val="1"/>
          <w:szCs w:val="24"/>
          <w:lang w:eastAsia="hi-IN" w:bidi="hi-IN"/>
        </w:rPr>
        <w:t>4.1)</w:t>
      </w:r>
      <w:r w:rsidRPr="00EB5337">
        <w:rPr>
          <w:rFonts w:ascii="Arial" w:eastAsia="Lucida Sans Unicode" w:hAnsi="Arial" w:cs="Arial"/>
          <w:b w:val="0"/>
          <w:bCs/>
          <w:kern w:val="1"/>
          <w:szCs w:val="24"/>
          <w:lang w:eastAsia="hi-IN" w:bidi="hi-IN"/>
        </w:rPr>
        <w:t xml:space="preserve"> en Resolución Nº 2001/16 de fecha 08/06/016, este Tribunal manifestó que “</w:t>
      </w:r>
      <w:r w:rsidRPr="00EB5337">
        <w:rPr>
          <w:rFonts w:ascii="Arial" w:eastAsia="Lucida Sans Unicode" w:hAnsi="Arial" w:cs="Arial"/>
          <w:b w:val="0"/>
          <w:kern w:val="1"/>
          <w:szCs w:val="24"/>
          <w:lang w:eastAsia="hi-IN" w:bidi="hi-IN"/>
        </w:rPr>
        <w:t xml:space="preserve">En la instancia del Presupuesto Quinquenal 2016-2020, la Intendencia proporcionó información en la cual se proyectaba un superávit anual y el pago </w:t>
      </w:r>
      <w:r w:rsidRPr="00EB5337">
        <w:rPr>
          <w:rFonts w:ascii="Arial" w:eastAsia="Lucida Sans Unicode" w:hAnsi="Arial" w:cs="Arial"/>
          <w:b w:val="0"/>
          <w:kern w:val="1"/>
          <w:szCs w:val="24"/>
          <w:lang w:eastAsia="hi-IN" w:bidi="hi-IN"/>
        </w:rPr>
        <w:lastRenderedPageBreak/>
        <w:t>de cuotas del nuevo fideicomiso de obras por valores de $ 250 millones anuales, entre 2018 y 2020. Si bien dichos pagos no fueron previstos en el objeto correspondiente, en los cuadros resúmenes del Presupuesto se informó el criterio para el uso del superávit y en ese concepto se incluyeron los pagos del servicio de la deuda correspondientes”;</w:t>
      </w:r>
    </w:p>
    <w:p w:rsidR="00EB5337" w:rsidRPr="00EB5337" w:rsidRDefault="00EB5337" w:rsidP="00BF551B">
      <w:pPr>
        <w:tabs>
          <w:tab w:val="left" w:pos="1843"/>
        </w:tabs>
        <w:spacing w:line="360" w:lineRule="auto"/>
        <w:jc w:val="both"/>
        <w:rPr>
          <w:rFonts w:ascii="Arial" w:eastAsia="Lucida Sans Unicode" w:hAnsi="Arial" w:cs="Arial"/>
          <w:b w:val="0"/>
          <w:kern w:val="1"/>
          <w:szCs w:val="24"/>
          <w:lang w:eastAsia="hi-IN" w:bidi="hi-IN"/>
        </w:rPr>
      </w:pPr>
      <w:r w:rsidRPr="00BF551B">
        <w:rPr>
          <w:rFonts w:ascii="Arial" w:eastAsia="Lucida Sans Unicode" w:hAnsi="Arial" w:cs="Arial"/>
          <w:kern w:val="1"/>
          <w:szCs w:val="24"/>
          <w:lang w:eastAsia="hi-IN" w:bidi="hi-IN"/>
        </w:rPr>
        <w:t>4.2)</w:t>
      </w:r>
      <w:r w:rsidRPr="00EB5337">
        <w:rPr>
          <w:rFonts w:ascii="Arial" w:eastAsia="Lucida Sans Unicode" w:hAnsi="Arial" w:cs="Arial"/>
          <w:b w:val="0"/>
          <w:kern w:val="1"/>
          <w:szCs w:val="24"/>
          <w:lang w:eastAsia="hi-IN" w:bidi="hi-IN"/>
        </w:rPr>
        <w:t xml:space="preserve"> resulta meridianamente claro que la Intendencia presupuestó el pago de los servicios de deuda del Contrato de Fideicomiso Financiero Canelones III;</w:t>
      </w:r>
    </w:p>
    <w:p w:rsidR="00EB5337" w:rsidRDefault="00EB5337" w:rsidP="00063093">
      <w:pPr>
        <w:spacing w:line="360" w:lineRule="auto"/>
        <w:jc w:val="both"/>
        <w:rPr>
          <w:rFonts w:ascii="Arial" w:eastAsia="Lucida Sans Unicode" w:hAnsi="Arial" w:cs="Arial"/>
          <w:b w:val="0"/>
          <w:kern w:val="1"/>
          <w:szCs w:val="24"/>
          <w:lang w:eastAsia="hi-IN" w:bidi="hi-IN"/>
        </w:rPr>
      </w:pPr>
      <w:r w:rsidRPr="00BF551B">
        <w:rPr>
          <w:rFonts w:ascii="Arial" w:eastAsia="Lucida Sans Unicode" w:hAnsi="Arial" w:cs="Arial"/>
          <w:kern w:val="1"/>
          <w:szCs w:val="24"/>
          <w:lang w:eastAsia="hi-IN" w:bidi="hi-IN"/>
        </w:rPr>
        <w:t>4.3)</w:t>
      </w:r>
      <w:r w:rsidRPr="00EB5337">
        <w:rPr>
          <w:rFonts w:ascii="Arial" w:eastAsia="Lucida Sans Unicode" w:hAnsi="Arial" w:cs="Arial"/>
          <w:b w:val="0"/>
          <w:kern w:val="1"/>
          <w:szCs w:val="24"/>
          <w:lang w:eastAsia="hi-IN" w:bidi="hi-IN"/>
        </w:rPr>
        <w:t xml:space="preserve"> la observación del Tribunal de Cuentas implica un cambio en el criterio utilizado hasta ahora para los contratos de fideicomiso y los gastos relacionados al mismo</w:t>
      </w:r>
      <w:r w:rsidR="007605F2">
        <w:rPr>
          <w:rFonts w:ascii="Arial" w:eastAsia="Lucida Sans Unicode" w:hAnsi="Arial" w:cs="Arial"/>
          <w:b w:val="0"/>
          <w:kern w:val="1"/>
          <w:szCs w:val="24"/>
          <w:lang w:eastAsia="hi-IN" w:bidi="hi-IN"/>
        </w:rPr>
        <w:t xml:space="preserve">, </w:t>
      </w:r>
      <w:r w:rsidRPr="00EB5337">
        <w:rPr>
          <w:rFonts w:ascii="Arial" w:eastAsia="Lucida Sans Unicode" w:hAnsi="Arial" w:cs="Arial"/>
          <w:b w:val="0"/>
          <w:kern w:val="1"/>
          <w:szCs w:val="24"/>
          <w:lang w:eastAsia="hi-IN" w:bidi="hi-IN"/>
        </w:rPr>
        <w:t xml:space="preserve"> sin perjuicio de la cual se hace necesario dictar el acto administrativo;</w:t>
      </w:r>
    </w:p>
    <w:p w:rsidR="00EB5337" w:rsidRPr="00EB5337" w:rsidRDefault="00EB5337" w:rsidP="00BF551B">
      <w:pPr>
        <w:spacing w:line="360" w:lineRule="auto"/>
        <w:ind w:firstLine="708"/>
        <w:jc w:val="both"/>
        <w:rPr>
          <w:rFonts w:ascii="Arial" w:hAnsi="Arial" w:cs="Arial"/>
          <w:b w:val="0"/>
          <w:szCs w:val="24"/>
        </w:rPr>
      </w:pPr>
      <w:r w:rsidRPr="00EB5337">
        <w:rPr>
          <w:rFonts w:ascii="Arial" w:hAnsi="Arial"/>
          <w:szCs w:val="24"/>
        </w:rPr>
        <w:t>CONSIDERANDO:</w:t>
      </w:r>
      <w:r w:rsidR="00BF551B">
        <w:rPr>
          <w:rFonts w:ascii="Arial" w:hAnsi="Arial"/>
          <w:szCs w:val="24"/>
        </w:rPr>
        <w:t xml:space="preserve"> </w:t>
      </w:r>
      <w:r w:rsidRPr="00EB5337">
        <w:rPr>
          <w:rFonts w:ascii="Arial" w:hAnsi="Arial" w:cs="Arial"/>
          <w:szCs w:val="24"/>
        </w:rPr>
        <w:t>1)</w:t>
      </w:r>
      <w:r w:rsidRPr="001E2C25">
        <w:rPr>
          <w:rFonts w:ascii="Arial" w:hAnsi="Arial" w:cs="Arial"/>
          <w:b w:val="0"/>
          <w:szCs w:val="24"/>
        </w:rPr>
        <w:t xml:space="preserve"> </w:t>
      </w:r>
      <w:r w:rsidRPr="00EB5337">
        <w:rPr>
          <w:rFonts w:ascii="Arial" w:hAnsi="Arial" w:cs="Arial"/>
          <w:b w:val="0"/>
          <w:szCs w:val="24"/>
        </w:rPr>
        <w:t xml:space="preserve">que este Tribunal </w:t>
      </w:r>
      <w:r w:rsidR="007605F2" w:rsidRPr="00EB5337">
        <w:rPr>
          <w:rFonts w:ascii="Arial" w:hAnsi="Arial" w:cs="Arial"/>
          <w:b w:val="0"/>
          <w:szCs w:val="24"/>
        </w:rPr>
        <w:t>mediante Resolución Nº1329/16</w:t>
      </w:r>
      <w:r w:rsidR="007605F2">
        <w:rPr>
          <w:rFonts w:ascii="Arial" w:hAnsi="Arial" w:cs="Arial"/>
          <w:b w:val="0"/>
          <w:szCs w:val="24"/>
        </w:rPr>
        <w:t xml:space="preserve"> de</w:t>
      </w:r>
      <w:r w:rsidRPr="00EB5337">
        <w:rPr>
          <w:rFonts w:ascii="Arial" w:hAnsi="Arial" w:cs="Arial"/>
          <w:b w:val="0"/>
          <w:szCs w:val="24"/>
        </w:rPr>
        <w:t xml:space="preserve"> fecha 27.04.16, en oportunidad de emitir </w:t>
      </w:r>
      <w:r w:rsidR="007605F2">
        <w:rPr>
          <w:rFonts w:ascii="Arial" w:hAnsi="Arial" w:cs="Arial"/>
          <w:b w:val="0"/>
          <w:szCs w:val="24"/>
        </w:rPr>
        <w:t xml:space="preserve">un </w:t>
      </w:r>
      <w:r w:rsidRPr="00EB5337">
        <w:rPr>
          <w:rFonts w:ascii="Arial" w:hAnsi="Arial" w:cs="Arial"/>
          <w:b w:val="0"/>
          <w:szCs w:val="24"/>
        </w:rPr>
        <w:t xml:space="preserve"> </w:t>
      </w:r>
      <w:r w:rsidR="00063093">
        <w:rPr>
          <w:rFonts w:ascii="Arial" w:hAnsi="Arial" w:cs="Arial"/>
          <w:b w:val="0"/>
          <w:szCs w:val="24"/>
        </w:rPr>
        <w:t>D</w:t>
      </w:r>
      <w:r w:rsidRPr="00EB5337">
        <w:rPr>
          <w:rFonts w:ascii="Arial" w:hAnsi="Arial" w:cs="Arial"/>
          <w:b w:val="0"/>
          <w:szCs w:val="24"/>
        </w:rPr>
        <w:t xml:space="preserve">ictamen sobre el presupuesto 2016-2020 de la Intendencia, observó </w:t>
      </w:r>
      <w:proofErr w:type="spellStart"/>
      <w:r w:rsidRPr="00EB5337">
        <w:rPr>
          <w:rFonts w:ascii="Arial" w:hAnsi="Arial" w:cs="Arial"/>
          <w:b w:val="0"/>
          <w:szCs w:val="24"/>
        </w:rPr>
        <w:t>como</w:t>
      </w:r>
      <w:proofErr w:type="spellEnd"/>
      <w:r w:rsidRPr="00EB5337">
        <w:rPr>
          <w:rFonts w:ascii="Arial" w:hAnsi="Arial" w:cs="Arial"/>
          <w:b w:val="0"/>
          <w:szCs w:val="24"/>
        </w:rPr>
        <w:t xml:space="preserve"> contrario a la normativa aplicable diversos aspectos, entre ellos:</w:t>
      </w:r>
    </w:p>
    <w:p w:rsidR="00EB5337" w:rsidRPr="00EB5337" w:rsidRDefault="00EB5337" w:rsidP="00EB5337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EB5337">
        <w:rPr>
          <w:rFonts w:ascii="Arial" w:hAnsi="Arial" w:cs="Arial"/>
          <w:b w:val="0"/>
          <w:szCs w:val="24"/>
        </w:rPr>
        <w:t>el contenido en el párrafo 3.9 de dicho Dictamen referente al pago de cuotas de un nuevo fideicomiso de obras por valores de $250 millones anuales entre 2018 y 2020, ya que dichos gastos deben ser previstos presupuestalmente;</w:t>
      </w:r>
    </w:p>
    <w:p w:rsidR="00EB5337" w:rsidRPr="00EB5337" w:rsidRDefault="00EB5337" w:rsidP="00EB5337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EB5337">
        <w:rPr>
          <w:rFonts w:ascii="Arial" w:hAnsi="Arial" w:cs="Arial"/>
          <w:b w:val="0"/>
          <w:szCs w:val="24"/>
        </w:rPr>
        <w:t>el contenido en el párrafo 4.3 de dicho Dictamen sobre el Art</w:t>
      </w:r>
      <w:r w:rsidR="00BF551B">
        <w:rPr>
          <w:rFonts w:ascii="Arial" w:hAnsi="Arial" w:cs="Arial"/>
          <w:b w:val="0"/>
          <w:szCs w:val="24"/>
        </w:rPr>
        <w:t>ículo</w:t>
      </w:r>
      <w:r w:rsidRPr="00EB5337">
        <w:rPr>
          <w:rFonts w:ascii="Arial" w:hAnsi="Arial" w:cs="Arial"/>
          <w:b w:val="0"/>
          <w:szCs w:val="24"/>
        </w:rPr>
        <w:t xml:space="preserve"> 19 del presupuesto, que facultó al Ejecutivo Comunal a realizar obras y servicios no previstos en el rubro inversiones  en caso de disponer de un financiamiento externo, interno o de un aumento de recursos </w:t>
      </w:r>
      <w:proofErr w:type="spellStart"/>
      <w:r w:rsidRPr="00EB5337">
        <w:rPr>
          <w:rFonts w:ascii="Arial" w:hAnsi="Arial" w:cs="Arial"/>
          <w:b w:val="0"/>
          <w:szCs w:val="24"/>
        </w:rPr>
        <w:t>extrapresupuestales</w:t>
      </w:r>
      <w:proofErr w:type="spellEnd"/>
      <w:r w:rsidRPr="00EB5337">
        <w:rPr>
          <w:rFonts w:ascii="Arial" w:hAnsi="Arial" w:cs="Arial"/>
          <w:b w:val="0"/>
          <w:szCs w:val="24"/>
        </w:rPr>
        <w:t xml:space="preserve"> por transferencias o donaciones, ya que no pueden realizarse inversiones si no están previstas en los programas correspondientes, al igual que la estimación de su financiamiento (Ar</w:t>
      </w:r>
      <w:r w:rsidR="00BF551B">
        <w:rPr>
          <w:rFonts w:ascii="Arial" w:hAnsi="Arial" w:cs="Arial"/>
          <w:b w:val="0"/>
          <w:szCs w:val="24"/>
        </w:rPr>
        <w:t>tículo</w:t>
      </w:r>
      <w:r w:rsidRPr="00EB5337">
        <w:rPr>
          <w:rFonts w:ascii="Arial" w:hAnsi="Arial" w:cs="Arial"/>
          <w:b w:val="0"/>
          <w:szCs w:val="24"/>
        </w:rPr>
        <w:t xml:space="preserve"> 214 de la Constitución</w:t>
      </w:r>
      <w:r w:rsidR="00BF551B">
        <w:rPr>
          <w:rFonts w:ascii="Arial" w:hAnsi="Arial" w:cs="Arial"/>
          <w:b w:val="0"/>
          <w:szCs w:val="24"/>
        </w:rPr>
        <w:t xml:space="preserve"> de la República</w:t>
      </w:r>
      <w:r w:rsidRPr="00EB5337">
        <w:rPr>
          <w:rFonts w:ascii="Arial" w:hAnsi="Arial" w:cs="Arial"/>
          <w:b w:val="0"/>
          <w:szCs w:val="24"/>
        </w:rPr>
        <w:t>);</w:t>
      </w:r>
    </w:p>
    <w:p w:rsidR="00BF551B" w:rsidRDefault="00EB5337" w:rsidP="00BF551B">
      <w:pPr>
        <w:tabs>
          <w:tab w:val="left" w:pos="2268"/>
        </w:tabs>
        <w:spacing w:line="360" w:lineRule="auto"/>
        <w:ind w:firstLine="2835"/>
        <w:jc w:val="both"/>
        <w:rPr>
          <w:rFonts w:ascii="Arial" w:hAnsi="Arial" w:cs="Arial"/>
          <w:b w:val="0"/>
          <w:szCs w:val="24"/>
        </w:rPr>
      </w:pPr>
      <w:r w:rsidRPr="004F12C4">
        <w:rPr>
          <w:rFonts w:ascii="Arial" w:hAnsi="Arial" w:cs="Arial"/>
          <w:szCs w:val="24"/>
        </w:rPr>
        <w:t>2)</w:t>
      </w:r>
      <w:r w:rsidRPr="00EB5337">
        <w:rPr>
          <w:rFonts w:ascii="Arial" w:hAnsi="Arial" w:cs="Arial"/>
          <w:b w:val="0"/>
          <w:szCs w:val="24"/>
        </w:rPr>
        <w:t xml:space="preserve"> que  mediante Resolución Nº 2001/16 de 8.6.16, en oportunidad de emitir el </w:t>
      </w:r>
      <w:r w:rsidR="007605F2">
        <w:rPr>
          <w:rFonts w:ascii="Arial" w:hAnsi="Arial" w:cs="Arial"/>
          <w:b w:val="0"/>
          <w:szCs w:val="24"/>
        </w:rPr>
        <w:t>d</w:t>
      </w:r>
      <w:r w:rsidRPr="00EB5337">
        <w:rPr>
          <w:rFonts w:ascii="Arial" w:hAnsi="Arial" w:cs="Arial"/>
          <w:b w:val="0"/>
          <w:szCs w:val="24"/>
        </w:rPr>
        <w:t>ictamen</w:t>
      </w:r>
      <w:r w:rsidR="007605F2">
        <w:rPr>
          <w:rFonts w:ascii="Arial" w:hAnsi="Arial" w:cs="Arial"/>
          <w:b w:val="0"/>
          <w:szCs w:val="24"/>
        </w:rPr>
        <w:t>,</w:t>
      </w:r>
      <w:r w:rsidRPr="00EB5337">
        <w:rPr>
          <w:rFonts w:ascii="Arial" w:hAnsi="Arial" w:cs="Arial"/>
          <w:b w:val="0"/>
          <w:szCs w:val="24"/>
        </w:rPr>
        <w:t xml:space="preserve"> en aplicación del </w:t>
      </w:r>
      <w:r w:rsidR="00BF551B">
        <w:rPr>
          <w:rFonts w:ascii="Arial" w:hAnsi="Arial" w:cs="Arial"/>
          <w:b w:val="0"/>
          <w:szCs w:val="24"/>
        </w:rPr>
        <w:t>Artículo</w:t>
      </w:r>
      <w:r w:rsidRPr="00EB5337">
        <w:rPr>
          <w:rFonts w:ascii="Arial" w:hAnsi="Arial" w:cs="Arial"/>
          <w:b w:val="0"/>
          <w:szCs w:val="24"/>
        </w:rPr>
        <w:t xml:space="preserve"> 301 </w:t>
      </w:r>
      <w:r w:rsidR="00BF551B">
        <w:rPr>
          <w:rFonts w:ascii="Arial" w:hAnsi="Arial" w:cs="Arial"/>
          <w:b w:val="0"/>
          <w:szCs w:val="24"/>
        </w:rPr>
        <w:t>Inciso</w:t>
      </w:r>
      <w:r w:rsidRPr="00EB5337">
        <w:rPr>
          <w:rFonts w:ascii="Arial" w:hAnsi="Arial" w:cs="Arial"/>
          <w:b w:val="0"/>
          <w:szCs w:val="24"/>
        </w:rPr>
        <w:t xml:space="preserve"> 2 relativo a la constitución de un </w:t>
      </w:r>
      <w:r w:rsidR="007605F2">
        <w:rPr>
          <w:rFonts w:ascii="Arial" w:hAnsi="Arial" w:cs="Arial"/>
          <w:b w:val="0"/>
          <w:szCs w:val="24"/>
        </w:rPr>
        <w:t>f</w:t>
      </w:r>
      <w:r w:rsidRPr="00EB5337">
        <w:rPr>
          <w:rFonts w:ascii="Arial" w:hAnsi="Arial" w:cs="Arial"/>
          <w:b w:val="0"/>
          <w:szCs w:val="24"/>
        </w:rPr>
        <w:t xml:space="preserve">ideicomiso </w:t>
      </w:r>
      <w:r w:rsidR="007605F2">
        <w:rPr>
          <w:rFonts w:ascii="Arial" w:hAnsi="Arial" w:cs="Arial"/>
          <w:b w:val="0"/>
          <w:szCs w:val="24"/>
        </w:rPr>
        <w:t>f</w:t>
      </w:r>
      <w:r w:rsidRPr="00EB5337">
        <w:rPr>
          <w:rFonts w:ascii="Arial" w:hAnsi="Arial" w:cs="Arial"/>
          <w:b w:val="0"/>
          <w:szCs w:val="24"/>
        </w:rPr>
        <w:t xml:space="preserve">inanciero por parte de la </w:t>
      </w:r>
      <w:r w:rsidRPr="00EB5337">
        <w:rPr>
          <w:rFonts w:ascii="Arial" w:hAnsi="Arial" w:cs="Arial"/>
          <w:b w:val="0"/>
          <w:szCs w:val="24"/>
        </w:rPr>
        <w:lastRenderedPageBreak/>
        <w:t>Intendencia, este Tribunal señaló que “se deberá hacer la previsión presupuestal de fondos para el pago de las obras, así como de los gastos e intereses derivados del Fideico</w:t>
      </w:r>
      <w:r w:rsidR="00BF551B">
        <w:rPr>
          <w:rFonts w:ascii="Arial" w:hAnsi="Arial" w:cs="Arial"/>
          <w:b w:val="0"/>
          <w:szCs w:val="24"/>
        </w:rPr>
        <w:t>miso proyectado”;</w:t>
      </w:r>
    </w:p>
    <w:p w:rsidR="00BF551B" w:rsidRDefault="00EB5337" w:rsidP="00BF551B">
      <w:pPr>
        <w:tabs>
          <w:tab w:val="left" w:pos="2268"/>
        </w:tabs>
        <w:spacing w:line="360" w:lineRule="auto"/>
        <w:ind w:firstLine="2835"/>
        <w:jc w:val="both"/>
        <w:rPr>
          <w:rFonts w:ascii="Arial" w:hAnsi="Arial" w:cs="Arial"/>
          <w:b w:val="0"/>
          <w:szCs w:val="24"/>
        </w:rPr>
      </w:pPr>
      <w:r w:rsidRPr="004F12C4">
        <w:rPr>
          <w:rFonts w:ascii="Arial" w:hAnsi="Arial" w:cs="Arial"/>
          <w:szCs w:val="24"/>
        </w:rPr>
        <w:t>3</w:t>
      </w:r>
      <w:r w:rsidRPr="00BF551B">
        <w:rPr>
          <w:rFonts w:ascii="Arial" w:hAnsi="Arial" w:cs="Arial"/>
          <w:szCs w:val="24"/>
        </w:rPr>
        <w:t>)</w:t>
      </w:r>
      <w:r w:rsidRPr="00EB5337">
        <w:rPr>
          <w:rFonts w:ascii="Arial" w:hAnsi="Arial" w:cs="Arial"/>
          <w:b w:val="0"/>
          <w:szCs w:val="24"/>
        </w:rPr>
        <w:t xml:space="preserve"> </w:t>
      </w:r>
      <w:proofErr w:type="gramStart"/>
      <w:r w:rsidRPr="00EB5337">
        <w:rPr>
          <w:rFonts w:ascii="Arial" w:hAnsi="Arial" w:cs="Arial"/>
          <w:b w:val="0"/>
          <w:szCs w:val="24"/>
        </w:rPr>
        <w:t>que</w:t>
      </w:r>
      <w:proofErr w:type="gramEnd"/>
      <w:r w:rsidRPr="00EB5337">
        <w:rPr>
          <w:rFonts w:ascii="Arial" w:hAnsi="Arial" w:cs="Arial"/>
          <w:b w:val="0"/>
          <w:szCs w:val="24"/>
        </w:rPr>
        <w:t xml:space="preserve"> por Resolución 3295/16, adoptada en </w:t>
      </w:r>
      <w:r w:rsidR="001C241A">
        <w:rPr>
          <w:rFonts w:ascii="Arial" w:hAnsi="Arial" w:cs="Arial"/>
          <w:b w:val="0"/>
          <w:szCs w:val="24"/>
        </w:rPr>
        <w:t>S</w:t>
      </w:r>
      <w:r w:rsidRPr="00EB5337">
        <w:rPr>
          <w:rFonts w:ascii="Arial" w:hAnsi="Arial" w:cs="Arial"/>
          <w:b w:val="0"/>
          <w:szCs w:val="24"/>
        </w:rPr>
        <w:t>esión de fecha 21/09/016, este Tribunal consideró la comunicación de la Junta Departamental aceptando las observaciones formuladas al presupuesto quinquenal, señalando que no se introdujeron ajustes para subsanar lo establecido –entre otros- por los párrafos 3.9) y 4.3) del Dictamen (Considerando 1.1 y 1.2), criterio  que se mantuvo por Resolución Nº 2727/17 del Tribunal de Cuentas adoptada en fecha 23/08/017;</w:t>
      </w:r>
    </w:p>
    <w:p w:rsidR="00BF551B" w:rsidRDefault="00BF551B" w:rsidP="00BF551B">
      <w:pPr>
        <w:tabs>
          <w:tab w:val="left" w:pos="2268"/>
        </w:tabs>
        <w:spacing w:line="360" w:lineRule="auto"/>
        <w:ind w:firstLine="2835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szCs w:val="24"/>
        </w:rPr>
        <w:t>4</w:t>
      </w:r>
      <w:r w:rsidR="00EB5337" w:rsidRPr="004F12C4">
        <w:rPr>
          <w:rFonts w:ascii="Arial" w:hAnsi="Arial" w:cs="Arial"/>
          <w:szCs w:val="24"/>
        </w:rPr>
        <w:t>)</w:t>
      </w:r>
      <w:r w:rsidR="00EB5337" w:rsidRPr="00EB5337">
        <w:rPr>
          <w:rFonts w:ascii="Arial" w:hAnsi="Arial" w:cs="Arial"/>
          <w:b w:val="0"/>
          <w:szCs w:val="24"/>
        </w:rPr>
        <w:t xml:space="preserve"> que la observación formulada por </w:t>
      </w:r>
      <w:r w:rsidR="004F12C4">
        <w:rPr>
          <w:rFonts w:ascii="Arial" w:hAnsi="Arial" w:cs="Arial"/>
          <w:b w:val="0"/>
          <w:szCs w:val="24"/>
        </w:rPr>
        <w:t xml:space="preserve"> el Contador Delegado </w:t>
      </w:r>
      <w:r w:rsidR="00EB5337" w:rsidRPr="00EB5337">
        <w:rPr>
          <w:rFonts w:ascii="Arial" w:hAnsi="Arial" w:cs="Arial"/>
          <w:b w:val="0"/>
          <w:szCs w:val="24"/>
        </w:rPr>
        <w:t>se realizó en consonancia con los antecedentes referidos</w:t>
      </w:r>
      <w:r w:rsidR="0097096E">
        <w:rPr>
          <w:rFonts w:ascii="Arial" w:hAnsi="Arial" w:cs="Arial"/>
          <w:b w:val="0"/>
          <w:szCs w:val="24"/>
        </w:rPr>
        <w:t xml:space="preserve"> en el sentido de </w:t>
      </w:r>
      <w:r w:rsidR="00EB5337" w:rsidRPr="00EB5337">
        <w:rPr>
          <w:rFonts w:ascii="Arial" w:hAnsi="Arial" w:cs="Arial"/>
          <w:b w:val="0"/>
          <w:szCs w:val="24"/>
        </w:rPr>
        <w:t xml:space="preserve"> que  no </w:t>
      </w:r>
      <w:r w:rsidR="0097096E">
        <w:rPr>
          <w:rFonts w:ascii="Arial" w:hAnsi="Arial" w:cs="Arial"/>
          <w:b w:val="0"/>
          <w:szCs w:val="24"/>
        </w:rPr>
        <w:t xml:space="preserve">es </w:t>
      </w:r>
      <w:r w:rsidR="00EB5337" w:rsidRPr="00EB5337">
        <w:rPr>
          <w:rFonts w:ascii="Arial" w:hAnsi="Arial" w:cs="Arial"/>
          <w:b w:val="0"/>
          <w:szCs w:val="24"/>
        </w:rPr>
        <w:t>posible la realización de obras sin que se encuentren previstas presupuestalmente y por ende, que exista disponibilidad en el rubro de imputación correspondiente;</w:t>
      </w:r>
    </w:p>
    <w:p w:rsidR="00EB5337" w:rsidRPr="00EB5337" w:rsidRDefault="00BF551B" w:rsidP="00BF551B">
      <w:pPr>
        <w:tabs>
          <w:tab w:val="left" w:pos="2268"/>
        </w:tabs>
        <w:spacing w:line="360" w:lineRule="auto"/>
        <w:ind w:firstLine="2835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</w:t>
      </w:r>
      <w:r w:rsidRPr="00BF551B">
        <w:rPr>
          <w:rFonts w:ascii="Arial" w:hAnsi="Arial" w:cs="Arial"/>
          <w:szCs w:val="24"/>
        </w:rPr>
        <w:t>5</w:t>
      </w:r>
      <w:r w:rsidR="00EB5337" w:rsidRPr="00BF551B">
        <w:rPr>
          <w:rFonts w:ascii="Arial" w:hAnsi="Arial" w:cs="Arial"/>
          <w:szCs w:val="24"/>
        </w:rPr>
        <w:t>)</w:t>
      </w:r>
      <w:r w:rsidR="00EB5337" w:rsidRPr="00EB5337">
        <w:rPr>
          <w:rFonts w:ascii="Arial" w:hAnsi="Arial" w:cs="Arial"/>
          <w:b w:val="0"/>
          <w:szCs w:val="24"/>
        </w:rPr>
        <w:t xml:space="preserve"> que en consecuencia se mantienen los fundamentos jurídicos que determinaron la observación; </w:t>
      </w:r>
    </w:p>
    <w:p w:rsidR="00EB5337" w:rsidRPr="00EB5337" w:rsidRDefault="00BF551B" w:rsidP="00EB5337">
      <w:pPr>
        <w:tabs>
          <w:tab w:val="left" w:pos="2127"/>
        </w:tabs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    </w:t>
      </w:r>
      <w:r w:rsidR="00EB5337" w:rsidRPr="00BF551B">
        <w:rPr>
          <w:rFonts w:ascii="Arial" w:hAnsi="Arial" w:cs="Arial"/>
          <w:szCs w:val="24"/>
        </w:rPr>
        <w:t>ATENTO:</w:t>
      </w:r>
      <w:r w:rsidR="00EB5337" w:rsidRPr="00EB5337">
        <w:rPr>
          <w:rFonts w:ascii="Arial" w:hAnsi="Arial" w:cs="Arial"/>
          <w:b w:val="0"/>
          <w:szCs w:val="24"/>
        </w:rPr>
        <w:t xml:space="preserve"> </w:t>
      </w:r>
      <w:r w:rsidR="00EB5337" w:rsidRPr="00EB5337">
        <w:rPr>
          <w:rFonts w:ascii="Arial" w:hAnsi="Arial" w:cs="Arial"/>
          <w:b w:val="0"/>
          <w:bCs/>
          <w:szCs w:val="24"/>
        </w:rPr>
        <w:t>a lo precedentemente expuesto</w:t>
      </w:r>
      <w:r w:rsidR="0097096E">
        <w:rPr>
          <w:rFonts w:ascii="Arial" w:hAnsi="Arial" w:cs="Arial"/>
          <w:b w:val="0"/>
          <w:bCs/>
          <w:szCs w:val="24"/>
        </w:rPr>
        <w:t xml:space="preserve"> y a lo dispuesto por el </w:t>
      </w:r>
      <w:r>
        <w:rPr>
          <w:rFonts w:ascii="Arial" w:hAnsi="Arial" w:cs="Arial"/>
          <w:b w:val="0"/>
          <w:bCs/>
          <w:szCs w:val="24"/>
        </w:rPr>
        <w:t>A</w:t>
      </w:r>
      <w:r w:rsidR="0097096E">
        <w:rPr>
          <w:rFonts w:ascii="Arial" w:hAnsi="Arial" w:cs="Arial"/>
          <w:b w:val="0"/>
          <w:bCs/>
          <w:szCs w:val="24"/>
        </w:rPr>
        <w:t>rt</w:t>
      </w:r>
      <w:r>
        <w:rPr>
          <w:rFonts w:ascii="Arial" w:hAnsi="Arial" w:cs="Arial"/>
          <w:b w:val="0"/>
          <w:bCs/>
          <w:szCs w:val="24"/>
        </w:rPr>
        <w:t>ículo</w:t>
      </w:r>
      <w:r w:rsidR="0097096E">
        <w:rPr>
          <w:rFonts w:ascii="Arial" w:hAnsi="Arial" w:cs="Arial"/>
          <w:b w:val="0"/>
          <w:bCs/>
          <w:szCs w:val="24"/>
        </w:rPr>
        <w:t xml:space="preserve"> 211 </w:t>
      </w:r>
      <w:r>
        <w:rPr>
          <w:rFonts w:ascii="Arial" w:hAnsi="Arial" w:cs="Arial"/>
          <w:b w:val="0"/>
          <w:bCs/>
          <w:szCs w:val="24"/>
        </w:rPr>
        <w:t>L</w:t>
      </w:r>
      <w:r w:rsidR="0097096E">
        <w:rPr>
          <w:rFonts w:ascii="Arial" w:hAnsi="Arial" w:cs="Arial"/>
          <w:b w:val="0"/>
          <w:bCs/>
          <w:szCs w:val="24"/>
        </w:rPr>
        <w:t>it</w:t>
      </w:r>
      <w:r>
        <w:rPr>
          <w:rFonts w:ascii="Arial" w:hAnsi="Arial" w:cs="Arial"/>
          <w:b w:val="0"/>
          <w:bCs/>
          <w:szCs w:val="24"/>
        </w:rPr>
        <w:t>eral</w:t>
      </w:r>
      <w:r w:rsidR="0097096E">
        <w:rPr>
          <w:rFonts w:ascii="Arial" w:hAnsi="Arial" w:cs="Arial"/>
          <w:b w:val="0"/>
          <w:bCs/>
          <w:szCs w:val="24"/>
        </w:rPr>
        <w:t xml:space="preserve"> B</w:t>
      </w:r>
      <w:r>
        <w:rPr>
          <w:rFonts w:ascii="Arial" w:hAnsi="Arial" w:cs="Arial"/>
          <w:b w:val="0"/>
          <w:bCs/>
          <w:szCs w:val="24"/>
        </w:rPr>
        <w:t>)</w:t>
      </w:r>
      <w:r w:rsidR="0097096E">
        <w:rPr>
          <w:rFonts w:ascii="Arial" w:hAnsi="Arial" w:cs="Arial"/>
          <w:b w:val="0"/>
          <w:bCs/>
          <w:szCs w:val="24"/>
        </w:rPr>
        <w:t xml:space="preserve"> de la Constitución</w:t>
      </w:r>
      <w:r>
        <w:rPr>
          <w:rFonts w:ascii="Arial" w:hAnsi="Arial" w:cs="Arial"/>
          <w:b w:val="0"/>
          <w:bCs/>
          <w:szCs w:val="24"/>
        </w:rPr>
        <w:t xml:space="preserve"> de la República</w:t>
      </w:r>
      <w:r w:rsidR="00EB5337" w:rsidRPr="00EB5337">
        <w:rPr>
          <w:rFonts w:ascii="Arial" w:hAnsi="Arial" w:cs="Arial"/>
          <w:b w:val="0"/>
          <w:bCs/>
          <w:szCs w:val="24"/>
        </w:rPr>
        <w:t xml:space="preserve">; </w:t>
      </w:r>
    </w:p>
    <w:p w:rsidR="00EB5337" w:rsidRPr="00BF551B" w:rsidRDefault="00EB5337" w:rsidP="00EB5337">
      <w:pPr>
        <w:spacing w:line="360" w:lineRule="auto"/>
        <w:jc w:val="center"/>
        <w:rPr>
          <w:rFonts w:ascii="Arial" w:hAnsi="Arial" w:cs="Arial"/>
          <w:iCs/>
          <w:szCs w:val="24"/>
        </w:rPr>
      </w:pPr>
      <w:r w:rsidRPr="00BF551B">
        <w:rPr>
          <w:rFonts w:ascii="Arial" w:hAnsi="Arial" w:cs="Arial"/>
          <w:iCs/>
          <w:szCs w:val="24"/>
        </w:rPr>
        <w:t>EL TRIBUNAL ACUERDA</w:t>
      </w:r>
    </w:p>
    <w:p w:rsidR="00EB5337" w:rsidRPr="00BF551B" w:rsidRDefault="004F12C4" w:rsidP="00BF551B">
      <w:pPr>
        <w:pStyle w:val="Prrafodelista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b w:val="0"/>
          <w:bCs/>
          <w:szCs w:val="24"/>
        </w:rPr>
      </w:pPr>
      <w:r w:rsidRPr="00BF551B">
        <w:rPr>
          <w:rFonts w:ascii="Arial" w:hAnsi="Arial" w:cs="Arial"/>
          <w:b w:val="0"/>
          <w:bCs/>
          <w:szCs w:val="24"/>
        </w:rPr>
        <w:t>Ratificar la observación formulada por el Contador Delegado  con fecha 7/08/2018</w:t>
      </w:r>
      <w:r w:rsidR="00BF551B" w:rsidRPr="00BF551B">
        <w:rPr>
          <w:rFonts w:ascii="Arial" w:hAnsi="Arial" w:cs="Arial"/>
          <w:b w:val="0"/>
          <w:bCs/>
          <w:szCs w:val="24"/>
        </w:rPr>
        <w:t>;</w:t>
      </w:r>
    </w:p>
    <w:p w:rsidR="00EB5337" w:rsidRDefault="00BF551B" w:rsidP="00BF551B">
      <w:pPr>
        <w:pStyle w:val="Prrafodelista"/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D</w:t>
      </w:r>
      <w:r w:rsidR="00EB5337" w:rsidRPr="00BF551B">
        <w:rPr>
          <w:rFonts w:ascii="Arial" w:hAnsi="Arial" w:cs="Arial"/>
          <w:b w:val="0"/>
          <w:bCs/>
          <w:szCs w:val="24"/>
        </w:rPr>
        <w:t xml:space="preserve">ar cuenta a la Junta Departamental de Canelones; y </w:t>
      </w:r>
    </w:p>
    <w:p w:rsidR="00EB5337" w:rsidRDefault="00EB5337" w:rsidP="00BF551B">
      <w:pPr>
        <w:pStyle w:val="Prrafodelista"/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Arial" w:hAnsi="Arial" w:cs="Arial"/>
          <w:b w:val="0"/>
          <w:bCs/>
          <w:szCs w:val="24"/>
        </w:rPr>
      </w:pPr>
      <w:r w:rsidRPr="00BF551B">
        <w:rPr>
          <w:rFonts w:ascii="Arial" w:hAnsi="Arial" w:cs="Arial"/>
          <w:b w:val="0"/>
          <w:bCs/>
          <w:szCs w:val="24"/>
        </w:rPr>
        <w:t>Comunicar a la Intendencia de Canelones.</w:t>
      </w:r>
      <w:bookmarkStart w:id="0" w:name="_GoBack"/>
      <w:bookmarkEnd w:id="0"/>
    </w:p>
    <w:p w:rsidR="00BF551B" w:rsidRDefault="00BF551B" w:rsidP="00BF551B">
      <w:pPr>
        <w:spacing w:after="120" w:line="360" w:lineRule="auto"/>
        <w:rPr>
          <w:rFonts w:ascii="Arial" w:hAnsi="Arial" w:cs="Arial"/>
          <w:b w:val="0"/>
          <w:bCs/>
          <w:szCs w:val="24"/>
        </w:rPr>
      </w:pPr>
    </w:p>
    <w:p w:rsidR="00BF551B" w:rsidRPr="00BF551B" w:rsidRDefault="00BF551B" w:rsidP="00BF551B">
      <w:pPr>
        <w:spacing w:after="120" w:line="360" w:lineRule="auto"/>
        <w:rPr>
          <w:rFonts w:ascii="Arial" w:hAnsi="Arial" w:cs="Arial"/>
          <w:b w:val="0"/>
          <w:bCs/>
          <w:szCs w:val="24"/>
        </w:rPr>
      </w:pPr>
      <w:proofErr w:type="spellStart"/>
      <w:proofErr w:type="gramStart"/>
      <w:r>
        <w:rPr>
          <w:rFonts w:ascii="Arial" w:hAnsi="Arial" w:cs="Arial"/>
          <w:b w:val="0"/>
          <w:bCs/>
          <w:szCs w:val="24"/>
        </w:rPr>
        <w:t>aa</w:t>
      </w:r>
      <w:proofErr w:type="spellEnd"/>
      <w:proofErr w:type="gramEnd"/>
    </w:p>
    <w:p w:rsidR="00EB5337" w:rsidRPr="00EB5337" w:rsidRDefault="00EB5337" w:rsidP="00EB5337">
      <w:pPr>
        <w:spacing w:line="360" w:lineRule="auto"/>
        <w:jc w:val="both"/>
        <w:rPr>
          <w:rFonts w:ascii="Arial" w:hAnsi="Arial"/>
          <w:b w:val="0"/>
          <w:bCs/>
          <w:szCs w:val="24"/>
          <w:highlight w:val="yellow"/>
        </w:rPr>
      </w:pPr>
    </w:p>
    <w:p w:rsidR="00EB5337" w:rsidRPr="00EB5337" w:rsidRDefault="00EB5337" w:rsidP="00EB5337">
      <w:pPr>
        <w:spacing w:line="360" w:lineRule="auto"/>
        <w:jc w:val="both"/>
        <w:rPr>
          <w:rFonts w:ascii="Arial" w:hAnsi="Arial"/>
          <w:b w:val="0"/>
          <w:bCs/>
          <w:szCs w:val="24"/>
          <w:highlight w:val="yellow"/>
        </w:rPr>
      </w:pPr>
    </w:p>
    <w:sectPr w:rsidR="00EB5337" w:rsidRPr="00EB5337" w:rsidSect="00577D62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495D"/>
    <w:multiLevelType w:val="multilevel"/>
    <w:tmpl w:val="C6BA6AC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44E5CAC"/>
    <w:multiLevelType w:val="hybridMultilevel"/>
    <w:tmpl w:val="33E2C458"/>
    <w:lvl w:ilvl="0" w:tplc="11960A3E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402397"/>
    <w:multiLevelType w:val="hybridMultilevel"/>
    <w:tmpl w:val="B5A2B610"/>
    <w:lvl w:ilvl="0" w:tplc="0D9EDE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58"/>
    <w:rsid w:val="00063093"/>
    <w:rsid w:val="001C241A"/>
    <w:rsid w:val="00251D49"/>
    <w:rsid w:val="003147B6"/>
    <w:rsid w:val="003A7A92"/>
    <w:rsid w:val="004B3CB1"/>
    <w:rsid w:val="004F12C4"/>
    <w:rsid w:val="00577D62"/>
    <w:rsid w:val="007605F2"/>
    <w:rsid w:val="00843786"/>
    <w:rsid w:val="00877D58"/>
    <w:rsid w:val="008F7DD2"/>
    <w:rsid w:val="0097096E"/>
    <w:rsid w:val="00BF551B"/>
    <w:rsid w:val="00CD7F3E"/>
    <w:rsid w:val="00E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D58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77D58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77D58"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877D58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877D58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877D58"/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77D58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77D58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77D58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877D58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877D58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51D4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F55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7D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D62"/>
    <w:rPr>
      <w:rFonts w:ascii="Tahoma" w:eastAsia="Times New Roman" w:hAnsi="Tahoma" w:cs="Tahoma"/>
      <w:b/>
      <w:color w:val="000000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D58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77D58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77D58"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877D58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877D58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877D58"/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77D58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77D58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77D58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877D58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877D58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51D4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F55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7D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D62"/>
    <w:rPr>
      <w:rFonts w:ascii="Tahoma" w:eastAsia="Times New Roman" w:hAnsi="Tahoma" w:cs="Tahoma"/>
      <w:b/>
      <w:color w:val="00000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2019-04-03T17:58:00Z</cp:lastPrinted>
  <dcterms:created xsi:type="dcterms:W3CDTF">2019-04-03T17:43:00Z</dcterms:created>
  <dcterms:modified xsi:type="dcterms:W3CDTF">2019-04-03T18:04:00Z</dcterms:modified>
</cp:coreProperties>
</file>