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8E" w:rsidRPr="00786EEB" w:rsidRDefault="00CE618E" w:rsidP="00786EEB">
      <w:pPr>
        <w:tabs>
          <w:tab w:val="center" w:pos="4253"/>
        </w:tabs>
        <w:suppressAutoHyphens/>
        <w:jc w:val="right"/>
        <w:rPr>
          <w:rFonts w:cs="Arial"/>
          <w:b/>
          <w:sz w:val="28"/>
          <w:szCs w:val="28"/>
          <w:lang w:val="es-ES_tradnl"/>
        </w:rPr>
      </w:pPr>
      <w:r>
        <w:rPr>
          <w:rFonts w:cs="Arial"/>
          <w:b/>
          <w:sz w:val="28"/>
          <w:szCs w:val="28"/>
          <w:lang w:val="es-ES_tradnl"/>
        </w:rPr>
        <w:t>RES.898/19</w:t>
      </w:r>
    </w:p>
    <w:p w:rsidR="00CE618E" w:rsidRDefault="00CE618E" w:rsidP="00786EEB">
      <w:pPr>
        <w:tabs>
          <w:tab w:val="center" w:pos="4253"/>
        </w:tabs>
        <w:suppressAutoHyphens/>
        <w:jc w:val="right"/>
        <w:rPr>
          <w:rFonts w:cs="Arial"/>
          <w:b/>
          <w:lang w:val="es-ES_tradnl"/>
        </w:rPr>
      </w:pPr>
    </w:p>
    <w:p w:rsidR="00CE618E" w:rsidRPr="00CE618E" w:rsidRDefault="00CE618E">
      <w:pPr>
        <w:tabs>
          <w:tab w:val="center" w:pos="4253"/>
        </w:tabs>
        <w:suppressAutoHyphens/>
        <w:jc w:val="center"/>
        <w:rPr>
          <w:rFonts w:cs="Arial"/>
          <w:b/>
          <w:lang w:val="es-ES_tradnl"/>
        </w:rPr>
      </w:pPr>
      <w:r w:rsidRPr="00CE618E">
        <w:rPr>
          <w:rFonts w:cs="Arial"/>
          <w:b/>
          <w:lang w:val="es-ES_tradnl"/>
        </w:rPr>
        <w:t>RESOLUCION ADOPTADA POR EL</w:t>
      </w:r>
    </w:p>
    <w:p w:rsidR="00CE618E" w:rsidRPr="00CE618E" w:rsidRDefault="00CE618E">
      <w:pPr>
        <w:tabs>
          <w:tab w:val="left" w:pos="-720"/>
        </w:tabs>
        <w:suppressAutoHyphens/>
        <w:jc w:val="center"/>
        <w:rPr>
          <w:rFonts w:cs="Arial"/>
          <w:b/>
          <w:lang w:val="es-ES_tradnl"/>
        </w:rPr>
      </w:pPr>
    </w:p>
    <w:p w:rsidR="00CE618E" w:rsidRPr="00CE618E" w:rsidRDefault="00CE618E">
      <w:pPr>
        <w:tabs>
          <w:tab w:val="center" w:pos="4253"/>
        </w:tabs>
        <w:suppressAutoHyphens/>
        <w:jc w:val="center"/>
        <w:rPr>
          <w:rFonts w:cs="Arial"/>
          <w:b/>
          <w:lang w:val="es-ES_tradnl"/>
        </w:rPr>
      </w:pPr>
      <w:r w:rsidRPr="00CE618E">
        <w:rPr>
          <w:rFonts w:cs="Arial"/>
          <w:b/>
          <w:lang w:val="es-ES_tradnl"/>
        </w:rPr>
        <w:t>TRIBUNAL DE CUENTAS</w:t>
      </w:r>
    </w:p>
    <w:p w:rsidR="00CE618E" w:rsidRPr="00CE618E" w:rsidRDefault="00CE618E">
      <w:pPr>
        <w:tabs>
          <w:tab w:val="left" w:pos="-720"/>
        </w:tabs>
        <w:suppressAutoHyphens/>
        <w:jc w:val="center"/>
        <w:rPr>
          <w:rFonts w:cs="Arial"/>
          <w:b/>
          <w:lang w:val="es-ES_tradnl"/>
        </w:rPr>
      </w:pPr>
    </w:p>
    <w:p w:rsidR="00CE618E" w:rsidRPr="00CE618E" w:rsidRDefault="00CE618E">
      <w:pPr>
        <w:tabs>
          <w:tab w:val="center" w:pos="4253"/>
        </w:tabs>
        <w:suppressAutoHyphens/>
        <w:jc w:val="center"/>
        <w:rPr>
          <w:rFonts w:cs="Arial"/>
          <w:b/>
          <w:lang w:val="es-ES_tradnl"/>
        </w:rPr>
      </w:pPr>
      <w:r w:rsidRPr="00CE618E">
        <w:rPr>
          <w:rFonts w:cs="Arial"/>
          <w:b/>
          <w:lang w:val="es-ES_tradnl"/>
        </w:rPr>
        <w:t>EN SESION DE FECHA 3 DE ABRIL DE 2019</w:t>
      </w:r>
    </w:p>
    <w:p w:rsidR="00CE618E" w:rsidRPr="00CE618E" w:rsidRDefault="00CE618E">
      <w:pPr>
        <w:tabs>
          <w:tab w:val="center" w:pos="4253"/>
        </w:tabs>
        <w:suppressAutoHyphens/>
        <w:jc w:val="center"/>
        <w:rPr>
          <w:rFonts w:cs="Arial"/>
          <w:b/>
          <w:lang w:val="es-ES_tradnl"/>
        </w:rPr>
      </w:pPr>
    </w:p>
    <w:p w:rsidR="00CE618E" w:rsidRPr="00CE618E" w:rsidRDefault="00CE618E">
      <w:pPr>
        <w:tabs>
          <w:tab w:val="center" w:pos="4253"/>
        </w:tabs>
        <w:suppressAutoHyphens/>
        <w:jc w:val="center"/>
        <w:rPr>
          <w:rFonts w:cs="Arial"/>
          <w:b/>
          <w:lang w:val="en-US"/>
        </w:rPr>
      </w:pPr>
      <w:r w:rsidRPr="00CE618E">
        <w:rPr>
          <w:rFonts w:cs="Arial"/>
          <w:b/>
          <w:lang w:val="en-US"/>
        </w:rPr>
        <w:t xml:space="preserve">(E. E. Nº </w:t>
      </w:r>
      <w:r w:rsidRPr="00CE618E">
        <w:rPr>
          <w:rFonts w:cs="Arial"/>
          <w:b/>
        </w:rPr>
        <w:t>2019-17-1-0001596</w:t>
      </w:r>
      <w:r w:rsidRPr="00CE618E">
        <w:rPr>
          <w:rFonts w:cs="Arial"/>
          <w:b/>
          <w:lang w:val="en-US"/>
        </w:rPr>
        <w:t xml:space="preserve">, </w:t>
      </w:r>
      <w:proofErr w:type="gramStart"/>
      <w:r w:rsidRPr="00CE618E">
        <w:rPr>
          <w:rFonts w:cs="Arial"/>
          <w:b/>
          <w:lang w:val="en-US"/>
        </w:rPr>
        <w:t>Ent</w:t>
      </w:r>
      <w:proofErr w:type="gramEnd"/>
      <w:r w:rsidRPr="00CE618E">
        <w:rPr>
          <w:rFonts w:cs="Arial"/>
          <w:b/>
          <w:lang w:val="en-US"/>
        </w:rPr>
        <w:t xml:space="preserve">. N° </w:t>
      </w:r>
      <w:r w:rsidRPr="00CE618E">
        <w:rPr>
          <w:rFonts w:cs="Arial"/>
          <w:b/>
          <w:bCs/>
        </w:rPr>
        <w:t>1259</w:t>
      </w:r>
      <w:r w:rsidRPr="00CE618E">
        <w:rPr>
          <w:rFonts w:cs="Arial"/>
          <w:b/>
        </w:rPr>
        <w:t>/19</w:t>
      </w:r>
      <w:r w:rsidRPr="00CE618E">
        <w:rPr>
          <w:rFonts w:cs="Arial"/>
          <w:b/>
          <w:lang w:val="en-US"/>
        </w:rPr>
        <w:t>)</w:t>
      </w:r>
    </w:p>
    <w:p w:rsidR="00CE618E" w:rsidRPr="00CE618E" w:rsidRDefault="00CE618E">
      <w:pPr>
        <w:tabs>
          <w:tab w:val="center" w:pos="4253"/>
        </w:tabs>
        <w:suppressAutoHyphens/>
        <w:jc w:val="center"/>
        <w:rPr>
          <w:rFonts w:cs="Arial"/>
          <w:b/>
          <w:lang w:val="en-US"/>
        </w:rPr>
      </w:pPr>
    </w:p>
    <w:p w:rsidR="00BE6974" w:rsidRPr="00CE618E" w:rsidRDefault="00BE6974" w:rsidP="00BE6974">
      <w:pPr>
        <w:rPr>
          <w:b/>
        </w:rPr>
      </w:pPr>
    </w:p>
    <w:p w:rsidR="00BE6974" w:rsidRDefault="00BE6974" w:rsidP="00CE618E">
      <w:pPr>
        <w:autoSpaceDE w:val="0"/>
        <w:autoSpaceDN w:val="0"/>
        <w:adjustRightInd w:val="0"/>
        <w:spacing w:line="360" w:lineRule="auto"/>
        <w:ind w:firstLine="851"/>
        <w:jc w:val="both"/>
        <w:rPr>
          <w:rFonts w:ascii="LiberationSans-Regular" w:hAnsi="LiberationSans-Regular"/>
        </w:rPr>
      </w:pPr>
      <w:r w:rsidRPr="00CE618E">
        <w:rPr>
          <w:rFonts w:ascii="LiberationSans-Bold" w:hAnsi="LiberationSans-Bold"/>
          <w:b/>
          <w:bCs/>
        </w:rPr>
        <w:t>VISTO</w:t>
      </w:r>
      <w:r w:rsidRPr="00CE618E">
        <w:rPr>
          <w:rFonts w:ascii="LiberationSans-Regular" w:hAnsi="LiberationSans-Regular"/>
          <w:b/>
        </w:rPr>
        <w:t>:</w:t>
      </w:r>
      <w:r>
        <w:rPr>
          <w:rFonts w:ascii="LiberationSans-Regular" w:hAnsi="LiberationSans-Regular"/>
        </w:rPr>
        <w:t xml:space="preserve"> estas actuaciones remitidas por Presidencia de la República, relacionadas con la contratación de l</w:t>
      </w:r>
      <w:r w:rsidR="008E6AAA">
        <w:rPr>
          <w:rFonts w:ascii="LiberationSans-Regular" w:hAnsi="LiberationSans-Regular"/>
        </w:rPr>
        <w:t>a empresa GPR ECONOMIA S.A.</w:t>
      </w:r>
      <w:r>
        <w:rPr>
          <w:rFonts w:ascii="LiberationSans-Regular" w:hAnsi="LiberationSans-Regular"/>
        </w:rPr>
        <w:t xml:space="preserve">; </w:t>
      </w:r>
    </w:p>
    <w:p w:rsidR="00BE6974" w:rsidRDefault="00760F8F" w:rsidP="00CE618E">
      <w:pPr>
        <w:autoSpaceDE w:val="0"/>
        <w:autoSpaceDN w:val="0"/>
        <w:adjustRightInd w:val="0"/>
        <w:spacing w:line="360" w:lineRule="auto"/>
        <w:ind w:firstLine="851"/>
        <w:jc w:val="both"/>
        <w:rPr>
          <w:rFonts w:ascii="LiberationSans-Regular" w:hAnsi="LiberationSans-Regular"/>
        </w:rPr>
      </w:pPr>
      <w:r>
        <w:rPr>
          <w:rFonts w:ascii="LiberationSans-Bold" w:hAnsi="LiberationSans-Bold"/>
          <w:b/>
          <w:bCs/>
        </w:rPr>
        <w:t xml:space="preserve">RESULTANDO: </w:t>
      </w:r>
      <w:r w:rsidR="00BE6974">
        <w:rPr>
          <w:rFonts w:ascii="LiberationSans-Bold" w:hAnsi="LiberationSans-Bold"/>
          <w:b/>
          <w:bCs/>
        </w:rPr>
        <w:t xml:space="preserve">1) </w:t>
      </w:r>
      <w:r>
        <w:rPr>
          <w:rFonts w:cs="Arial"/>
        </w:rPr>
        <w:t xml:space="preserve">que se </w:t>
      </w:r>
      <w:r w:rsidR="00BE6974">
        <w:rPr>
          <w:rFonts w:cs="Arial"/>
        </w:rPr>
        <w:t xml:space="preserve">remite </w:t>
      </w:r>
      <w:r w:rsidR="008E6AAA">
        <w:rPr>
          <w:rFonts w:cs="Arial"/>
        </w:rPr>
        <w:t xml:space="preserve">el </w:t>
      </w:r>
      <w:r w:rsidR="00BE6974">
        <w:rPr>
          <w:rFonts w:cs="Arial"/>
        </w:rPr>
        <w:t>co</w:t>
      </w:r>
      <w:r w:rsidR="008E6AAA">
        <w:rPr>
          <w:rFonts w:cs="Arial"/>
        </w:rPr>
        <w:t xml:space="preserve">ntrato </w:t>
      </w:r>
      <w:r w:rsidR="00BE6974">
        <w:rPr>
          <w:rFonts w:cs="Arial"/>
        </w:rPr>
        <w:t>celeb</w:t>
      </w:r>
      <w:r>
        <w:rPr>
          <w:rFonts w:cs="Arial"/>
        </w:rPr>
        <w:t>rado el 26 de diciembre de 2018</w:t>
      </w:r>
      <w:r w:rsidR="00BE6974">
        <w:rPr>
          <w:rFonts w:cs="Arial"/>
        </w:rPr>
        <w:t xml:space="preserve"> por el Estado –Poder Ejecutivo-  representado por el Ministerio de Relaciones Exteriores y el Ministerio de Industria, Energía y Minería con </w:t>
      </w:r>
      <w:r w:rsidR="00BE6974">
        <w:rPr>
          <w:rFonts w:ascii="LiberationSans-Regular" w:hAnsi="LiberationSans-Regular"/>
        </w:rPr>
        <w:t>la empresa GPR ECONOMIA S.A</w:t>
      </w:r>
      <w:r w:rsidR="004D3D54">
        <w:rPr>
          <w:rFonts w:cs="Arial"/>
        </w:rPr>
        <w:t>, que tiene por objeto</w:t>
      </w:r>
      <w:r w:rsidR="00BE6974">
        <w:rPr>
          <w:rFonts w:ascii="LiberationSans-Regular" w:hAnsi="LiberationSans-Regular"/>
        </w:rPr>
        <w:t xml:space="preserve"> que la empresa contratada realice los análisis y el</w:t>
      </w:r>
      <w:r w:rsidR="004D3D54">
        <w:rPr>
          <w:rFonts w:ascii="LiberationSans-Regular" w:hAnsi="LiberationSans-Regular"/>
        </w:rPr>
        <w:t xml:space="preserve">abore </w:t>
      </w:r>
      <w:r w:rsidR="00BE6974">
        <w:rPr>
          <w:rFonts w:ascii="LiberationSans-Regular" w:hAnsi="LiberationSans-Regular"/>
        </w:rPr>
        <w:t>los informes necesarios correspondientes al Memorial de Contestación de la Demanda y Demanda de Reconvención, Memoria de Dúplica a la Réplica d</w:t>
      </w:r>
      <w:r>
        <w:rPr>
          <w:rFonts w:ascii="LiberationSans-Regular" w:hAnsi="LiberationSans-Regular"/>
        </w:rPr>
        <w:t xml:space="preserve">e la Contestación de Demanda y </w:t>
      </w:r>
      <w:r w:rsidR="00BE6974">
        <w:rPr>
          <w:rFonts w:ascii="LiberationSans-Regular" w:hAnsi="LiberationSans-Regular"/>
        </w:rPr>
        <w:t xml:space="preserve">Réplica a la Contestación de la Demanda </w:t>
      </w:r>
      <w:r>
        <w:rPr>
          <w:rFonts w:ascii="LiberationSans-Regular" w:hAnsi="LiberationSans-Regular"/>
        </w:rPr>
        <w:t>Reconvencional</w:t>
      </w:r>
      <w:r w:rsidR="00BE6974">
        <w:rPr>
          <w:rFonts w:ascii="LiberationSans-Regular" w:hAnsi="LiberationSans-Regular"/>
        </w:rPr>
        <w:t>, compareciendo asimismo a la respectivas audiencias ante el Centro de Conciliación y Arbitraje –Corte de Arbitraje Internacional para e</w:t>
      </w:r>
      <w:r>
        <w:rPr>
          <w:rFonts w:ascii="LiberationSans-Regular" w:hAnsi="LiberationSans-Regular"/>
        </w:rPr>
        <w:t xml:space="preserve">l Mercosur –Bolsa de Comercio- </w:t>
      </w:r>
      <w:r w:rsidR="00BE6974">
        <w:rPr>
          <w:rFonts w:ascii="LiberationSans-Regular" w:hAnsi="LiberationSans-Regular"/>
        </w:rPr>
        <w:t>República Oriental del Uruguay (R</w:t>
      </w:r>
      <w:r w:rsidR="009552E7">
        <w:rPr>
          <w:rFonts w:ascii="LiberationSans-Regular" w:hAnsi="LiberationSans-Regular"/>
        </w:rPr>
        <w:t>.</w:t>
      </w:r>
      <w:r w:rsidR="00BE6974">
        <w:rPr>
          <w:rFonts w:ascii="LiberationSans-Regular" w:hAnsi="LiberationSans-Regular"/>
        </w:rPr>
        <w:t>O</w:t>
      </w:r>
      <w:r w:rsidR="009552E7">
        <w:rPr>
          <w:rFonts w:ascii="LiberationSans-Regular" w:hAnsi="LiberationSans-Regular"/>
        </w:rPr>
        <w:t>.</w:t>
      </w:r>
      <w:r w:rsidR="00BE6974">
        <w:rPr>
          <w:rFonts w:ascii="LiberationSans-Regular" w:hAnsi="LiberationSans-Regular"/>
        </w:rPr>
        <w:t>U</w:t>
      </w:r>
      <w:r w:rsidR="009552E7">
        <w:rPr>
          <w:rFonts w:ascii="LiberationSans-Regular" w:hAnsi="LiberationSans-Regular"/>
        </w:rPr>
        <w:t>.</w:t>
      </w:r>
      <w:r w:rsidR="00BE6974">
        <w:rPr>
          <w:rFonts w:ascii="LiberationSans-Regular" w:hAnsi="LiberationSans-Regular"/>
        </w:rPr>
        <w:t>), en el procedimiento arbitral iniciado por la empresa Distribuidora de Gas Montevideo S.</w:t>
      </w:r>
      <w:r w:rsidR="008E6AAA">
        <w:rPr>
          <w:rFonts w:ascii="LiberationSans-Regular" w:hAnsi="LiberationSans-Regular"/>
        </w:rPr>
        <w:t>A. (Montevideo Gas), respecto del</w:t>
      </w:r>
      <w:r w:rsidR="00BE6974">
        <w:rPr>
          <w:rFonts w:ascii="LiberationSans-Regular" w:hAnsi="LiberationSans-Regular"/>
        </w:rPr>
        <w:t xml:space="preserve"> contrato de concesión celebrado el 15 de diciembre de 1994;</w:t>
      </w:r>
    </w:p>
    <w:p w:rsidR="00CE618E" w:rsidRDefault="00BE6974" w:rsidP="00CE618E">
      <w:pPr>
        <w:autoSpaceDE w:val="0"/>
        <w:autoSpaceDN w:val="0"/>
        <w:adjustRightInd w:val="0"/>
        <w:spacing w:line="360" w:lineRule="auto"/>
        <w:ind w:firstLine="2694"/>
        <w:jc w:val="both"/>
        <w:rPr>
          <w:rFonts w:ascii="LiberationSans-Regular" w:hAnsi="LiberationSans-Regular"/>
        </w:rPr>
      </w:pPr>
      <w:r>
        <w:rPr>
          <w:rFonts w:ascii="LiberationSans-Regular" w:hAnsi="LiberationSans-Regular"/>
          <w:b/>
          <w:bCs/>
        </w:rPr>
        <w:t>2)</w:t>
      </w:r>
      <w:r>
        <w:rPr>
          <w:rFonts w:ascii="LiberationSans-Regular" w:hAnsi="LiberationSans-Regular"/>
        </w:rPr>
        <w:t xml:space="preserve"> que se establece que los honorarios profesionales que abonará el Estado por los servi</w:t>
      </w:r>
      <w:r w:rsidR="007F7C54">
        <w:rPr>
          <w:rFonts w:ascii="LiberationSans-Regular" w:hAnsi="LiberationSans-Regular"/>
        </w:rPr>
        <w:t>cios contr</w:t>
      </w:r>
      <w:r w:rsidR="008E6AAA">
        <w:rPr>
          <w:rFonts w:ascii="LiberationSans-Regular" w:hAnsi="LiberationSans-Regular"/>
        </w:rPr>
        <w:t>atados</w:t>
      </w:r>
      <w:r w:rsidR="007F7C54">
        <w:rPr>
          <w:rFonts w:ascii="LiberationSans-Regular" w:hAnsi="LiberationSans-Regular"/>
        </w:rPr>
        <w:t xml:space="preserve"> ascenderán a la suma</w:t>
      </w:r>
      <w:r>
        <w:rPr>
          <w:rFonts w:ascii="LiberationSans-Regular" w:hAnsi="LiberationSans-Regular"/>
        </w:rPr>
        <w:t xml:space="preserve"> de U$S 100.000 más </w:t>
      </w:r>
      <w:r w:rsidR="008E6AAA">
        <w:rPr>
          <w:rFonts w:ascii="LiberationSans-Regular" w:hAnsi="LiberationSans-Regular"/>
        </w:rPr>
        <w:t xml:space="preserve">los </w:t>
      </w:r>
      <w:r>
        <w:rPr>
          <w:rFonts w:ascii="LiberationSans-Regular" w:hAnsi="LiberationSans-Regular"/>
        </w:rPr>
        <w:t xml:space="preserve">impuestos aplicables a </w:t>
      </w:r>
      <w:r w:rsidR="008E6AAA">
        <w:rPr>
          <w:rFonts w:ascii="LiberationSans-Regular" w:hAnsi="LiberationSans-Regular"/>
        </w:rPr>
        <w:t xml:space="preserve">los </w:t>
      </w:r>
      <w:r>
        <w:rPr>
          <w:rFonts w:ascii="LiberationSans-Regular" w:hAnsi="LiberationSans-Regular"/>
        </w:rPr>
        <w:t>no</w:t>
      </w:r>
      <w:r w:rsidR="008E6AAA">
        <w:rPr>
          <w:rFonts w:ascii="LiberationSans-Regular" w:hAnsi="LiberationSans-Regular"/>
        </w:rPr>
        <w:t xml:space="preserve"> residentes en el Uruguay (no incluye las retenciones que pueden aplicarse correspondientes a la ROU). Dicha suma </w:t>
      </w:r>
      <w:r w:rsidR="004D3D54">
        <w:rPr>
          <w:rFonts w:ascii="LiberationSans-Regular" w:hAnsi="LiberationSans-Regular"/>
        </w:rPr>
        <w:t>se abonará de acuerdo con el siguiente detalle: 50% contra el primer informe para agregar al Memorial de Contestación de la Demanda y Demanda Reconvencional, 40% contra el Segundo Informe para agregar al Memorial de Dúplica a la Réplica de la contestación de la Dem</w:t>
      </w:r>
      <w:r w:rsidR="008E6AAA">
        <w:rPr>
          <w:rFonts w:ascii="LiberationSans-Regular" w:hAnsi="LiberationSans-Regular"/>
        </w:rPr>
        <w:t>anda y Rép</w:t>
      </w:r>
      <w:r w:rsidR="004D3D54">
        <w:rPr>
          <w:rFonts w:ascii="LiberationSans-Regular" w:hAnsi="LiberationSans-Regular"/>
        </w:rPr>
        <w:t>lica a la contestación de la Demanda Reconvencional y el 10%</w:t>
      </w:r>
      <w:r w:rsidR="008E6AAA">
        <w:rPr>
          <w:rFonts w:ascii="LiberationSans-Regular" w:hAnsi="LiberationSans-Regular"/>
        </w:rPr>
        <w:t xml:space="preserve"> restante</w:t>
      </w:r>
      <w:r w:rsidR="004D3D54">
        <w:rPr>
          <w:rFonts w:ascii="LiberationSans-Regular" w:hAnsi="LiberationSans-Regular"/>
        </w:rPr>
        <w:t xml:space="preserve"> por la participación en las Audiencias</w:t>
      </w:r>
      <w:r>
        <w:rPr>
          <w:rFonts w:ascii="LiberationSans-Regular" w:hAnsi="LiberationSans-Regular"/>
        </w:rPr>
        <w:t>;</w:t>
      </w:r>
    </w:p>
    <w:p w:rsidR="00CE618E" w:rsidRDefault="00BE6974" w:rsidP="00CE618E">
      <w:pPr>
        <w:autoSpaceDE w:val="0"/>
        <w:autoSpaceDN w:val="0"/>
        <w:adjustRightInd w:val="0"/>
        <w:spacing w:line="360" w:lineRule="auto"/>
        <w:ind w:firstLine="2694"/>
        <w:jc w:val="both"/>
        <w:rPr>
          <w:rFonts w:ascii="LiberationSans-Regular" w:hAnsi="LiberationSans-Regular"/>
        </w:rPr>
      </w:pPr>
      <w:r>
        <w:rPr>
          <w:rFonts w:ascii="LiberationSans-Regular" w:hAnsi="LiberationSans-Regular"/>
          <w:b/>
          <w:bCs/>
        </w:rPr>
        <w:t>3)</w:t>
      </w:r>
      <w:r>
        <w:rPr>
          <w:rFonts w:ascii="LiberationSans-Regular" w:hAnsi="LiberationSans-Regular"/>
        </w:rPr>
        <w:t xml:space="preserve"> </w:t>
      </w:r>
      <w:r w:rsidR="007F7C54">
        <w:rPr>
          <w:rFonts w:ascii="LiberationSans-Regular" w:hAnsi="LiberationSans-Regular"/>
        </w:rPr>
        <w:t xml:space="preserve">que se agrega Curriculum Vitae </w:t>
      </w:r>
      <w:r>
        <w:rPr>
          <w:rFonts w:ascii="LiberationSans-Regular" w:hAnsi="LiberationSans-Regular"/>
        </w:rPr>
        <w:t>de los integrantes del equipo de trabajo de la empresa contratada</w:t>
      </w:r>
      <w:r w:rsidR="008B4C75">
        <w:rPr>
          <w:rFonts w:ascii="LiberationSans-Regular" w:hAnsi="LiberationSans-Regular"/>
        </w:rPr>
        <w:t>;</w:t>
      </w:r>
    </w:p>
    <w:p w:rsidR="00CE618E" w:rsidRDefault="00BE6974" w:rsidP="00CE618E">
      <w:pPr>
        <w:autoSpaceDE w:val="0"/>
        <w:autoSpaceDN w:val="0"/>
        <w:adjustRightInd w:val="0"/>
        <w:spacing w:line="360" w:lineRule="auto"/>
        <w:ind w:firstLine="2694"/>
        <w:jc w:val="both"/>
        <w:rPr>
          <w:rFonts w:ascii="LiberationSans-Regular" w:hAnsi="LiberationSans-Regular"/>
        </w:rPr>
      </w:pPr>
      <w:r w:rsidRPr="00350D02">
        <w:rPr>
          <w:rFonts w:ascii="LiberationSans-Regular" w:hAnsi="LiberationSans-Regular"/>
          <w:b/>
        </w:rPr>
        <w:t>4</w:t>
      </w:r>
      <w:r w:rsidRPr="00350D02">
        <w:rPr>
          <w:rFonts w:ascii="LiberationSans-Regular" w:hAnsi="LiberationSans-Regular"/>
          <w:b/>
          <w:bCs/>
        </w:rPr>
        <w:t>)</w:t>
      </w:r>
      <w:r>
        <w:rPr>
          <w:rFonts w:ascii="LiberationSans-Regular" w:hAnsi="LiberationSans-Regular"/>
          <w:bCs/>
        </w:rPr>
        <w:t xml:space="preserve"> que se </w:t>
      </w:r>
      <w:r w:rsidR="007F7C54">
        <w:rPr>
          <w:rFonts w:ascii="LiberationSans-Regular" w:hAnsi="LiberationSans-Regular"/>
          <w:bCs/>
        </w:rPr>
        <w:t>establece que en caso que el proceso arbitral se interrumpa en forma definitiva, sea por acuerdo de partes o por cualquier otra causa, el Estado urugu</w:t>
      </w:r>
      <w:r w:rsidR="00511A99">
        <w:rPr>
          <w:rFonts w:ascii="LiberationSans-Regular" w:hAnsi="LiberationSans-Regular"/>
          <w:bCs/>
        </w:rPr>
        <w:t>ayo abonará al</w:t>
      </w:r>
      <w:r w:rsidR="007F7C54">
        <w:rPr>
          <w:rFonts w:ascii="LiberationSans-Regular" w:hAnsi="LiberationSans-Regular"/>
          <w:bCs/>
        </w:rPr>
        <w:t xml:space="preserve"> experto, únicamente la parte proporcional a los productos entregados y servicios efectiv</w:t>
      </w:r>
      <w:r w:rsidR="00511A99">
        <w:rPr>
          <w:rFonts w:ascii="LiberationSans-Regular" w:hAnsi="LiberationSans-Regular"/>
          <w:bCs/>
        </w:rPr>
        <w:t>am</w:t>
      </w:r>
      <w:r w:rsidR="007F7C54">
        <w:rPr>
          <w:rFonts w:ascii="LiberationSans-Regular" w:hAnsi="LiberationSans-Regular"/>
          <w:bCs/>
        </w:rPr>
        <w:t>ente prestados y entregados y que sean aceptados de conformidad;</w:t>
      </w:r>
    </w:p>
    <w:p w:rsidR="00CE618E" w:rsidRDefault="00760F8F" w:rsidP="00CE618E">
      <w:pPr>
        <w:autoSpaceDE w:val="0"/>
        <w:autoSpaceDN w:val="0"/>
        <w:adjustRightInd w:val="0"/>
        <w:spacing w:line="360" w:lineRule="auto"/>
        <w:ind w:firstLine="2694"/>
        <w:jc w:val="both"/>
        <w:rPr>
          <w:rFonts w:ascii="LiberationSans-Regular" w:hAnsi="LiberationSans-Regular"/>
        </w:rPr>
      </w:pPr>
      <w:r w:rsidRPr="00760F8F">
        <w:rPr>
          <w:rFonts w:ascii="LiberationSans-Regular" w:hAnsi="LiberationSans-Regular"/>
          <w:b/>
          <w:bCs/>
        </w:rPr>
        <w:t>5</w:t>
      </w:r>
      <w:r w:rsidR="0041442B" w:rsidRPr="00760F8F">
        <w:rPr>
          <w:rFonts w:ascii="LiberationSans-Regular" w:hAnsi="LiberationSans-Regular"/>
          <w:b/>
          <w:bCs/>
        </w:rPr>
        <w:t>)</w:t>
      </w:r>
      <w:r w:rsidR="007F7C54">
        <w:rPr>
          <w:rFonts w:ascii="LiberationSans-Regular" w:hAnsi="LiberationSans-Regular"/>
          <w:bCs/>
        </w:rPr>
        <w:t xml:space="preserve"> que con fecha 3 de diciembre del 2018</w:t>
      </w:r>
      <w:r w:rsidR="0041442B">
        <w:rPr>
          <w:rFonts w:ascii="LiberationSans-Regular" w:hAnsi="LiberationSans-Regular"/>
          <w:bCs/>
        </w:rPr>
        <w:t xml:space="preserve"> la Directora Nacional de Energía del M</w:t>
      </w:r>
      <w:r w:rsidR="009552E7">
        <w:rPr>
          <w:rFonts w:ascii="LiberationSans-Regular" w:hAnsi="LiberationSans-Regular"/>
          <w:bCs/>
        </w:rPr>
        <w:t>.</w:t>
      </w:r>
      <w:r w:rsidR="0041442B">
        <w:rPr>
          <w:rFonts w:ascii="LiberationSans-Regular" w:hAnsi="LiberationSans-Regular"/>
          <w:bCs/>
        </w:rPr>
        <w:t>I</w:t>
      </w:r>
      <w:r w:rsidR="009552E7">
        <w:rPr>
          <w:rFonts w:ascii="LiberationSans-Regular" w:hAnsi="LiberationSans-Regular"/>
          <w:bCs/>
        </w:rPr>
        <w:t>.</w:t>
      </w:r>
      <w:r w:rsidR="0041442B">
        <w:rPr>
          <w:rFonts w:ascii="LiberationSans-Regular" w:hAnsi="LiberationSans-Regular"/>
          <w:bCs/>
        </w:rPr>
        <w:t>E</w:t>
      </w:r>
      <w:r w:rsidR="009552E7">
        <w:rPr>
          <w:rFonts w:ascii="LiberationSans-Regular" w:hAnsi="LiberationSans-Regular"/>
          <w:bCs/>
        </w:rPr>
        <w:t>.</w:t>
      </w:r>
      <w:r w:rsidR="0041442B">
        <w:rPr>
          <w:rFonts w:ascii="LiberationSans-Regular" w:hAnsi="LiberationSans-Regular"/>
          <w:bCs/>
        </w:rPr>
        <w:t>M</w:t>
      </w:r>
      <w:r w:rsidR="009552E7">
        <w:rPr>
          <w:rFonts w:ascii="LiberationSans-Regular" w:hAnsi="LiberationSans-Regular"/>
          <w:bCs/>
        </w:rPr>
        <w:t>.</w:t>
      </w:r>
      <w:r w:rsidR="007F7C54">
        <w:rPr>
          <w:rFonts w:ascii="LiberationSans-Regular" w:hAnsi="LiberationSans-Regular"/>
          <w:bCs/>
        </w:rPr>
        <w:t xml:space="preserve">, </w:t>
      </w:r>
      <w:r w:rsidR="0041442B">
        <w:rPr>
          <w:rFonts w:ascii="LiberationSans-Regular" w:hAnsi="LiberationSans-Regular"/>
          <w:bCs/>
        </w:rPr>
        <w:t xml:space="preserve">sugiere, por razones de urgencia, </w:t>
      </w:r>
      <w:r w:rsidR="00A228A1">
        <w:rPr>
          <w:rFonts w:ascii="LiberationSans-Regular" w:hAnsi="LiberationSans-Regular"/>
          <w:bCs/>
        </w:rPr>
        <w:t>así</w:t>
      </w:r>
      <w:r w:rsidR="0041442B">
        <w:rPr>
          <w:rFonts w:ascii="LiberationSans-Regular" w:hAnsi="LiberationSans-Regular"/>
          <w:bCs/>
        </w:rPr>
        <w:t xml:space="preserve"> como su notoria </w:t>
      </w:r>
      <w:r w:rsidR="00A228A1">
        <w:rPr>
          <w:rFonts w:ascii="LiberationSans-Regular" w:hAnsi="LiberationSans-Regular"/>
          <w:bCs/>
        </w:rPr>
        <w:t>competencia</w:t>
      </w:r>
      <w:r w:rsidR="0041442B">
        <w:rPr>
          <w:rFonts w:ascii="LiberationSans-Regular" w:hAnsi="LiberationSans-Regular"/>
          <w:bCs/>
        </w:rPr>
        <w:t xml:space="preserve"> y experiencia, la contratación de la empresa consultora experta en </w:t>
      </w:r>
      <w:r w:rsidR="00A228A1">
        <w:rPr>
          <w:rFonts w:ascii="LiberationSans-Regular" w:hAnsi="LiberationSans-Regular"/>
          <w:bCs/>
        </w:rPr>
        <w:t>regulación</w:t>
      </w:r>
      <w:r w:rsidR="0041442B">
        <w:rPr>
          <w:rFonts w:ascii="LiberationSans-Regular" w:hAnsi="LiberationSans-Regular"/>
          <w:bCs/>
        </w:rPr>
        <w:t xml:space="preserve"> </w:t>
      </w:r>
      <w:r w:rsidR="00A228A1">
        <w:rPr>
          <w:rFonts w:ascii="LiberationSans-Regular" w:hAnsi="LiberationSans-Regular"/>
          <w:bCs/>
        </w:rPr>
        <w:t>económica</w:t>
      </w:r>
      <w:r w:rsidR="0041442B">
        <w:rPr>
          <w:rFonts w:ascii="LiberationSans-Regular" w:hAnsi="LiberationSans-Regular"/>
          <w:bCs/>
        </w:rPr>
        <w:t xml:space="preserve"> “MACROCONSULTING S</w:t>
      </w:r>
      <w:r w:rsidR="009552E7">
        <w:rPr>
          <w:rFonts w:ascii="LiberationSans-Regular" w:hAnsi="LiberationSans-Regular"/>
          <w:bCs/>
        </w:rPr>
        <w:t>.</w:t>
      </w:r>
      <w:r w:rsidR="0041442B">
        <w:rPr>
          <w:rFonts w:ascii="LiberationSans-Regular" w:hAnsi="LiberationSans-Regular"/>
          <w:bCs/>
        </w:rPr>
        <w:t xml:space="preserve">A”. Asimismo, en dicho informe se señala que, para una mejor defensa del </w:t>
      </w:r>
      <w:r w:rsidR="00A228A1">
        <w:rPr>
          <w:rFonts w:ascii="LiberationSans-Regular" w:hAnsi="LiberationSans-Regular"/>
          <w:bCs/>
        </w:rPr>
        <w:t>E</w:t>
      </w:r>
      <w:r w:rsidR="0041442B">
        <w:rPr>
          <w:rFonts w:ascii="LiberationSans-Regular" w:hAnsi="LiberationSans-Regular"/>
          <w:bCs/>
        </w:rPr>
        <w:t>s</w:t>
      </w:r>
      <w:r w:rsidR="00A228A1">
        <w:rPr>
          <w:rFonts w:ascii="LiberationSans-Regular" w:hAnsi="LiberationSans-Regular"/>
          <w:bCs/>
        </w:rPr>
        <w:t>t</w:t>
      </w:r>
      <w:r w:rsidR="0041442B">
        <w:rPr>
          <w:rFonts w:ascii="LiberationSans-Regular" w:hAnsi="LiberationSans-Regular"/>
          <w:bCs/>
        </w:rPr>
        <w:t xml:space="preserve">ado en el </w:t>
      </w:r>
      <w:r w:rsidR="00A228A1">
        <w:rPr>
          <w:rFonts w:ascii="LiberationSans-Regular" w:hAnsi="LiberationSans-Regular"/>
          <w:bCs/>
        </w:rPr>
        <w:t>procedimiento</w:t>
      </w:r>
      <w:r w:rsidR="0041442B">
        <w:rPr>
          <w:rFonts w:ascii="LiberationSans-Regular" w:hAnsi="LiberationSans-Regular"/>
          <w:bCs/>
        </w:rPr>
        <w:t xml:space="preserve"> arbitral antes </w:t>
      </w:r>
      <w:r w:rsidR="00A228A1">
        <w:rPr>
          <w:rFonts w:ascii="LiberationSans-Regular" w:hAnsi="LiberationSans-Regular"/>
          <w:bCs/>
        </w:rPr>
        <w:t>referido</w:t>
      </w:r>
      <w:r w:rsidR="0041442B">
        <w:rPr>
          <w:rFonts w:ascii="LiberationSans-Regular" w:hAnsi="LiberationSans-Regular"/>
          <w:bCs/>
        </w:rPr>
        <w:t>, se justifica la contr</w:t>
      </w:r>
      <w:r w:rsidR="00A228A1">
        <w:rPr>
          <w:rFonts w:ascii="LiberationSans-Regular" w:hAnsi="LiberationSans-Regular"/>
          <w:bCs/>
        </w:rPr>
        <w:t>a</w:t>
      </w:r>
      <w:r w:rsidR="0041442B">
        <w:rPr>
          <w:rFonts w:ascii="LiberationSans-Regular" w:hAnsi="LiberationSans-Regular"/>
          <w:bCs/>
        </w:rPr>
        <w:t>t</w:t>
      </w:r>
      <w:r w:rsidR="00A228A1">
        <w:rPr>
          <w:rFonts w:ascii="LiberationSans-Regular" w:hAnsi="LiberationSans-Regular"/>
          <w:bCs/>
        </w:rPr>
        <w:t>ació</w:t>
      </w:r>
      <w:r w:rsidR="0041442B">
        <w:rPr>
          <w:rFonts w:ascii="LiberationSans-Regular" w:hAnsi="LiberationSans-Regular"/>
          <w:bCs/>
        </w:rPr>
        <w:t>n de una segunda empresa consultora experta en regulación econ</w:t>
      </w:r>
      <w:r w:rsidR="00A228A1">
        <w:rPr>
          <w:rFonts w:ascii="LiberationSans-Regular" w:hAnsi="LiberationSans-Regular"/>
          <w:bCs/>
        </w:rPr>
        <w:t>ó</w:t>
      </w:r>
      <w:r w:rsidR="0041442B">
        <w:rPr>
          <w:rFonts w:ascii="LiberationSans-Regular" w:hAnsi="LiberationSans-Regular"/>
          <w:bCs/>
        </w:rPr>
        <w:t>mi</w:t>
      </w:r>
      <w:r w:rsidR="00A228A1">
        <w:rPr>
          <w:rFonts w:ascii="LiberationSans-Regular" w:hAnsi="LiberationSans-Regular"/>
          <w:bCs/>
        </w:rPr>
        <w:t>c</w:t>
      </w:r>
      <w:r w:rsidR="0041442B">
        <w:rPr>
          <w:rFonts w:ascii="LiberationSans-Regular" w:hAnsi="LiberationSans-Regular"/>
          <w:bCs/>
        </w:rPr>
        <w:t xml:space="preserve">a, </w:t>
      </w:r>
      <w:r w:rsidR="00A228A1">
        <w:rPr>
          <w:rFonts w:ascii="LiberationSans-Regular" w:hAnsi="LiberationSans-Regular"/>
          <w:bCs/>
        </w:rPr>
        <w:t>proponiéndose</w:t>
      </w:r>
      <w:r w:rsidR="0041442B">
        <w:rPr>
          <w:rFonts w:ascii="LiberationSans-Regular" w:hAnsi="LiberationSans-Regular"/>
          <w:bCs/>
        </w:rPr>
        <w:t xml:space="preserve"> la contratación de </w:t>
      </w:r>
      <w:r w:rsidR="00A228A1">
        <w:rPr>
          <w:rFonts w:ascii="LiberationSans-Regular" w:hAnsi="LiberationSans-Regular"/>
          <w:bCs/>
        </w:rPr>
        <w:t xml:space="preserve">la empresa </w:t>
      </w:r>
      <w:r w:rsidR="0041442B">
        <w:rPr>
          <w:rFonts w:ascii="LiberationSans-Regular" w:hAnsi="LiberationSans-Regular"/>
          <w:bCs/>
        </w:rPr>
        <w:t>GPR</w:t>
      </w:r>
      <w:r w:rsidR="00A228A1">
        <w:rPr>
          <w:rFonts w:ascii="LiberationSans-Regular" w:hAnsi="LiberationSans-Regular"/>
          <w:bCs/>
        </w:rPr>
        <w:t xml:space="preserve">, luego de haber realizado una búsqueda de </w:t>
      </w:r>
      <w:r w:rsidR="00A228A1" w:rsidRPr="003F010A">
        <w:rPr>
          <w:rFonts w:ascii="LiberationSans-Regular" w:hAnsi="LiberationSans-Regular"/>
          <w:bCs/>
        </w:rPr>
        <w:t>empresa disponi</w:t>
      </w:r>
      <w:r w:rsidRPr="003F010A">
        <w:rPr>
          <w:rFonts w:ascii="LiberationSans-Regular" w:hAnsi="LiberationSans-Regular"/>
          <w:bCs/>
        </w:rPr>
        <w:t>bles de amplia experiencia en la</w:t>
      </w:r>
      <w:r w:rsidR="00A228A1" w:rsidRPr="003F010A">
        <w:rPr>
          <w:rFonts w:ascii="LiberationSans-Regular" w:hAnsi="LiberationSans-Regular"/>
          <w:bCs/>
        </w:rPr>
        <w:t xml:space="preserve"> materia;</w:t>
      </w:r>
    </w:p>
    <w:p w:rsidR="00CE618E" w:rsidRDefault="003F010A" w:rsidP="00CE618E">
      <w:pPr>
        <w:autoSpaceDE w:val="0"/>
        <w:autoSpaceDN w:val="0"/>
        <w:adjustRightInd w:val="0"/>
        <w:spacing w:line="360" w:lineRule="auto"/>
        <w:ind w:firstLine="2694"/>
        <w:jc w:val="both"/>
        <w:rPr>
          <w:rFonts w:ascii="LiberationSans-Regular" w:hAnsi="LiberationSans-Regular"/>
        </w:rPr>
      </w:pPr>
      <w:r w:rsidRPr="003F010A">
        <w:rPr>
          <w:rFonts w:ascii="LiberationSans-Regular" w:hAnsi="LiberationSans-Regular"/>
          <w:b/>
          <w:bCs/>
        </w:rPr>
        <w:t>6</w:t>
      </w:r>
      <w:r w:rsidR="007F7C54" w:rsidRPr="003F010A">
        <w:rPr>
          <w:rFonts w:ascii="LiberationSans-Regular" w:hAnsi="LiberationSans-Regular"/>
          <w:b/>
          <w:bCs/>
        </w:rPr>
        <w:t>)</w:t>
      </w:r>
      <w:r w:rsidR="007F7C54" w:rsidRPr="007F7C54">
        <w:rPr>
          <w:rFonts w:ascii="LiberationSans-Regular" w:hAnsi="LiberationSans-Regular"/>
          <w:bCs/>
        </w:rPr>
        <w:t xml:space="preserve"> que adjunta informe de la Contaduría General de la Nación (C.G.N.) de fecha 15 de marzo de 2019, en el que se señala que: a) el monto anual del contrato excede el triple del límite para la contratación directa, b) se ha fundamentado la conveniencia de la contratación, c) el contrato cumple con la descripción legal del arrendamiento de obra, d) consta en las actuaciones que no es posible realizar la prestación objeto del contrato con los funcionarios del Estado contratante;. En conclusión, se establece que el  proyecto de Resolución estaría en condiciones de ser refrendado, una vez intervenido por el Tribunal de Cuentas;</w:t>
      </w:r>
    </w:p>
    <w:p w:rsidR="00B60A3F" w:rsidRDefault="003F010A" w:rsidP="00B60A3F">
      <w:pPr>
        <w:autoSpaceDE w:val="0"/>
        <w:autoSpaceDN w:val="0"/>
        <w:adjustRightInd w:val="0"/>
        <w:spacing w:line="360" w:lineRule="auto"/>
        <w:ind w:firstLine="2694"/>
        <w:jc w:val="both"/>
        <w:rPr>
          <w:rFonts w:ascii="LiberationSans-Regular" w:hAnsi="LiberationSans-Regular"/>
        </w:rPr>
      </w:pPr>
      <w:r>
        <w:rPr>
          <w:rFonts w:ascii="LiberationSans-Regular" w:hAnsi="LiberationSans-Regular"/>
          <w:b/>
          <w:bCs/>
        </w:rPr>
        <w:t>7</w:t>
      </w:r>
      <w:r w:rsidR="00BE6974" w:rsidRPr="008E1175">
        <w:rPr>
          <w:rFonts w:ascii="LiberationSans-Regular" w:hAnsi="LiberationSans-Regular"/>
          <w:b/>
          <w:bCs/>
        </w:rPr>
        <w:t>)</w:t>
      </w:r>
      <w:r w:rsidR="00BE6974">
        <w:rPr>
          <w:rFonts w:ascii="LiberationSans-Regular" w:hAnsi="LiberationSans-Regular"/>
          <w:bCs/>
        </w:rPr>
        <w:t xml:space="preserve"> que se adjunta proyecto de Resolución del Poder Ejecutivo por el cual se convalida el contrato en cuestión</w:t>
      </w:r>
      <w:r w:rsidR="008B4C75">
        <w:rPr>
          <w:rFonts w:ascii="LiberationSans-Regular" w:hAnsi="LiberationSans-Regular"/>
          <w:bCs/>
        </w:rPr>
        <w:t xml:space="preserve">, </w:t>
      </w:r>
      <w:r w:rsidR="008B4C75">
        <w:rPr>
          <w:rFonts w:ascii="LiberationSans-Regular" w:hAnsi="LiberationSans-Regular"/>
        </w:rPr>
        <w:t xml:space="preserve">estableciéndose que las erogaciones serán atendidos con cargo al Inciso 24, Unidad Ejecutora 024, Programa 488, Objeto </w:t>
      </w:r>
      <w:r w:rsidR="00CE618E">
        <w:rPr>
          <w:rFonts w:ascii="LiberationSans-Regular" w:hAnsi="LiberationSans-Regular"/>
        </w:rPr>
        <w:t>de Gasto 713, Financiación 1.1;</w:t>
      </w:r>
    </w:p>
    <w:p w:rsidR="00BE6974" w:rsidRDefault="003F010A" w:rsidP="00B60A3F">
      <w:pPr>
        <w:autoSpaceDE w:val="0"/>
        <w:autoSpaceDN w:val="0"/>
        <w:adjustRightInd w:val="0"/>
        <w:spacing w:line="360" w:lineRule="auto"/>
        <w:ind w:firstLine="2694"/>
        <w:jc w:val="both"/>
        <w:rPr>
          <w:rFonts w:ascii="LiberationSans-Regular" w:hAnsi="LiberationSans-Regular"/>
        </w:rPr>
      </w:pPr>
      <w:r>
        <w:rPr>
          <w:rFonts w:ascii="LiberationSans-Regular" w:hAnsi="LiberationSans-Regular"/>
          <w:b/>
          <w:bCs/>
        </w:rPr>
        <w:t>8</w:t>
      </w:r>
      <w:r w:rsidR="00BE6974" w:rsidRPr="008E1175">
        <w:rPr>
          <w:rFonts w:ascii="LiberationSans-Regular" w:hAnsi="LiberationSans-Regular"/>
          <w:b/>
          <w:bCs/>
        </w:rPr>
        <w:t>)</w:t>
      </w:r>
      <w:r w:rsidR="00BE6974">
        <w:rPr>
          <w:rFonts w:ascii="LiberationSans-Regular" w:hAnsi="LiberationSans-Regular"/>
          <w:bCs/>
        </w:rPr>
        <w:t xml:space="preserve"> que se agrega</w:t>
      </w:r>
      <w:r w:rsidR="00511A99">
        <w:rPr>
          <w:rFonts w:ascii="LiberationSans-Regular" w:hAnsi="LiberationSans-Regular"/>
          <w:bCs/>
        </w:rPr>
        <w:t>n</w:t>
      </w:r>
      <w:r w:rsidR="00BE6974">
        <w:rPr>
          <w:rFonts w:ascii="LiberationSans-Regular" w:hAnsi="LiberationSans-Regular"/>
          <w:bCs/>
        </w:rPr>
        <w:t xml:space="preserve"> documento</w:t>
      </w:r>
      <w:r w:rsidR="008B4C75">
        <w:rPr>
          <w:rFonts w:ascii="LiberationSans-Regular" w:hAnsi="LiberationSans-Regular"/>
          <w:bCs/>
        </w:rPr>
        <w:t>s</w:t>
      </w:r>
      <w:r w:rsidR="00BE6974">
        <w:rPr>
          <w:rFonts w:ascii="LiberationSans-Regular" w:hAnsi="LiberationSans-Regular"/>
          <w:bCs/>
        </w:rPr>
        <w:t xml:space="preserve"> de afectación</w:t>
      </w:r>
      <w:r w:rsidR="008B4C75">
        <w:rPr>
          <w:rFonts w:ascii="LiberationSans-Regular" w:hAnsi="LiberationSans-Regular"/>
          <w:bCs/>
        </w:rPr>
        <w:t xml:space="preserve"> y compromiso Nº 000661 d</w:t>
      </w:r>
      <w:r w:rsidR="00BE6974">
        <w:rPr>
          <w:rFonts w:ascii="LiberationSans-Regular" w:hAnsi="LiberationSans-Regular"/>
          <w:bCs/>
        </w:rPr>
        <w:t xml:space="preserve">el </w:t>
      </w:r>
      <w:r w:rsidR="008B4C75">
        <w:rPr>
          <w:rFonts w:ascii="LiberationSans-Regular" w:hAnsi="LiberationSans-Regular"/>
          <w:bCs/>
        </w:rPr>
        <w:t>8</w:t>
      </w:r>
      <w:r w:rsidR="00BE6974">
        <w:rPr>
          <w:rFonts w:ascii="LiberationSans-Regular" w:hAnsi="LiberationSans-Regular"/>
          <w:bCs/>
        </w:rPr>
        <w:t xml:space="preserve">/3/19 por la suma de $ </w:t>
      </w:r>
      <w:r w:rsidR="008B4C75">
        <w:rPr>
          <w:rFonts w:ascii="LiberationSans-Regular" w:hAnsi="LiberationSans-Regular"/>
          <w:bCs/>
        </w:rPr>
        <w:t>3</w:t>
      </w:r>
      <w:r w:rsidR="00BE6974">
        <w:rPr>
          <w:rFonts w:ascii="LiberationSans-Regular" w:hAnsi="LiberationSans-Regular"/>
          <w:bCs/>
        </w:rPr>
        <w:t>.</w:t>
      </w:r>
      <w:r w:rsidR="008B4C75">
        <w:rPr>
          <w:rFonts w:ascii="LiberationSans-Regular" w:hAnsi="LiberationSans-Regular"/>
          <w:bCs/>
        </w:rPr>
        <w:t>402</w:t>
      </w:r>
      <w:r w:rsidR="00BE6974">
        <w:rPr>
          <w:rFonts w:ascii="LiberationSans-Regular" w:hAnsi="LiberationSans-Regular"/>
          <w:bCs/>
        </w:rPr>
        <w:t>.</w:t>
      </w:r>
      <w:r w:rsidR="008B4C75">
        <w:rPr>
          <w:rFonts w:ascii="LiberationSans-Regular" w:hAnsi="LiberationSans-Regular"/>
          <w:bCs/>
        </w:rPr>
        <w:t>720</w:t>
      </w:r>
      <w:r w:rsidR="00BE6974">
        <w:rPr>
          <w:rFonts w:ascii="LiberationSans-Regular" w:hAnsi="LiberationSans-Regular"/>
          <w:bCs/>
        </w:rPr>
        <w:t>, con cargo al Programa 488, Objeto del gasto 713, Financiamiento 1.1., Unidad Ejecutora 024, Inciso 24;</w:t>
      </w:r>
    </w:p>
    <w:p w:rsidR="00B60A3F" w:rsidRDefault="00BE6974" w:rsidP="00B60A3F">
      <w:pPr>
        <w:spacing w:line="360" w:lineRule="auto"/>
        <w:ind w:firstLine="851"/>
        <w:jc w:val="both"/>
        <w:rPr>
          <w:rFonts w:cs="Arial"/>
        </w:rPr>
      </w:pPr>
      <w:r>
        <w:rPr>
          <w:rFonts w:cs="Arial"/>
          <w:b/>
        </w:rPr>
        <w:t xml:space="preserve">CONSIDERANDO: </w:t>
      </w:r>
      <w:r w:rsidR="00511A99" w:rsidRPr="00B60A3F">
        <w:rPr>
          <w:rFonts w:cs="Arial"/>
          <w:b/>
          <w:bCs/>
        </w:rPr>
        <w:t>1)</w:t>
      </w:r>
      <w:r w:rsidR="00511A99" w:rsidRPr="003A0EC7">
        <w:rPr>
          <w:rFonts w:cs="Arial"/>
        </w:rPr>
        <w:t xml:space="preserve"> que si bien el contrato se caracteriza como un contrato de prestación de servicios (Cláusula segunda), en tanto su objeto es la prestación de dichos servicios dando cumplimiento a la entrega de productos de acuerdo con el Calendario Provisional de Arbitraje, así como participar en la </w:t>
      </w:r>
      <w:r w:rsidR="00511A99" w:rsidRPr="003A0EC7">
        <w:rPr>
          <w:rFonts w:cs="Arial"/>
        </w:rPr>
        <w:lastRenderedPageBreak/>
        <w:t xml:space="preserve">celebración de las reuniones que sean necesarias con los representantes técnicos y legales del gobierno de la ROU, </w:t>
      </w:r>
      <w:r w:rsidR="003A0EC7" w:rsidRPr="003A0EC7">
        <w:rPr>
          <w:rFonts w:cs="Arial"/>
        </w:rPr>
        <w:t xml:space="preserve">puede considerarse un arrendamiento de obra, </w:t>
      </w:r>
      <w:r w:rsidR="00511A99" w:rsidRPr="003A0EC7">
        <w:rPr>
          <w:rFonts w:cs="Arial"/>
        </w:rPr>
        <w:t>tal como lo consigna</w:t>
      </w:r>
      <w:r w:rsidR="003A0EC7" w:rsidRPr="003A0EC7">
        <w:rPr>
          <w:rFonts w:cs="Arial"/>
        </w:rPr>
        <w:t xml:space="preserve"> la Contaduría General de la Nación</w:t>
      </w:r>
      <w:r w:rsidR="00511A99" w:rsidRPr="003A0EC7">
        <w:rPr>
          <w:rFonts w:cs="Arial"/>
        </w:rPr>
        <w:t xml:space="preserve"> en su informe</w:t>
      </w:r>
      <w:r w:rsidR="00511A99" w:rsidRPr="00511A99">
        <w:rPr>
          <w:rFonts w:cs="Arial"/>
          <w:b/>
        </w:rPr>
        <w:t xml:space="preserve"> </w:t>
      </w:r>
      <w:r w:rsidR="00511A99" w:rsidRPr="003A0EC7">
        <w:rPr>
          <w:rFonts w:cs="Arial"/>
        </w:rPr>
        <w:t>y lo recoge el Poder Ejecutivo en el Proyecto de Resolución remitido;</w:t>
      </w:r>
    </w:p>
    <w:p w:rsidR="00B60A3F" w:rsidRDefault="00511A99" w:rsidP="00B60A3F">
      <w:pPr>
        <w:spacing w:line="360" w:lineRule="auto"/>
        <w:ind w:firstLine="2977"/>
        <w:jc w:val="both"/>
        <w:rPr>
          <w:rFonts w:cs="Arial"/>
        </w:rPr>
      </w:pPr>
      <w:r w:rsidRPr="00B60A3F">
        <w:rPr>
          <w:rFonts w:cs="Arial"/>
          <w:b/>
        </w:rPr>
        <w:t>2)</w:t>
      </w:r>
      <w:r w:rsidRPr="003A0EC7">
        <w:rPr>
          <w:rFonts w:cs="Arial"/>
        </w:rPr>
        <w:t xml:space="preserve"> </w:t>
      </w:r>
      <w:r w:rsidR="003A0EC7" w:rsidRPr="003A0EC7">
        <w:rPr>
          <w:rFonts w:cs="Arial"/>
        </w:rPr>
        <w:t xml:space="preserve">que </w:t>
      </w:r>
      <w:r w:rsidRPr="003A0EC7">
        <w:rPr>
          <w:rFonts w:cs="Arial"/>
        </w:rPr>
        <w:t>el artículo 47 de la Ley Nº 18.719 de 27/12/10 en la redacción dada  por el artículo 3 de la Ley Nº 19.149 de 24/10/2013  (artículo 38 del TOCAF), establece que en el ámbito de la Administración, el arrendamiento de obra es el contrato que se celebra “</w:t>
      </w:r>
      <w:r w:rsidRPr="003A0EC7">
        <w:rPr>
          <w:rFonts w:cs="Arial"/>
          <w:i/>
        </w:rPr>
        <w:t>con una persona física o jurídica por el cual ésta asume una obligación de resultado en un plazo determinado, recibiendo como contraprestación el pago de un precio en dinero</w:t>
      </w:r>
      <w:r w:rsidRPr="003A0EC7">
        <w:rPr>
          <w:rFonts w:cs="Arial"/>
        </w:rPr>
        <w:t>”;</w:t>
      </w:r>
    </w:p>
    <w:p w:rsidR="00B60A3F" w:rsidRDefault="00511A99" w:rsidP="00B60A3F">
      <w:pPr>
        <w:spacing w:line="360" w:lineRule="auto"/>
        <w:ind w:firstLine="2977"/>
        <w:jc w:val="both"/>
        <w:rPr>
          <w:rFonts w:cs="Arial"/>
        </w:rPr>
      </w:pPr>
      <w:r w:rsidRPr="00511A99">
        <w:rPr>
          <w:rFonts w:cs="Arial"/>
          <w:b/>
          <w:bCs/>
          <w:lang w:val="es-MX"/>
        </w:rPr>
        <w:t xml:space="preserve">3) </w:t>
      </w:r>
      <w:r w:rsidRPr="003A0EC7">
        <w:rPr>
          <w:rFonts w:cs="Arial"/>
          <w:bCs/>
          <w:lang w:val="es-MX"/>
        </w:rPr>
        <w:t xml:space="preserve">que asimismo, la referida norma establece que </w:t>
      </w:r>
      <w:r w:rsidRPr="003A0EC7">
        <w:rPr>
          <w:rFonts w:cs="Arial"/>
          <w:bCs/>
          <w:i/>
          <w:lang w:val="es-MX"/>
        </w:rPr>
        <w:t>“en el caso de que el monto anual del contrato exceda el triple del límite de la contratación directa común, la misma se realizará por el mecanismo del concurso</w:t>
      </w:r>
      <w:r w:rsidRPr="003A0EC7">
        <w:rPr>
          <w:rFonts w:cs="Arial"/>
          <w:bCs/>
          <w:lang w:val="es-MX"/>
        </w:rPr>
        <w:t xml:space="preserve">”, previendo como excepción, que podrá procederse a la contratación directa </w:t>
      </w:r>
      <w:r w:rsidRPr="003A0EC7">
        <w:rPr>
          <w:rFonts w:cs="Arial"/>
          <w:bCs/>
          <w:i/>
          <w:lang w:val="es-MX"/>
        </w:rPr>
        <w:t>“en los casos profesionales o técnicos, nacionales o extranjeros, siempre que su notoria competencia o experiencia fehacientemente comprobada  haga innecesario el concurso</w:t>
      </w:r>
      <w:r w:rsidRPr="003A0EC7">
        <w:rPr>
          <w:rFonts w:cs="Arial"/>
          <w:bCs/>
          <w:lang w:val="es-MX"/>
        </w:rPr>
        <w:t>”;</w:t>
      </w:r>
    </w:p>
    <w:p w:rsidR="00B60A3F" w:rsidRDefault="00511A99" w:rsidP="00B60A3F">
      <w:pPr>
        <w:spacing w:line="360" w:lineRule="auto"/>
        <w:ind w:firstLine="2977"/>
        <w:jc w:val="both"/>
        <w:rPr>
          <w:rFonts w:cs="Arial"/>
        </w:rPr>
      </w:pPr>
      <w:r w:rsidRPr="00511A99">
        <w:rPr>
          <w:rFonts w:cs="Arial"/>
          <w:b/>
          <w:bCs/>
          <w:lang w:val="es-MX"/>
        </w:rPr>
        <w:t xml:space="preserve">4) </w:t>
      </w:r>
      <w:r w:rsidRPr="004E722C">
        <w:rPr>
          <w:rFonts w:cs="Arial"/>
          <w:bCs/>
          <w:lang w:val="es-MX"/>
        </w:rPr>
        <w:t xml:space="preserve">que, tratándose de una excepción al régimen general de  contratación, </w:t>
      </w:r>
      <w:r w:rsidR="004E722C">
        <w:rPr>
          <w:rFonts w:cs="Arial"/>
          <w:bCs/>
          <w:lang w:val="es-MX"/>
        </w:rPr>
        <w:t xml:space="preserve">es de interpretación estricta, por lo que </w:t>
      </w:r>
      <w:r w:rsidRPr="004E722C">
        <w:rPr>
          <w:rFonts w:cs="Arial"/>
          <w:bCs/>
          <w:lang w:val="es-MX"/>
        </w:rPr>
        <w:t>la “notoriedad” exigida por el texto legal referido, como ha sostenido este Tribunal, debe resultar indiscutible en términos sociales (y no de grupos determinados) y debe estar relacionada directamente con el objeto de la contratación y la experiencia  debe estar la “</w:t>
      </w:r>
      <w:r w:rsidRPr="004E722C">
        <w:rPr>
          <w:rFonts w:cs="Arial"/>
          <w:bCs/>
          <w:i/>
          <w:lang w:val="es-MX"/>
        </w:rPr>
        <w:t>fehacientemente comprobada”</w:t>
      </w:r>
      <w:r w:rsidRPr="004E722C">
        <w:rPr>
          <w:rFonts w:cs="Arial"/>
          <w:bCs/>
          <w:lang w:val="es-MX"/>
        </w:rPr>
        <w:t>,</w:t>
      </w:r>
    </w:p>
    <w:p w:rsidR="00B60A3F" w:rsidRDefault="00511A99" w:rsidP="00B60A3F">
      <w:pPr>
        <w:spacing w:line="360" w:lineRule="auto"/>
        <w:ind w:firstLine="2977"/>
        <w:jc w:val="both"/>
        <w:rPr>
          <w:rFonts w:cs="Arial"/>
          <w:bCs/>
          <w:lang w:val="es-MX"/>
        </w:rPr>
      </w:pPr>
      <w:r w:rsidRPr="00511A99">
        <w:rPr>
          <w:rFonts w:cs="Arial"/>
          <w:b/>
          <w:bCs/>
          <w:lang w:val="es-MX"/>
        </w:rPr>
        <w:t xml:space="preserve">5) </w:t>
      </w:r>
      <w:r w:rsidRPr="004E722C">
        <w:rPr>
          <w:rFonts w:cs="Arial"/>
          <w:bCs/>
          <w:lang w:val="es-MX"/>
        </w:rPr>
        <w:t xml:space="preserve">que en el caso que nos ocupa, </w:t>
      </w:r>
      <w:r w:rsidR="003A0EC7" w:rsidRPr="004E722C">
        <w:rPr>
          <w:rFonts w:cs="Arial"/>
          <w:bCs/>
          <w:lang w:val="es-MX"/>
        </w:rPr>
        <w:t xml:space="preserve">no se justifica la causal de excepción mencionada para </w:t>
      </w:r>
      <w:r w:rsidRPr="004E722C">
        <w:rPr>
          <w:rFonts w:cs="Arial"/>
          <w:bCs/>
          <w:lang w:val="es-MX"/>
        </w:rPr>
        <w:t>la selección directa del co-contratante</w:t>
      </w:r>
      <w:r w:rsidR="008E6AAA">
        <w:rPr>
          <w:rFonts w:cs="Arial"/>
          <w:bCs/>
          <w:lang w:val="es-MX"/>
        </w:rPr>
        <w:t>,</w:t>
      </w:r>
      <w:r w:rsidR="003A0EC7" w:rsidRPr="004E722C">
        <w:rPr>
          <w:rFonts w:cs="Arial"/>
          <w:bCs/>
          <w:lang w:val="es-MX"/>
        </w:rPr>
        <w:t xml:space="preserve"> en consecuencia</w:t>
      </w:r>
      <w:r w:rsidR="004E722C">
        <w:rPr>
          <w:rFonts w:cs="Arial"/>
          <w:bCs/>
          <w:lang w:val="es-MX"/>
        </w:rPr>
        <w:t>,</w:t>
      </w:r>
      <w:r w:rsidR="003A0EC7" w:rsidRPr="004E722C">
        <w:rPr>
          <w:rFonts w:cs="Arial"/>
          <w:bCs/>
          <w:lang w:val="es-MX"/>
        </w:rPr>
        <w:t xml:space="preserve"> debió realizarse el procedimiento competitivo que de acuerdo con el monto de la contratación corresponde</w:t>
      </w:r>
      <w:r w:rsidRPr="004E722C">
        <w:rPr>
          <w:rFonts w:cs="Arial"/>
          <w:bCs/>
          <w:lang w:val="es-MX"/>
        </w:rPr>
        <w:t>;</w:t>
      </w:r>
    </w:p>
    <w:p w:rsidR="00BE6974" w:rsidRPr="00B60A3F" w:rsidRDefault="008E6AAA" w:rsidP="00B60A3F">
      <w:pPr>
        <w:spacing w:line="360" w:lineRule="auto"/>
        <w:ind w:firstLine="2977"/>
        <w:jc w:val="both"/>
        <w:rPr>
          <w:rFonts w:cs="Arial"/>
        </w:rPr>
      </w:pPr>
      <w:r>
        <w:rPr>
          <w:rFonts w:cs="Arial"/>
          <w:b/>
          <w:lang w:val="es-MX"/>
        </w:rPr>
        <w:t>6</w:t>
      </w:r>
      <w:r w:rsidR="00BE6974" w:rsidRPr="000E483D">
        <w:rPr>
          <w:rFonts w:cs="Arial"/>
          <w:b/>
          <w:lang w:val="es-MX"/>
        </w:rPr>
        <w:t>)</w:t>
      </w:r>
      <w:r w:rsidR="00BE6974">
        <w:rPr>
          <w:bCs/>
          <w:lang w:val="es-MX"/>
        </w:rPr>
        <w:t xml:space="preserve"> </w:t>
      </w:r>
      <w:r w:rsidR="00BE6974" w:rsidRPr="000E483D">
        <w:rPr>
          <w:rFonts w:cs="Arial"/>
          <w:bCs/>
          <w:lang w:val="es-MX"/>
        </w:rPr>
        <w:t xml:space="preserve">que </w:t>
      </w:r>
      <w:r>
        <w:rPr>
          <w:rFonts w:cs="Arial"/>
          <w:bCs/>
          <w:lang w:val="es-MX"/>
        </w:rPr>
        <w:t>el convenio se suscribió con anterioridad a la remisión de los antecedentes a este Tribunal para la intervención que constitucionalmente le compete, sin supeditarlo a la misma</w:t>
      </w:r>
      <w:r w:rsidR="00BE6974" w:rsidRPr="000E483D">
        <w:rPr>
          <w:rFonts w:cs="Arial"/>
          <w:bCs/>
          <w:lang w:val="es-MX"/>
        </w:rPr>
        <w:t>,</w:t>
      </w:r>
      <w:r>
        <w:rPr>
          <w:rFonts w:cs="Arial"/>
          <w:bCs/>
          <w:lang w:val="es-MX"/>
        </w:rPr>
        <w:t xml:space="preserve"> en contravención de lo dispuesto por </w:t>
      </w:r>
      <w:r w:rsidR="00BE6974" w:rsidRPr="000E483D">
        <w:rPr>
          <w:rFonts w:cs="Arial"/>
          <w:bCs/>
          <w:lang w:val="es-MX"/>
        </w:rPr>
        <w:t>el Artículo 211 Literal B) de la Constitución de la República;</w:t>
      </w:r>
    </w:p>
    <w:p w:rsidR="00BE6974" w:rsidRDefault="00BE6974" w:rsidP="00B60A3F">
      <w:pPr>
        <w:spacing w:line="360" w:lineRule="auto"/>
        <w:ind w:firstLine="851"/>
        <w:jc w:val="both"/>
        <w:rPr>
          <w:rFonts w:cs="Arial"/>
        </w:rPr>
      </w:pPr>
      <w:r>
        <w:rPr>
          <w:rFonts w:cs="Arial"/>
          <w:b/>
        </w:rPr>
        <w:t>ATENTO</w:t>
      </w:r>
      <w:r w:rsidR="00B60A3F">
        <w:rPr>
          <w:rFonts w:cs="Arial"/>
          <w:b/>
        </w:rPr>
        <w:t>:</w:t>
      </w:r>
      <w:r>
        <w:rPr>
          <w:rFonts w:cs="Arial"/>
          <w:b/>
        </w:rPr>
        <w:t xml:space="preserve"> </w:t>
      </w:r>
      <w:r>
        <w:rPr>
          <w:rFonts w:cs="Arial"/>
          <w:lang w:val="es-MX"/>
        </w:rPr>
        <w:t>a lo precedentemente expuesto y a lo dispuesto por el</w:t>
      </w:r>
      <w:r w:rsidR="00B60A3F">
        <w:rPr>
          <w:rFonts w:cs="Arial"/>
          <w:lang w:val="es-MX"/>
        </w:rPr>
        <w:t xml:space="preserve">   </w:t>
      </w:r>
      <w:r>
        <w:rPr>
          <w:rFonts w:cs="Arial"/>
          <w:lang w:val="es-MX"/>
        </w:rPr>
        <w:t xml:space="preserve"> literal B) del artículo 211 de la Constitución de la República;</w:t>
      </w:r>
    </w:p>
    <w:p w:rsidR="00BE6974" w:rsidRPr="00CE618E" w:rsidRDefault="00BE6974" w:rsidP="00CE618E">
      <w:pPr>
        <w:pStyle w:val="Ttulo2"/>
        <w:jc w:val="center"/>
        <w:rPr>
          <w:i w:val="0"/>
          <w:sz w:val="24"/>
          <w:szCs w:val="24"/>
        </w:rPr>
      </w:pPr>
      <w:r>
        <w:rPr>
          <w:i w:val="0"/>
          <w:sz w:val="24"/>
          <w:szCs w:val="24"/>
        </w:rPr>
        <w:t>EL TRIBUNAL ACUERDA</w:t>
      </w:r>
    </w:p>
    <w:p w:rsidR="00BE6974" w:rsidRPr="00310A8F" w:rsidRDefault="00BE6974" w:rsidP="00CE618E">
      <w:pPr>
        <w:numPr>
          <w:ilvl w:val="0"/>
          <w:numId w:val="1"/>
        </w:numPr>
        <w:tabs>
          <w:tab w:val="clear" w:pos="720"/>
          <w:tab w:val="num" w:pos="284"/>
        </w:tabs>
        <w:spacing w:line="360" w:lineRule="auto"/>
        <w:ind w:left="426" w:hanging="426"/>
        <w:jc w:val="both"/>
        <w:rPr>
          <w:lang w:val="es-MX"/>
        </w:rPr>
      </w:pPr>
      <w:r>
        <w:t>Observar el gasto y;</w:t>
      </w:r>
    </w:p>
    <w:p w:rsidR="00BE6974" w:rsidRDefault="00CE618E" w:rsidP="00CE618E">
      <w:pPr>
        <w:numPr>
          <w:ilvl w:val="0"/>
          <w:numId w:val="1"/>
        </w:numPr>
        <w:tabs>
          <w:tab w:val="clear" w:pos="720"/>
          <w:tab w:val="num" w:pos="284"/>
        </w:tabs>
        <w:spacing w:line="360" w:lineRule="auto"/>
        <w:ind w:left="426" w:hanging="426"/>
        <w:jc w:val="both"/>
      </w:pPr>
      <w:r>
        <w:t>Devolver las actuaciones.</w:t>
      </w:r>
    </w:p>
    <w:p w:rsidR="00BE6974" w:rsidRDefault="00BE6974" w:rsidP="00BE6974">
      <w:pPr>
        <w:spacing w:line="360" w:lineRule="auto"/>
        <w:ind w:left="360"/>
        <w:jc w:val="both"/>
      </w:pPr>
    </w:p>
    <w:p w:rsidR="00BE6974" w:rsidRDefault="00CE618E" w:rsidP="00CE618E">
      <w:pPr>
        <w:spacing w:line="360" w:lineRule="auto"/>
        <w:rPr>
          <w:sz w:val="20"/>
          <w:szCs w:val="20"/>
        </w:rPr>
      </w:pPr>
      <w:r>
        <w:rPr>
          <w:sz w:val="20"/>
          <w:szCs w:val="20"/>
        </w:rPr>
        <w:t>CLC</w:t>
      </w:r>
    </w:p>
    <w:p w:rsidR="008543E8" w:rsidRDefault="008543E8" w:rsidP="00CE618E">
      <w:pPr>
        <w:spacing w:line="360" w:lineRule="auto"/>
        <w:rPr>
          <w:sz w:val="20"/>
          <w:szCs w:val="20"/>
        </w:rPr>
      </w:pPr>
    </w:p>
    <w:p w:rsidR="008543E8" w:rsidRDefault="008543E8" w:rsidP="00CE618E">
      <w:pPr>
        <w:spacing w:line="360" w:lineRule="auto"/>
        <w:rPr>
          <w:sz w:val="20"/>
          <w:szCs w:val="20"/>
        </w:rPr>
      </w:pPr>
    </w:p>
    <w:p w:rsidR="008543E8" w:rsidRDefault="008543E8" w:rsidP="00CE618E">
      <w:pPr>
        <w:spacing w:line="360" w:lineRule="auto"/>
        <w:rPr>
          <w:sz w:val="20"/>
          <w:szCs w:val="20"/>
        </w:rPr>
      </w:pPr>
    </w:p>
    <w:p w:rsidR="008543E8" w:rsidRDefault="008543E8" w:rsidP="00CE618E">
      <w:pPr>
        <w:spacing w:line="360" w:lineRule="auto"/>
        <w:rPr>
          <w:sz w:val="20"/>
          <w:szCs w:val="20"/>
        </w:rPr>
      </w:pPr>
    </w:p>
    <w:p w:rsidR="008543E8" w:rsidRPr="00CE618E" w:rsidRDefault="008543E8" w:rsidP="00CE618E">
      <w:pPr>
        <w:spacing w:line="360" w:lineRule="auto"/>
        <w:rPr>
          <w:sz w:val="20"/>
          <w:szCs w:val="20"/>
        </w:rPr>
      </w:pPr>
    </w:p>
    <w:p w:rsidR="006D4631" w:rsidRDefault="006D4631" w:rsidP="00D71A3A">
      <w:pPr>
        <w:spacing w:line="360" w:lineRule="auto"/>
        <w:jc w:val="both"/>
        <w:rPr>
          <w:rFonts w:cs="Arial"/>
          <w:lang w:val="es-UY"/>
        </w:rPr>
      </w:pPr>
    </w:p>
    <w:p w:rsidR="001A79E4" w:rsidRPr="001A79E4" w:rsidRDefault="006D4631" w:rsidP="001A79E4">
      <w:pPr>
        <w:keepNext/>
        <w:spacing w:line="360" w:lineRule="auto"/>
        <w:jc w:val="both"/>
        <w:outlineLvl w:val="0"/>
        <w:rPr>
          <w:rFonts w:cs="Arial"/>
        </w:rPr>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DEL </w:t>
      </w:r>
      <w:r w:rsidRPr="00837E21">
        <w:rPr>
          <w:rFonts w:cs="Arial"/>
          <w:b/>
          <w:lang w:val="es-UY"/>
        </w:rPr>
        <w:t>MINISTRO</w:t>
      </w:r>
      <w:r>
        <w:rPr>
          <w:rFonts w:cs="Arial"/>
          <w:lang w:val="es-UY"/>
        </w:rPr>
        <w:t xml:space="preserve">               </w:t>
      </w:r>
      <w:r w:rsidRPr="00D71A3A">
        <w:rPr>
          <w:rFonts w:cs="Arial"/>
          <w:b/>
          <w:lang w:val="es-UY"/>
        </w:rPr>
        <w:t>ING. MIGUEL AUMENTO:</w:t>
      </w:r>
      <w:r w:rsidR="008543E8">
        <w:rPr>
          <w:rFonts w:cs="Arial"/>
          <w:b/>
          <w:lang w:val="es-UY"/>
        </w:rPr>
        <w:t xml:space="preserve"> “</w:t>
      </w:r>
      <w:r w:rsidR="001A79E4" w:rsidRPr="001A79E4">
        <w:rPr>
          <w:rFonts w:cs="Arial"/>
        </w:rPr>
        <w:t>He votado en forma discorde la Resolución recaída en este expediente, en tanto no estoy de acuerdo con el tenor de la observación formulada por la mayoría del Tribunal de Cuentas, respecto a lo expuesto en los Considerandos 4) y 5) de la referencia.</w:t>
      </w:r>
    </w:p>
    <w:p w:rsidR="001A79E4" w:rsidRPr="001A79E4" w:rsidRDefault="001A79E4" w:rsidP="001A79E4">
      <w:pPr>
        <w:keepNext/>
        <w:spacing w:line="360" w:lineRule="auto"/>
        <w:jc w:val="both"/>
        <w:outlineLvl w:val="0"/>
        <w:rPr>
          <w:rFonts w:cs="Arial"/>
        </w:rPr>
      </w:pPr>
      <w:r w:rsidRPr="001A79E4">
        <w:rPr>
          <w:rFonts w:cs="Arial"/>
        </w:rPr>
        <w:t xml:space="preserve">Desde allí, el Tribunal ha observado el gasto dado que entiende que no se ha justificado la causal de excepción para la selección directa del </w:t>
      </w:r>
      <w:proofErr w:type="spellStart"/>
      <w:r w:rsidRPr="001A79E4">
        <w:rPr>
          <w:rFonts w:cs="Arial"/>
        </w:rPr>
        <w:t>co</w:t>
      </w:r>
      <w:proofErr w:type="spellEnd"/>
      <w:r w:rsidRPr="001A79E4">
        <w:rPr>
          <w:rFonts w:cs="Arial"/>
        </w:rPr>
        <w:t>-contratante. Además, concluye que se debió entonces realizar un procedimiento competitivo.</w:t>
      </w:r>
    </w:p>
    <w:p w:rsidR="001A79E4" w:rsidRPr="001A79E4" w:rsidRDefault="001A79E4" w:rsidP="001A79E4">
      <w:pPr>
        <w:keepNext/>
        <w:spacing w:line="360" w:lineRule="auto"/>
        <w:jc w:val="both"/>
        <w:outlineLvl w:val="0"/>
        <w:rPr>
          <w:rFonts w:cs="Arial"/>
        </w:rPr>
      </w:pPr>
      <w:r w:rsidRPr="001A79E4">
        <w:rPr>
          <w:rFonts w:cs="Arial"/>
        </w:rPr>
        <w:t>Aunque resulta claro que el contrato de arrendamiento de obra admite que el arrendador sea una persona física o jurídica, no se puede soslayar que los Incisos 4 y 5 del Artículo 38 del TOCAF hacen referencia, a mi juicio, más a personas físicas que a personas jurídicas, como es el caso que nos ocupa. Y esto es así dado que allí se plasman no solamente los términos “mecanismo de concurso”, sino también “Sistema de Reclutamiento y Selección de Personal de la Oficina Nacional de Servicio Civil” y explícitamente la mención a “…podrán efectuarse en forma directa los contratos con profesionales o técnicos, nacionales o extranjeros, siempre que su notoria competencia o experiencia fehacientemente comprobada haga innecesario el concurso…” (Los subrayados son míos).</w:t>
      </w:r>
    </w:p>
    <w:p w:rsidR="001A79E4" w:rsidRPr="001A79E4" w:rsidRDefault="001A79E4" w:rsidP="00057843">
      <w:pPr>
        <w:keepNext/>
        <w:spacing w:line="360" w:lineRule="auto"/>
        <w:jc w:val="both"/>
        <w:outlineLvl w:val="0"/>
        <w:rPr>
          <w:rFonts w:cs="Arial"/>
        </w:rPr>
      </w:pPr>
      <w:r w:rsidRPr="001A79E4">
        <w:rPr>
          <w:rFonts w:cs="Arial"/>
        </w:rPr>
        <w:t xml:space="preserve">Por tanto, y tal como expresa la Dirección Nacional de Energía, esta contratación se debe a razones de urgencia, lo que resulta a mi juicio de recibo. Por tanto, la contratación directa que nos ocupa se encuentra amparada por lo preceptuado en el Artículo 33 Literal C) Numeral 9) del TOCAF -más allá de la experiencia o competencia del </w:t>
      </w:r>
      <w:proofErr w:type="spellStart"/>
      <w:r w:rsidRPr="001A79E4">
        <w:rPr>
          <w:rFonts w:cs="Arial"/>
        </w:rPr>
        <w:t>co</w:t>
      </w:r>
      <w:proofErr w:type="spellEnd"/>
      <w:r w:rsidRPr="001A79E4">
        <w:rPr>
          <w:rFonts w:cs="Arial"/>
        </w:rPr>
        <w:t>-contratante- bajo la modalidad del arrendamiento de obra.</w:t>
      </w:r>
    </w:p>
    <w:p w:rsidR="001A79E4" w:rsidRPr="001A79E4" w:rsidRDefault="001A79E4" w:rsidP="001A79E4">
      <w:pPr>
        <w:spacing w:line="360" w:lineRule="auto"/>
        <w:jc w:val="both"/>
        <w:rPr>
          <w:rFonts w:cs="Arial"/>
        </w:rPr>
      </w:pPr>
      <w:r w:rsidRPr="001A79E4">
        <w:rPr>
          <w:rFonts w:cs="Arial"/>
        </w:rPr>
        <w:t>Por todo lo anterior, he votado en forma discorde la</w:t>
      </w:r>
      <w:r w:rsidR="00057843">
        <w:rPr>
          <w:rFonts w:cs="Arial"/>
        </w:rPr>
        <w:t xml:space="preserve"> Resolución de este expediente.”</w:t>
      </w:r>
    </w:p>
    <w:p w:rsidR="001A79E4" w:rsidRPr="001A79E4" w:rsidRDefault="001A79E4" w:rsidP="001A79E4">
      <w:pPr>
        <w:spacing w:line="360" w:lineRule="auto"/>
        <w:jc w:val="both"/>
        <w:rPr>
          <w:rFonts w:cs="Arial"/>
        </w:rPr>
      </w:pPr>
      <w:r w:rsidRPr="001A79E4">
        <w:rPr>
          <w:rFonts w:cs="Arial"/>
        </w:rPr>
        <w:t xml:space="preserve">   </w:t>
      </w:r>
    </w:p>
    <w:p w:rsidR="006D4631" w:rsidRDefault="006D4631" w:rsidP="00D71A3A">
      <w:pPr>
        <w:spacing w:line="360" w:lineRule="auto"/>
        <w:jc w:val="both"/>
        <w:rPr>
          <w:rFonts w:cs="Arial"/>
          <w:lang w:val="es-UY"/>
        </w:rPr>
      </w:pPr>
    </w:p>
    <w:p w:rsidR="00434CAD" w:rsidRDefault="006D4631" w:rsidP="00434CAD">
      <w:pPr>
        <w:spacing w:line="360" w:lineRule="auto"/>
        <w:jc w:val="both"/>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DEL </w:t>
      </w:r>
      <w:r w:rsidRPr="00837E21">
        <w:rPr>
          <w:rFonts w:cs="Arial"/>
          <w:b/>
          <w:lang w:val="es-UY"/>
        </w:rPr>
        <w:t>MINISTRO</w:t>
      </w:r>
      <w:r>
        <w:rPr>
          <w:rFonts w:cs="Arial"/>
          <w:b/>
          <w:lang w:val="es-UY"/>
        </w:rPr>
        <w:t xml:space="preserve"> CR. ENRIQUE CABRERA</w:t>
      </w:r>
      <w:r w:rsidRPr="005C0AC0">
        <w:rPr>
          <w:rFonts w:cs="Arial"/>
          <w:b/>
          <w:lang w:val="es-UY"/>
        </w:rPr>
        <w:t>:</w:t>
      </w:r>
      <w:r w:rsidR="008543E8">
        <w:rPr>
          <w:rFonts w:cs="Arial"/>
          <w:b/>
          <w:lang w:val="es-UY"/>
        </w:rPr>
        <w:t xml:space="preserve"> “</w:t>
      </w:r>
      <w:r w:rsidR="00434CAD">
        <w:t xml:space="preserve">Hago míos los argumentos de fundamento de voto discorde expresados por el Ministro  Miguel Aumento, sobre las actuaciones remitidas por Presidencia de la  República, relacionadas con la contratación de la empresa  </w:t>
      </w:r>
      <w:r w:rsidR="00434CAD">
        <w:t>GPR ECONOMIA S.A</w:t>
      </w:r>
      <w:bookmarkStart w:id="0" w:name="_GoBack"/>
      <w:bookmarkEnd w:id="0"/>
      <w:r w:rsidR="00434CAD">
        <w:t>.”</w:t>
      </w:r>
    </w:p>
    <w:p w:rsidR="006D4631" w:rsidRDefault="006D4631" w:rsidP="00434CAD">
      <w:pPr>
        <w:spacing w:line="360" w:lineRule="auto"/>
        <w:jc w:val="both"/>
        <w:rPr>
          <w:rFonts w:cs="Arial"/>
          <w:lang w:val="es-UY"/>
        </w:rPr>
      </w:pPr>
      <w:r>
        <w:rPr>
          <w:rFonts w:cs="Arial"/>
          <w:lang w:val="es-UY"/>
        </w:rPr>
        <w:t xml:space="preserve"> </w:t>
      </w:r>
    </w:p>
    <w:p w:rsidR="00BE6974" w:rsidRDefault="00BE6974" w:rsidP="00BE6974">
      <w:pPr>
        <w:spacing w:line="360" w:lineRule="auto"/>
        <w:jc w:val="right"/>
        <w:rPr>
          <w:rFonts w:cs="Arial"/>
          <w:lang w:val="es-MX"/>
        </w:rPr>
      </w:pPr>
    </w:p>
    <w:sectPr w:rsidR="00BE6974" w:rsidSect="00CE618E">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A50A8"/>
    <w:multiLevelType w:val="hybridMultilevel"/>
    <w:tmpl w:val="54A0EBD8"/>
    <w:lvl w:ilvl="0" w:tplc="387EA36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74"/>
    <w:rsid w:val="00057843"/>
    <w:rsid w:val="00191A81"/>
    <w:rsid w:val="001A79E4"/>
    <w:rsid w:val="003A0EC7"/>
    <w:rsid w:val="003F010A"/>
    <w:rsid w:val="0041442B"/>
    <w:rsid w:val="00426674"/>
    <w:rsid w:val="00434CAD"/>
    <w:rsid w:val="004D3D54"/>
    <w:rsid w:val="004E722C"/>
    <w:rsid w:val="00511A99"/>
    <w:rsid w:val="00646522"/>
    <w:rsid w:val="0065104B"/>
    <w:rsid w:val="006D4631"/>
    <w:rsid w:val="00760F8F"/>
    <w:rsid w:val="007E4488"/>
    <w:rsid w:val="007F7C54"/>
    <w:rsid w:val="008543E8"/>
    <w:rsid w:val="008B4C75"/>
    <w:rsid w:val="008E6AAA"/>
    <w:rsid w:val="009552E7"/>
    <w:rsid w:val="009636F1"/>
    <w:rsid w:val="00994225"/>
    <w:rsid w:val="00A228A1"/>
    <w:rsid w:val="00A62F2B"/>
    <w:rsid w:val="00B60A3F"/>
    <w:rsid w:val="00BE6974"/>
    <w:rsid w:val="00CA094B"/>
    <w:rsid w:val="00CD76DE"/>
    <w:rsid w:val="00CE618E"/>
    <w:rsid w:val="00D6694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74"/>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E6974"/>
    <w:pPr>
      <w:keepNext/>
      <w:autoSpaceDE w:val="0"/>
      <w:autoSpaceDN w:val="0"/>
      <w:adjustRightInd w:val="0"/>
      <w:spacing w:line="360" w:lineRule="auto"/>
      <w:jc w:val="center"/>
      <w:outlineLvl w:val="0"/>
    </w:pPr>
    <w:rPr>
      <w:rFonts w:ascii="LiberationSans-Bold" w:hAnsi="LiberationSans-Bold"/>
      <w:b/>
      <w:bCs/>
    </w:rPr>
  </w:style>
  <w:style w:type="paragraph" w:styleId="Ttulo2">
    <w:name w:val="heading 2"/>
    <w:basedOn w:val="Normal"/>
    <w:next w:val="Normal"/>
    <w:link w:val="Ttulo2Car"/>
    <w:qFormat/>
    <w:rsid w:val="00BE6974"/>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6974"/>
    <w:rPr>
      <w:rFonts w:ascii="LiberationSans-Bold" w:eastAsia="Times New Roman" w:hAnsi="LiberationSans-Bold" w:cs="Times New Roman"/>
      <w:b/>
      <w:bCs/>
      <w:sz w:val="24"/>
      <w:szCs w:val="24"/>
      <w:lang w:val="es-ES" w:eastAsia="es-ES"/>
    </w:rPr>
  </w:style>
  <w:style w:type="character" w:customStyle="1" w:styleId="Ttulo2Car">
    <w:name w:val="Título 2 Car"/>
    <w:basedOn w:val="Fuentedeprrafopredeter"/>
    <w:link w:val="Ttulo2"/>
    <w:rsid w:val="00BE6974"/>
    <w:rPr>
      <w:rFonts w:ascii="Arial" w:eastAsia="Times New Roman" w:hAnsi="Arial" w:cs="Arial"/>
      <w:b/>
      <w:bCs/>
      <w:i/>
      <w:iCs/>
      <w:sz w:val="28"/>
      <w:szCs w:val="28"/>
      <w:lang w:val="es-ES" w:eastAsia="es-ES"/>
    </w:rPr>
  </w:style>
  <w:style w:type="paragraph" w:styleId="HTMLconformatoprevio">
    <w:name w:val="HTML Preformatted"/>
    <w:basedOn w:val="Normal"/>
    <w:link w:val="HTMLconformatoprevioCar"/>
    <w:uiPriority w:val="99"/>
    <w:unhideWhenUsed/>
    <w:rsid w:val="00BE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BE6974"/>
    <w:rPr>
      <w:rFonts w:ascii="Courier New" w:eastAsia="Times New Roman" w:hAnsi="Courier New" w:cs="Courier New"/>
      <w:sz w:val="20"/>
      <w:szCs w:val="20"/>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74"/>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E6974"/>
    <w:pPr>
      <w:keepNext/>
      <w:autoSpaceDE w:val="0"/>
      <w:autoSpaceDN w:val="0"/>
      <w:adjustRightInd w:val="0"/>
      <w:spacing w:line="360" w:lineRule="auto"/>
      <w:jc w:val="center"/>
      <w:outlineLvl w:val="0"/>
    </w:pPr>
    <w:rPr>
      <w:rFonts w:ascii="LiberationSans-Bold" w:hAnsi="LiberationSans-Bold"/>
      <w:b/>
      <w:bCs/>
    </w:rPr>
  </w:style>
  <w:style w:type="paragraph" w:styleId="Ttulo2">
    <w:name w:val="heading 2"/>
    <w:basedOn w:val="Normal"/>
    <w:next w:val="Normal"/>
    <w:link w:val="Ttulo2Car"/>
    <w:qFormat/>
    <w:rsid w:val="00BE6974"/>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6974"/>
    <w:rPr>
      <w:rFonts w:ascii="LiberationSans-Bold" w:eastAsia="Times New Roman" w:hAnsi="LiberationSans-Bold" w:cs="Times New Roman"/>
      <w:b/>
      <w:bCs/>
      <w:sz w:val="24"/>
      <w:szCs w:val="24"/>
      <w:lang w:val="es-ES" w:eastAsia="es-ES"/>
    </w:rPr>
  </w:style>
  <w:style w:type="character" w:customStyle="1" w:styleId="Ttulo2Car">
    <w:name w:val="Título 2 Car"/>
    <w:basedOn w:val="Fuentedeprrafopredeter"/>
    <w:link w:val="Ttulo2"/>
    <w:rsid w:val="00BE6974"/>
    <w:rPr>
      <w:rFonts w:ascii="Arial" w:eastAsia="Times New Roman" w:hAnsi="Arial" w:cs="Arial"/>
      <w:b/>
      <w:bCs/>
      <w:i/>
      <w:iCs/>
      <w:sz w:val="28"/>
      <w:szCs w:val="28"/>
      <w:lang w:val="es-ES" w:eastAsia="es-ES"/>
    </w:rPr>
  </w:style>
  <w:style w:type="paragraph" w:styleId="HTMLconformatoprevio">
    <w:name w:val="HTML Preformatted"/>
    <w:basedOn w:val="Normal"/>
    <w:link w:val="HTMLconformatoprevioCar"/>
    <w:uiPriority w:val="99"/>
    <w:unhideWhenUsed/>
    <w:rsid w:val="00BE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BE6974"/>
    <w:rPr>
      <w:rFonts w:ascii="Courier New" w:eastAsia="Times New Roman" w:hAnsi="Courier New" w:cs="Courier New"/>
      <w:sz w:val="20"/>
      <w:szCs w:val="20"/>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A8B5-57F9-414E-98B3-35D7DDC3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1363</Words>
  <Characters>7498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tribunal1</cp:lastModifiedBy>
  <cp:revision>8</cp:revision>
  <cp:lastPrinted>2019-03-27T19:29:00Z</cp:lastPrinted>
  <dcterms:created xsi:type="dcterms:W3CDTF">2019-04-08T15:23:00Z</dcterms:created>
  <dcterms:modified xsi:type="dcterms:W3CDTF">2019-04-08T15:44:00Z</dcterms:modified>
</cp:coreProperties>
</file>