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0E" w:rsidRPr="00786EEB" w:rsidRDefault="003D610E"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880/19</w:t>
      </w:r>
    </w:p>
    <w:p w:rsidR="003D610E" w:rsidRDefault="003D610E" w:rsidP="003D610E">
      <w:pPr>
        <w:tabs>
          <w:tab w:val="center" w:pos="4253"/>
        </w:tabs>
        <w:suppressAutoHyphens/>
        <w:spacing w:after="0" w:line="240" w:lineRule="auto"/>
        <w:jc w:val="right"/>
        <w:rPr>
          <w:rFonts w:cs="Arial"/>
          <w:b/>
          <w:lang w:val="es-ES_tradnl"/>
        </w:rPr>
      </w:pPr>
    </w:p>
    <w:p w:rsidR="003D610E" w:rsidRPr="00762B34" w:rsidRDefault="003D610E" w:rsidP="003D610E">
      <w:pPr>
        <w:tabs>
          <w:tab w:val="center" w:pos="4253"/>
        </w:tabs>
        <w:suppressAutoHyphens/>
        <w:spacing w:after="0" w:line="240" w:lineRule="auto"/>
        <w:jc w:val="center"/>
        <w:rPr>
          <w:rFonts w:cs="Arial"/>
          <w:b/>
          <w:lang w:val="es-ES_tradnl"/>
        </w:rPr>
      </w:pPr>
      <w:r w:rsidRPr="00762B34">
        <w:rPr>
          <w:rFonts w:cs="Arial"/>
          <w:b/>
          <w:lang w:val="es-ES_tradnl"/>
        </w:rPr>
        <w:t>RESOLUCION ADOPTADA POR EL</w:t>
      </w:r>
    </w:p>
    <w:p w:rsidR="003D610E" w:rsidRPr="00762B34" w:rsidRDefault="003D610E" w:rsidP="003D610E">
      <w:pPr>
        <w:tabs>
          <w:tab w:val="left" w:pos="-720"/>
        </w:tabs>
        <w:suppressAutoHyphens/>
        <w:spacing w:after="0" w:line="240" w:lineRule="auto"/>
        <w:jc w:val="center"/>
        <w:rPr>
          <w:rFonts w:cs="Arial"/>
          <w:b/>
          <w:lang w:val="es-ES_tradnl"/>
        </w:rPr>
      </w:pPr>
    </w:p>
    <w:p w:rsidR="003D610E" w:rsidRPr="00762B34" w:rsidRDefault="003D610E" w:rsidP="003D610E">
      <w:pPr>
        <w:tabs>
          <w:tab w:val="center" w:pos="4253"/>
        </w:tabs>
        <w:suppressAutoHyphens/>
        <w:spacing w:after="0" w:line="240" w:lineRule="auto"/>
        <w:jc w:val="center"/>
        <w:rPr>
          <w:rFonts w:cs="Arial"/>
          <w:b/>
          <w:lang w:val="es-ES_tradnl"/>
        </w:rPr>
      </w:pPr>
      <w:r w:rsidRPr="00762B34">
        <w:rPr>
          <w:rFonts w:cs="Arial"/>
          <w:b/>
          <w:lang w:val="es-ES_tradnl"/>
        </w:rPr>
        <w:t>TRIBUNAL DE CUENTAS</w:t>
      </w:r>
    </w:p>
    <w:p w:rsidR="003D610E" w:rsidRPr="00762B34" w:rsidRDefault="003D610E" w:rsidP="003D610E">
      <w:pPr>
        <w:tabs>
          <w:tab w:val="left" w:pos="-720"/>
        </w:tabs>
        <w:suppressAutoHyphens/>
        <w:spacing w:after="0" w:line="240" w:lineRule="auto"/>
        <w:jc w:val="center"/>
        <w:rPr>
          <w:rFonts w:cs="Arial"/>
          <w:b/>
          <w:lang w:val="es-ES_tradnl"/>
        </w:rPr>
      </w:pPr>
    </w:p>
    <w:p w:rsidR="003D610E" w:rsidRPr="00762B34" w:rsidRDefault="003D610E" w:rsidP="003D610E">
      <w:pPr>
        <w:tabs>
          <w:tab w:val="center" w:pos="4253"/>
        </w:tabs>
        <w:suppressAutoHyphens/>
        <w:spacing w:after="0" w:line="240" w:lineRule="auto"/>
        <w:jc w:val="center"/>
        <w:rPr>
          <w:rFonts w:cs="Arial"/>
          <w:b/>
          <w:lang w:val="es-ES_tradnl"/>
        </w:rPr>
      </w:pPr>
      <w:r w:rsidRPr="00762B34">
        <w:rPr>
          <w:rFonts w:cs="Arial"/>
          <w:b/>
          <w:lang w:val="es-ES_tradnl"/>
        </w:rPr>
        <w:t xml:space="preserve">EN SESION DE FECHA </w:t>
      </w:r>
      <w:r>
        <w:rPr>
          <w:rFonts w:ascii="Helvetica" w:hAnsi="Helvetica"/>
          <w:b/>
          <w:lang w:val="es-ES_tradnl"/>
        </w:rPr>
        <w:t>3 DE ABRIL DE 2019</w:t>
      </w:r>
    </w:p>
    <w:p w:rsidR="003D610E" w:rsidRPr="00762B34" w:rsidRDefault="003D610E" w:rsidP="003D610E">
      <w:pPr>
        <w:tabs>
          <w:tab w:val="center" w:pos="4253"/>
        </w:tabs>
        <w:suppressAutoHyphens/>
        <w:spacing w:after="0" w:line="240" w:lineRule="auto"/>
        <w:jc w:val="center"/>
        <w:rPr>
          <w:rFonts w:cs="Arial"/>
          <w:b/>
          <w:lang w:val="es-ES_tradnl"/>
        </w:rPr>
      </w:pPr>
    </w:p>
    <w:p w:rsidR="003D610E" w:rsidRPr="00384886" w:rsidRDefault="003D610E" w:rsidP="003D610E">
      <w:pPr>
        <w:tabs>
          <w:tab w:val="center" w:pos="4253"/>
        </w:tabs>
        <w:suppressAutoHyphens/>
        <w:spacing w:after="0" w:line="240" w:lineRule="auto"/>
        <w:jc w:val="center"/>
        <w:rPr>
          <w:rFonts w:cs="Arial"/>
          <w:b/>
        </w:rPr>
      </w:pPr>
      <w:r w:rsidRPr="00384886">
        <w:rPr>
          <w:rFonts w:cs="Arial"/>
          <w:b/>
        </w:rPr>
        <w:t xml:space="preserve">(E. E. Nº 2018-17-1-0002239, </w:t>
      </w:r>
      <w:proofErr w:type="spellStart"/>
      <w:r w:rsidRPr="00384886">
        <w:rPr>
          <w:rFonts w:cs="Arial"/>
          <w:b/>
        </w:rPr>
        <w:t>Ents</w:t>
      </w:r>
      <w:proofErr w:type="spellEnd"/>
      <w:r w:rsidRPr="00384886">
        <w:rPr>
          <w:rFonts w:cs="Arial"/>
          <w:b/>
        </w:rPr>
        <w:t>. 1556/18 y 1626/18)</w:t>
      </w:r>
    </w:p>
    <w:p w:rsidR="003D610E" w:rsidRPr="00384886" w:rsidRDefault="003D610E">
      <w:pPr>
        <w:tabs>
          <w:tab w:val="center" w:pos="4253"/>
        </w:tabs>
        <w:suppressAutoHyphens/>
        <w:jc w:val="center"/>
        <w:rPr>
          <w:rFonts w:ascii="Helvetica" w:hAnsi="Helvetica"/>
          <w:b/>
        </w:rPr>
      </w:pPr>
    </w:p>
    <w:p w:rsidR="003D610E" w:rsidRDefault="00465921" w:rsidP="003D610E">
      <w:pPr>
        <w:pStyle w:val="Textoindependiente"/>
        <w:spacing w:after="0" w:line="360" w:lineRule="auto"/>
        <w:ind w:firstLine="851"/>
      </w:pPr>
      <w:r w:rsidRPr="005E432D">
        <w:rPr>
          <w:b/>
        </w:rPr>
        <w:t>VISTO:</w:t>
      </w:r>
      <w:r w:rsidRPr="005E432D">
        <w:t xml:space="preserve"> que </w:t>
      </w:r>
      <w:r w:rsidR="00EB30CE">
        <w:t>este Tribunal</w:t>
      </w:r>
      <w:r w:rsidRPr="005E432D">
        <w:t xml:space="preserve"> ha examinado los </w:t>
      </w:r>
      <w:r w:rsidR="00EB30CE">
        <w:t>e</w:t>
      </w:r>
      <w:r w:rsidRPr="005E432D">
        <w:t xml:space="preserve">stados </w:t>
      </w:r>
      <w:r w:rsidR="00EB30CE">
        <w:t>f</w:t>
      </w:r>
      <w:r w:rsidRPr="005E432D">
        <w:t xml:space="preserve">inancieros </w:t>
      </w:r>
      <w:r w:rsidR="00EB30CE">
        <w:t>c</w:t>
      </w:r>
      <w:r w:rsidRPr="005E432D">
        <w:t xml:space="preserve">onsolidados de la Administración Nacional de Combustibles, Alcohol y </w:t>
      </w:r>
      <w:r w:rsidR="00EB30CE">
        <w:t>Portland (ANCAP), que comprenden el Estado</w:t>
      </w:r>
      <w:r w:rsidRPr="005E432D">
        <w:t xml:space="preserve"> de Situación Financiera </w:t>
      </w:r>
      <w:r w:rsidR="00EB30CE">
        <w:t xml:space="preserve">Consolidado </w:t>
      </w:r>
      <w:r w:rsidRPr="005E432D">
        <w:t>al 31 de diciembre de 201</w:t>
      </w:r>
      <w:r w:rsidR="00EB30CE">
        <w:t>7</w:t>
      </w:r>
      <w:r w:rsidRPr="005E432D">
        <w:t xml:space="preserve">, los correspondientes Estados </w:t>
      </w:r>
      <w:r w:rsidR="00B471E0" w:rsidRPr="005E432D">
        <w:t>de Resultados</w:t>
      </w:r>
      <w:r w:rsidR="00B471E0">
        <w:t xml:space="preserve"> </w:t>
      </w:r>
      <w:r w:rsidR="00EB30CE">
        <w:t>Consolidados</w:t>
      </w:r>
      <w:r w:rsidRPr="005E432D">
        <w:t xml:space="preserve">, </w:t>
      </w:r>
      <w:r w:rsidR="00EB30CE">
        <w:t xml:space="preserve">de </w:t>
      </w:r>
      <w:r w:rsidR="00EB30CE" w:rsidRPr="005E432D">
        <w:t>Resultado</w:t>
      </w:r>
      <w:r w:rsidR="00EB30CE">
        <w:t>s Integral</w:t>
      </w:r>
      <w:r w:rsidR="00B471E0">
        <w:t>es</w:t>
      </w:r>
      <w:r w:rsidR="00EB30CE">
        <w:t>,</w:t>
      </w:r>
      <w:r w:rsidR="00EB30CE" w:rsidRPr="005E432D">
        <w:t xml:space="preserve"> de Flujos de Efectivo </w:t>
      </w:r>
      <w:r w:rsidRPr="005E432D">
        <w:t xml:space="preserve">y </w:t>
      </w:r>
      <w:r w:rsidR="00EB30CE">
        <w:t>de Cambios en el Patrimonio</w:t>
      </w:r>
      <w:r w:rsidRPr="005E432D">
        <w:t xml:space="preserve"> por el ejercicio anual finalizado en esa fecha, </w:t>
      </w:r>
      <w:r w:rsidR="00EB30CE" w:rsidRPr="005E432D">
        <w:t>las Notas</w:t>
      </w:r>
      <w:r w:rsidR="00EB30CE">
        <w:t xml:space="preserve"> de políticas contables significativas</w:t>
      </w:r>
      <w:r w:rsidR="00B471E0">
        <w:t xml:space="preserve"> aplicadas</w:t>
      </w:r>
      <w:r w:rsidR="00EB30CE">
        <w:t xml:space="preserve"> y otras notas</w:t>
      </w:r>
      <w:r w:rsidRPr="005E432D">
        <w:t xml:space="preserve"> </w:t>
      </w:r>
      <w:r w:rsidR="00B471E0">
        <w:t>e</w:t>
      </w:r>
      <w:r w:rsidRPr="005E432D">
        <w:t xml:space="preserve">xplicativas </w:t>
      </w:r>
      <w:r w:rsidR="00B471E0">
        <w:t>y los Anexos</w:t>
      </w:r>
      <w:r w:rsidR="00EB30CE">
        <w:t>, los estados financieros individuales que comprenden el Estado</w:t>
      </w:r>
      <w:r w:rsidR="00EB30CE" w:rsidRPr="005E432D">
        <w:t xml:space="preserve"> de Situación Financiera al 31 de diciembre de 201</w:t>
      </w:r>
      <w:r w:rsidR="00EB30CE">
        <w:t>7</w:t>
      </w:r>
      <w:r w:rsidR="00EB30CE" w:rsidRPr="005E432D">
        <w:t xml:space="preserve">, los correspondientes Estados de Resultados, </w:t>
      </w:r>
      <w:r w:rsidR="00EB30CE">
        <w:t xml:space="preserve">de </w:t>
      </w:r>
      <w:r w:rsidR="00EB30CE" w:rsidRPr="005E432D">
        <w:t>Resultado</w:t>
      </w:r>
      <w:r w:rsidR="00EB30CE">
        <w:t>s Integral</w:t>
      </w:r>
      <w:r w:rsidR="00B471E0">
        <w:t>es</w:t>
      </w:r>
      <w:r w:rsidR="00EB30CE">
        <w:t>,</w:t>
      </w:r>
      <w:r w:rsidR="00EB30CE" w:rsidRPr="005E432D">
        <w:t xml:space="preserve"> de Flujos de Efectivo y </w:t>
      </w:r>
      <w:r w:rsidR="00EB30CE">
        <w:t>de Cambios en el Patrimonio</w:t>
      </w:r>
      <w:r w:rsidR="00EB30CE" w:rsidRPr="005E432D">
        <w:t xml:space="preserve"> por el ejercicio anual finalizado en esa fecha, las Notas</w:t>
      </w:r>
      <w:r w:rsidR="00EB30CE">
        <w:t xml:space="preserve"> de políticas contables significativas y otras notas</w:t>
      </w:r>
      <w:r w:rsidR="00B471E0">
        <w:t xml:space="preserve"> e</w:t>
      </w:r>
      <w:r w:rsidR="00EB30CE" w:rsidRPr="005E432D">
        <w:t xml:space="preserve">xplicativas </w:t>
      </w:r>
      <w:r w:rsidR="00EB30CE">
        <w:t>a los estados financieros, y el Estado</w:t>
      </w:r>
      <w:r w:rsidR="003D610E">
        <w:t xml:space="preserve"> de ejecución presupuestal del E</w:t>
      </w:r>
      <w:r w:rsidR="00EB30CE">
        <w:t>jercicio finalizado el 31 de diciembre de 2017;</w:t>
      </w:r>
    </w:p>
    <w:p w:rsidR="003D610E" w:rsidRDefault="00465921" w:rsidP="003D610E">
      <w:pPr>
        <w:pStyle w:val="Textoindependiente"/>
        <w:spacing w:after="0" w:line="360" w:lineRule="auto"/>
        <w:ind w:firstLine="851"/>
      </w:pPr>
      <w:r w:rsidRPr="005E432D">
        <w:rPr>
          <w:b/>
        </w:rPr>
        <w:t xml:space="preserve">RESULTANDO: </w:t>
      </w:r>
      <w:r w:rsidRPr="005E432D">
        <w:t>que el examen fue realizado de acuerdo con los Principios Fundamentales de Auditoría (ISSAI 100 y 200)</w:t>
      </w:r>
      <w:r>
        <w:t xml:space="preserve"> y las Directrices de Auditoría Financiera</w:t>
      </w:r>
      <w:r w:rsidRPr="005E432D">
        <w:t xml:space="preserve"> </w:t>
      </w:r>
      <w:r w:rsidR="00EB30CE">
        <w:t xml:space="preserve">(ISSAI 1000 a 1810) </w:t>
      </w:r>
      <w:r w:rsidRPr="005E432D">
        <w:t>de la Organización Internacional de Entidades Fiscalizadoras Superiores (INTOSAI);</w:t>
      </w:r>
    </w:p>
    <w:p w:rsidR="003D610E" w:rsidRDefault="00465921" w:rsidP="003D610E">
      <w:pPr>
        <w:pStyle w:val="Textoindependiente"/>
        <w:spacing w:after="0" w:line="360" w:lineRule="auto"/>
        <w:ind w:firstLine="851"/>
      </w:pPr>
      <w:r w:rsidRPr="005E432D">
        <w:rPr>
          <w:b/>
        </w:rPr>
        <w:t>CONSIDERANDO:</w:t>
      </w:r>
      <w:r w:rsidRPr="005E432D">
        <w:t xml:space="preserve"> que las conclusiones y evidencias obtenidas son las que se expresan en el Infor</w:t>
      </w:r>
      <w:r w:rsidR="00EB30CE">
        <w:t>me de Auditoría, que incluye Dictámenes e</w:t>
      </w:r>
      <w:r w:rsidRPr="005E432D">
        <w:t xml:space="preserve"> Informe a la Administración;</w:t>
      </w:r>
    </w:p>
    <w:p w:rsidR="00465921" w:rsidRDefault="00465921" w:rsidP="003D610E">
      <w:pPr>
        <w:pStyle w:val="Textoindependiente"/>
        <w:spacing w:after="0" w:line="360" w:lineRule="auto"/>
        <w:ind w:firstLine="851"/>
      </w:pPr>
      <w:r w:rsidRPr="005E432D">
        <w:rPr>
          <w:b/>
        </w:rPr>
        <w:lastRenderedPageBreak/>
        <w:t>ATENTO:</w:t>
      </w:r>
      <w:r w:rsidR="00EB30CE">
        <w:t xml:space="preserve"> a lo dispuesto por </w:t>
      </w:r>
      <w:r w:rsidRPr="005E432D">
        <w:t>l</w:t>
      </w:r>
      <w:r w:rsidR="00EB30CE">
        <w:t>os</w:t>
      </w:r>
      <w:r w:rsidRPr="005E432D">
        <w:t xml:space="preserve"> Artículo</w:t>
      </w:r>
      <w:r w:rsidR="00EB30CE">
        <w:t>s</w:t>
      </w:r>
      <w:r w:rsidRPr="005E432D">
        <w:t xml:space="preserve"> </w:t>
      </w:r>
      <w:r w:rsidR="00EB30CE">
        <w:t xml:space="preserve">191 y </w:t>
      </w:r>
      <w:r w:rsidRPr="005E432D">
        <w:t>211 Literal</w:t>
      </w:r>
      <w:r w:rsidR="003D610E">
        <w:t>es</w:t>
      </w:r>
      <w:r w:rsidRPr="005E432D">
        <w:t xml:space="preserve"> C)</w:t>
      </w:r>
      <w:r w:rsidR="00EB30CE">
        <w:t xml:space="preserve"> y E)</w:t>
      </w:r>
      <w:r w:rsidRPr="005E432D">
        <w:t xml:space="preserve"> de la Constitución de la República;</w:t>
      </w:r>
    </w:p>
    <w:p w:rsidR="00465921" w:rsidRPr="00EB30CE" w:rsidRDefault="00E51272" w:rsidP="003D610E">
      <w:pPr>
        <w:pStyle w:val="Ttulo1"/>
        <w:spacing w:before="0"/>
        <w:jc w:val="center"/>
        <w:rPr>
          <w:rFonts w:ascii="Arial" w:hAnsi="Arial" w:cs="Arial"/>
          <w:color w:val="auto"/>
          <w:sz w:val="24"/>
          <w:szCs w:val="24"/>
        </w:rPr>
      </w:pPr>
      <w:r>
        <w:rPr>
          <w:rFonts w:ascii="Arial" w:hAnsi="Arial" w:cs="Arial"/>
          <w:color w:val="auto"/>
          <w:sz w:val="24"/>
          <w:szCs w:val="24"/>
        </w:rPr>
        <w:t>E</w:t>
      </w:r>
      <w:r w:rsidR="00465921" w:rsidRPr="00EB30CE">
        <w:rPr>
          <w:rFonts w:ascii="Arial" w:hAnsi="Arial" w:cs="Arial"/>
          <w:color w:val="auto"/>
          <w:sz w:val="24"/>
          <w:szCs w:val="24"/>
        </w:rPr>
        <w:t>L TRIBUN</w:t>
      </w:r>
      <w:r w:rsidR="00B71A7E">
        <w:rPr>
          <w:rFonts w:ascii="Arial" w:hAnsi="Arial" w:cs="Arial"/>
          <w:color w:val="auto"/>
          <w:sz w:val="24"/>
          <w:szCs w:val="24"/>
        </w:rPr>
        <w:t>A</w:t>
      </w:r>
      <w:r w:rsidR="00465921" w:rsidRPr="00EB30CE">
        <w:rPr>
          <w:rFonts w:ascii="Arial" w:hAnsi="Arial" w:cs="Arial"/>
          <w:color w:val="auto"/>
          <w:sz w:val="24"/>
          <w:szCs w:val="24"/>
        </w:rPr>
        <w:t>L ACUERDA</w:t>
      </w:r>
    </w:p>
    <w:p w:rsidR="00465921" w:rsidRPr="005E432D" w:rsidRDefault="00465921" w:rsidP="003D610E">
      <w:pPr>
        <w:pStyle w:val="Prrafodelista"/>
        <w:keepNext/>
        <w:widowControl w:val="0"/>
        <w:numPr>
          <w:ilvl w:val="0"/>
          <w:numId w:val="1"/>
        </w:numPr>
        <w:tabs>
          <w:tab w:val="center" w:pos="4253"/>
        </w:tabs>
        <w:spacing w:after="0" w:line="360" w:lineRule="auto"/>
        <w:ind w:left="284" w:hanging="284"/>
        <w:jc w:val="both"/>
        <w:rPr>
          <w:rFonts w:ascii="Arial" w:hAnsi="Arial" w:cs="Arial"/>
          <w:sz w:val="24"/>
          <w:szCs w:val="24"/>
        </w:rPr>
      </w:pPr>
      <w:r w:rsidRPr="005E432D">
        <w:rPr>
          <w:rFonts w:ascii="Arial" w:hAnsi="Arial" w:cs="Arial"/>
          <w:sz w:val="24"/>
          <w:szCs w:val="24"/>
        </w:rPr>
        <w:t>Expedirse en los términos del Informe de Auditoría que se adjunta;</w:t>
      </w:r>
    </w:p>
    <w:p w:rsidR="00465921" w:rsidRPr="005E432D" w:rsidRDefault="00465921" w:rsidP="003D610E">
      <w:pPr>
        <w:pStyle w:val="Prrafodelista"/>
        <w:keepNext/>
        <w:widowControl w:val="0"/>
        <w:numPr>
          <w:ilvl w:val="0"/>
          <w:numId w:val="1"/>
        </w:numPr>
        <w:spacing w:after="0" w:line="360" w:lineRule="auto"/>
        <w:ind w:left="284" w:hanging="284"/>
        <w:jc w:val="both"/>
        <w:rPr>
          <w:rFonts w:ascii="Arial" w:hAnsi="Arial" w:cs="Arial"/>
          <w:sz w:val="24"/>
          <w:szCs w:val="24"/>
        </w:rPr>
      </w:pPr>
      <w:r w:rsidRPr="005E432D">
        <w:rPr>
          <w:rFonts w:ascii="Arial" w:hAnsi="Arial" w:cs="Arial"/>
          <w:sz w:val="24"/>
          <w:szCs w:val="24"/>
        </w:rPr>
        <w:t>Comunicar la presente Resolución al Ministerio de Industria, Energía y Minería, a la Oficina de Planeamiento y Presupuesto</w:t>
      </w:r>
      <w:r w:rsidR="00EB30CE">
        <w:rPr>
          <w:rFonts w:ascii="Arial" w:hAnsi="Arial" w:cs="Arial"/>
          <w:sz w:val="24"/>
          <w:szCs w:val="24"/>
        </w:rPr>
        <w:t>, a la Auditoría Interna de la Nación, al Organismo y a los Contadores Delegados</w:t>
      </w:r>
      <w:r w:rsidRPr="005E432D">
        <w:rPr>
          <w:rFonts w:ascii="Arial" w:hAnsi="Arial" w:cs="Arial"/>
          <w:sz w:val="24"/>
          <w:szCs w:val="24"/>
        </w:rPr>
        <w:t>; y</w:t>
      </w:r>
    </w:p>
    <w:p w:rsidR="00465921" w:rsidRPr="005E432D" w:rsidRDefault="00465921" w:rsidP="003D610E">
      <w:pPr>
        <w:pStyle w:val="Prrafodelista"/>
        <w:keepNext/>
        <w:widowControl w:val="0"/>
        <w:numPr>
          <w:ilvl w:val="0"/>
          <w:numId w:val="1"/>
        </w:numPr>
        <w:spacing w:after="0" w:line="360" w:lineRule="auto"/>
        <w:ind w:left="284" w:right="-136" w:hanging="284"/>
        <w:jc w:val="both"/>
        <w:rPr>
          <w:rFonts w:ascii="Arial" w:hAnsi="Arial" w:cs="Arial"/>
          <w:sz w:val="24"/>
          <w:szCs w:val="24"/>
        </w:rPr>
      </w:pPr>
      <w:r w:rsidRPr="005E432D">
        <w:rPr>
          <w:rFonts w:ascii="Arial" w:hAnsi="Arial" w:cs="Arial"/>
          <w:sz w:val="24"/>
          <w:szCs w:val="24"/>
        </w:rPr>
        <w:t>Dar cuenta a la Asamblea General.</w:t>
      </w:r>
    </w:p>
    <w:p w:rsidR="00EF1D7F" w:rsidRDefault="00EF1D7F"/>
    <w:p w:rsidR="003D610E" w:rsidRDefault="003D610E"/>
    <w:p w:rsidR="003D610E" w:rsidRDefault="003D610E"/>
    <w:p w:rsidR="003D610E" w:rsidRDefault="003D610E"/>
    <w:p w:rsidR="003D610E" w:rsidRDefault="003D610E" w:rsidP="003D610E">
      <w:pPr>
        <w:ind w:hanging="426"/>
      </w:pPr>
      <w:proofErr w:type="gramStart"/>
      <w:r>
        <w:t>dc</w:t>
      </w:r>
      <w:proofErr w:type="gramEnd"/>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Pr="00C35162" w:rsidRDefault="00384886" w:rsidP="00F0070B">
      <w:pPr>
        <w:pStyle w:val="Ttulo1"/>
        <w:jc w:val="center"/>
        <w:rPr>
          <w:rFonts w:ascii="Arial" w:hAnsi="Arial" w:cs="Arial"/>
          <w:color w:val="auto"/>
          <w:sz w:val="24"/>
          <w:szCs w:val="24"/>
        </w:rPr>
      </w:pPr>
      <w:r w:rsidRPr="00C35162">
        <w:rPr>
          <w:rFonts w:ascii="Arial" w:hAnsi="Arial" w:cs="Arial"/>
          <w:color w:val="auto"/>
          <w:sz w:val="24"/>
          <w:szCs w:val="24"/>
        </w:rPr>
        <w:t>DICTAMEN</w:t>
      </w:r>
      <w:bookmarkStart w:id="1" w:name="_Toc442341997"/>
    </w:p>
    <w:bookmarkEnd w:id="1"/>
    <w:p w:rsidR="00384886" w:rsidRPr="00C35162" w:rsidRDefault="00384886" w:rsidP="0028634B">
      <w:pPr>
        <w:pStyle w:val="Textoindependiente"/>
        <w:keepNext/>
        <w:widowControl w:val="0"/>
        <w:spacing w:line="360" w:lineRule="auto"/>
        <w:rPr>
          <w:rFonts w:cs="Arial"/>
          <w:szCs w:val="24"/>
        </w:rPr>
      </w:pPr>
    </w:p>
    <w:p w:rsidR="00384886" w:rsidRPr="00485DC8" w:rsidRDefault="00384886" w:rsidP="0028634B">
      <w:pPr>
        <w:pStyle w:val="Textoindependiente"/>
        <w:keepNext/>
        <w:widowControl w:val="0"/>
        <w:spacing w:line="360" w:lineRule="auto"/>
        <w:rPr>
          <w:rFonts w:cs="Arial"/>
          <w:b/>
          <w:szCs w:val="24"/>
        </w:rPr>
      </w:pPr>
      <w:r>
        <w:rPr>
          <w:rFonts w:cs="Arial"/>
          <w:b/>
          <w:szCs w:val="24"/>
        </w:rPr>
        <w:t>Opinión con Salvedades</w:t>
      </w:r>
    </w:p>
    <w:p w:rsidR="00384886" w:rsidRPr="00193217" w:rsidRDefault="00384886" w:rsidP="0028634B">
      <w:pPr>
        <w:pStyle w:val="Textoindependiente"/>
        <w:keepNext/>
        <w:widowControl w:val="0"/>
        <w:spacing w:line="360" w:lineRule="auto"/>
        <w:rPr>
          <w:rFonts w:cs="Arial"/>
          <w:szCs w:val="24"/>
        </w:rPr>
      </w:pPr>
      <w:r w:rsidRPr="00193217">
        <w:rPr>
          <w:rFonts w:cs="Arial"/>
          <w:szCs w:val="24"/>
        </w:rPr>
        <w:t>El Tribun</w:t>
      </w:r>
      <w:r>
        <w:rPr>
          <w:rFonts w:cs="Arial"/>
          <w:szCs w:val="24"/>
        </w:rPr>
        <w:t>al de Cuentas ha auditado los e</w:t>
      </w:r>
      <w:r w:rsidRPr="00193217">
        <w:rPr>
          <w:rFonts w:cs="Arial"/>
          <w:szCs w:val="24"/>
        </w:rPr>
        <w:t xml:space="preserve">stados </w:t>
      </w:r>
      <w:r>
        <w:rPr>
          <w:rFonts w:cs="Arial"/>
          <w:szCs w:val="24"/>
        </w:rPr>
        <w:t>f</w:t>
      </w:r>
      <w:r w:rsidRPr="00193217">
        <w:rPr>
          <w:rFonts w:cs="Arial"/>
          <w:szCs w:val="24"/>
        </w:rPr>
        <w:t xml:space="preserve">inancieros </w:t>
      </w:r>
      <w:r>
        <w:rPr>
          <w:rFonts w:cs="Arial"/>
          <w:szCs w:val="24"/>
        </w:rPr>
        <w:t>c</w:t>
      </w:r>
      <w:r w:rsidRPr="00193217">
        <w:rPr>
          <w:rFonts w:cs="Arial"/>
          <w:szCs w:val="24"/>
        </w:rPr>
        <w:t>onsolidados de la Administración Nacional de Combustibles, Alcohol y Portland (ANCAP</w:t>
      </w:r>
      <w:r>
        <w:rPr>
          <w:rFonts w:cs="Arial"/>
          <w:szCs w:val="24"/>
        </w:rPr>
        <w:t xml:space="preserve">) y sus subsidiarias, los </w:t>
      </w:r>
      <w:r w:rsidRPr="00193217">
        <w:rPr>
          <w:rFonts w:cs="Arial"/>
          <w:szCs w:val="24"/>
        </w:rPr>
        <w:t>que comprenden el Estado de Situación Financiera Consolidado al 31 de diciembre de 2017, los correspondientes Estados de Resultados Consolidados, de Resultados Integral</w:t>
      </w:r>
      <w:r>
        <w:rPr>
          <w:rFonts w:cs="Arial"/>
          <w:szCs w:val="24"/>
        </w:rPr>
        <w:t>es</w:t>
      </w:r>
      <w:r w:rsidRPr="00193217">
        <w:rPr>
          <w:rFonts w:cs="Arial"/>
          <w:szCs w:val="24"/>
        </w:rPr>
        <w:t>, de Flujos de Efectivo y de C</w:t>
      </w:r>
      <w:r>
        <w:rPr>
          <w:rFonts w:cs="Arial"/>
          <w:szCs w:val="24"/>
        </w:rPr>
        <w:t>ambios en el Patrimonio por el E</w:t>
      </w:r>
      <w:r w:rsidRPr="00193217">
        <w:rPr>
          <w:rFonts w:cs="Arial"/>
          <w:szCs w:val="24"/>
        </w:rPr>
        <w:t xml:space="preserve">jercicio anual finalizado en esa fecha, las Notas de políticas contables significativas </w:t>
      </w:r>
      <w:r>
        <w:rPr>
          <w:rFonts w:cs="Arial"/>
          <w:szCs w:val="24"/>
        </w:rPr>
        <w:t xml:space="preserve">aplicadas </w:t>
      </w:r>
      <w:r w:rsidRPr="00193217">
        <w:rPr>
          <w:rFonts w:cs="Arial"/>
          <w:szCs w:val="24"/>
        </w:rPr>
        <w:t>y otras notas explicativas</w:t>
      </w:r>
      <w:r>
        <w:rPr>
          <w:rFonts w:cs="Arial"/>
          <w:szCs w:val="24"/>
        </w:rPr>
        <w:t xml:space="preserve"> y los Anexos.</w:t>
      </w:r>
    </w:p>
    <w:p w:rsidR="00384886" w:rsidRDefault="00384886" w:rsidP="0028634B">
      <w:pPr>
        <w:pStyle w:val="Textoindependiente"/>
        <w:keepNext/>
        <w:widowControl w:val="0"/>
        <w:tabs>
          <w:tab w:val="num" w:pos="142"/>
        </w:tabs>
        <w:spacing w:line="360" w:lineRule="auto"/>
        <w:rPr>
          <w:rFonts w:cs="Arial"/>
          <w:szCs w:val="24"/>
        </w:rPr>
      </w:pPr>
      <w:r w:rsidRPr="00193217">
        <w:rPr>
          <w:rFonts w:cs="Arial"/>
          <w:szCs w:val="24"/>
        </w:rPr>
        <w:t>En opinión del Tribunal de Cuentas, excepto por lo</w:t>
      </w:r>
      <w:r>
        <w:rPr>
          <w:rFonts w:cs="Arial"/>
          <w:szCs w:val="24"/>
        </w:rPr>
        <w:t>s efectos de aquellos ajustes, de haberse requerido alguno,</w:t>
      </w:r>
      <w:r w:rsidRPr="00193217">
        <w:rPr>
          <w:rFonts w:cs="Arial"/>
          <w:szCs w:val="24"/>
        </w:rPr>
        <w:t xml:space="preserve"> </w:t>
      </w:r>
      <w:r>
        <w:rPr>
          <w:rFonts w:cs="Arial"/>
          <w:szCs w:val="24"/>
        </w:rPr>
        <w:t xml:space="preserve">según lo </w:t>
      </w:r>
      <w:r w:rsidRPr="00193217">
        <w:rPr>
          <w:rFonts w:cs="Arial"/>
          <w:szCs w:val="24"/>
        </w:rPr>
        <w:t xml:space="preserve">expresado en </w:t>
      </w:r>
      <w:r>
        <w:rPr>
          <w:rFonts w:cs="Arial"/>
          <w:szCs w:val="24"/>
        </w:rPr>
        <w:t>el párrafo</w:t>
      </w:r>
      <w:r w:rsidRPr="00193217">
        <w:rPr>
          <w:rFonts w:cs="Arial"/>
          <w:szCs w:val="24"/>
        </w:rPr>
        <w:t xml:space="preserve"> </w:t>
      </w:r>
      <w:r w:rsidRPr="00284D9F">
        <w:rPr>
          <w:rFonts w:cs="Arial"/>
          <w:i/>
          <w:szCs w:val="24"/>
        </w:rPr>
        <w:t>Bases para la Opinión con Salvedades</w:t>
      </w:r>
      <w:r>
        <w:rPr>
          <w:rFonts w:cs="Arial"/>
          <w:szCs w:val="24"/>
        </w:rPr>
        <w:t>, los estados financieros c</w:t>
      </w:r>
      <w:r w:rsidRPr="00193217">
        <w:rPr>
          <w:rFonts w:cs="Arial"/>
          <w:szCs w:val="24"/>
        </w:rPr>
        <w:t xml:space="preserve">onsolidados referidos precedentemente presentan razonablemente, en todos sus aspectos significativos, la situación financiera consolidada de ANCAP al 31 de diciembre 2017, los resultados </w:t>
      </w:r>
      <w:r>
        <w:rPr>
          <w:rFonts w:cs="Arial"/>
          <w:szCs w:val="24"/>
        </w:rPr>
        <w:t xml:space="preserve">consolidados </w:t>
      </w:r>
      <w:r w:rsidRPr="00193217">
        <w:rPr>
          <w:rFonts w:cs="Arial"/>
          <w:szCs w:val="24"/>
        </w:rPr>
        <w:t xml:space="preserve">de sus operaciones y los </w:t>
      </w:r>
      <w:r w:rsidRPr="00225659">
        <w:rPr>
          <w:rFonts w:cs="Arial"/>
          <w:szCs w:val="24"/>
        </w:rPr>
        <w:t xml:space="preserve">flujos de efectivo </w:t>
      </w:r>
      <w:r>
        <w:rPr>
          <w:rFonts w:cs="Arial"/>
          <w:szCs w:val="24"/>
        </w:rPr>
        <w:t>consolidados correspondientes al E</w:t>
      </w:r>
      <w:r w:rsidRPr="00225659">
        <w:rPr>
          <w:rFonts w:cs="Arial"/>
          <w:szCs w:val="24"/>
        </w:rPr>
        <w:t>jercicio anual terminado en esa fecha, de acuerdo con normas contables adecuadas en Uruguay y la Ordenanza Nº 89 del Tribunal de Cuentas.</w:t>
      </w:r>
    </w:p>
    <w:p w:rsidR="00384886" w:rsidRDefault="00384886" w:rsidP="0028634B">
      <w:pPr>
        <w:pStyle w:val="Textoindependiente"/>
        <w:keepNext/>
        <w:widowControl w:val="0"/>
        <w:tabs>
          <w:tab w:val="num" w:pos="142"/>
        </w:tabs>
        <w:spacing w:line="360" w:lineRule="auto"/>
        <w:rPr>
          <w:rFonts w:cs="Arial"/>
          <w:b/>
          <w:bCs/>
          <w:szCs w:val="24"/>
        </w:rPr>
      </w:pPr>
      <w:r>
        <w:rPr>
          <w:rFonts w:cs="Arial"/>
          <w:b/>
          <w:bCs/>
          <w:szCs w:val="24"/>
        </w:rPr>
        <w:t>Bases para la Opinión con Salvedades</w:t>
      </w:r>
    </w:p>
    <w:p w:rsidR="00384886" w:rsidRDefault="00384886" w:rsidP="002C1320">
      <w:pPr>
        <w:pStyle w:val="Textonormal"/>
        <w:keepNext/>
        <w:tabs>
          <w:tab w:val="clear" w:pos="-720"/>
        </w:tabs>
        <w:suppressAutoHyphens w:val="0"/>
        <w:spacing w:line="360" w:lineRule="auto"/>
        <w:rPr>
          <w:rFonts w:ascii="Arial" w:hAnsi="Arial" w:cs="Arial"/>
        </w:rPr>
      </w:pPr>
      <w:r w:rsidRPr="002C1320">
        <w:rPr>
          <w:rFonts w:ascii="Arial" w:hAnsi="Arial" w:cs="Arial"/>
        </w:rPr>
        <w:t xml:space="preserve">Esta auditoría fue </w:t>
      </w:r>
      <w:r>
        <w:rPr>
          <w:rFonts w:ascii="Arial" w:hAnsi="Arial" w:cs="Arial"/>
        </w:rPr>
        <w:t>realizada</w:t>
      </w:r>
      <w:r w:rsidRPr="002C1320">
        <w:rPr>
          <w:rFonts w:ascii="Arial" w:hAnsi="Arial" w:cs="Arial"/>
        </w:rPr>
        <w:t xml:space="preserve">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2C1320">
        <w:rPr>
          <w:rFonts w:ascii="Arial" w:hAnsi="Arial" w:cs="Arial"/>
          <w:i/>
        </w:rPr>
        <w:t>Responsabilidad del Tribunal de Cuentas por la auditoría de los estados financieros</w:t>
      </w:r>
      <w:r>
        <w:rPr>
          <w:rFonts w:ascii="Arial" w:hAnsi="Arial" w:cs="Arial"/>
          <w:i/>
        </w:rPr>
        <w:t xml:space="preserve"> consolidados</w:t>
      </w:r>
      <w:r w:rsidRPr="002C1320">
        <w:rPr>
          <w:rFonts w:ascii="Arial" w:hAnsi="Arial" w:cs="Arial"/>
        </w:rPr>
        <w:t>.</w:t>
      </w:r>
    </w:p>
    <w:p w:rsidR="004D3024" w:rsidRDefault="004D3024" w:rsidP="002C1320">
      <w:pPr>
        <w:pStyle w:val="Textonormal"/>
        <w:keepNext/>
        <w:tabs>
          <w:tab w:val="clear" w:pos="-720"/>
        </w:tabs>
        <w:suppressAutoHyphens w:val="0"/>
        <w:spacing w:line="360" w:lineRule="auto"/>
        <w:rPr>
          <w:rFonts w:ascii="Arial" w:hAnsi="Arial" w:cs="Arial"/>
        </w:rPr>
      </w:pPr>
    </w:p>
    <w:p w:rsidR="00384886" w:rsidRDefault="00384886" w:rsidP="002C1320">
      <w:pPr>
        <w:pStyle w:val="Textonormal"/>
        <w:keepNext/>
        <w:tabs>
          <w:tab w:val="clear" w:pos="-720"/>
        </w:tabs>
        <w:suppressAutoHyphens w:val="0"/>
        <w:spacing w:line="360" w:lineRule="auto"/>
        <w:rPr>
          <w:rFonts w:ascii="Arial" w:hAnsi="Arial" w:cs="Arial"/>
        </w:rPr>
      </w:pPr>
      <w:r>
        <w:rPr>
          <w:rFonts w:ascii="Arial" w:hAnsi="Arial" w:cs="Arial"/>
        </w:rPr>
        <w:t>Este Tribunal es independiente de ANCAP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384886" w:rsidRPr="00C105EF" w:rsidRDefault="00384886" w:rsidP="003E1469">
      <w:pPr>
        <w:pStyle w:val="Textonormal"/>
        <w:keepNext/>
        <w:tabs>
          <w:tab w:val="clear" w:pos="-720"/>
        </w:tabs>
        <w:suppressAutoHyphens w:val="0"/>
        <w:spacing w:line="360" w:lineRule="auto"/>
        <w:rPr>
          <w:rFonts w:ascii="Arial" w:hAnsi="Arial" w:cs="Arial"/>
        </w:rPr>
      </w:pPr>
      <w:r w:rsidRPr="00C105EF">
        <w:rPr>
          <w:rFonts w:ascii="Arial" w:hAnsi="Arial" w:cs="Arial"/>
        </w:rPr>
        <w:t xml:space="preserve">El Ente presenta indicios de deterioro en sus activos </w:t>
      </w:r>
      <w:r>
        <w:rPr>
          <w:rFonts w:ascii="Arial" w:hAnsi="Arial" w:cs="Arial"/>
        </w:rPr>
        <w:t xml:space="preserve">consolidados </w:t>
      </w:r>
      <w:r w:rsidRPr="00C105EF">
        <w:rPr>
          <w:rFonts w:ascii="Arial" w:hAnsi="Arial" w:cs="Arial"/>
        </w:rPr>
        <w:t xml:space="preserve">y no ha estimado el importe recuperable </w:t>
      </w:r>
      <w:r>
        <w:rPr>
          <w:rFonts w:ascii="Arial" w:hAnsi="Arial" w:cs="Arial"/>
        </w:rPr>
        <w:t>de</w:t>
      </w:r>
      <w:r w:rsidRPr="00C105EF">
        <w:rPr>
          <w:rFonts w:ascii="Arial" w:hAnsi="Arial" w:cs="Arial"/>
        </w:rPr>
        <w:t xml:space="preserve"> los mismos. No se ha podido obtener evidencia suficiente sobre el importe de los activos y pasivos expuestos en los Estados Financieros Consolidados de ANCAP y sus subsidiarias al 31/12/2017, relacionado</w:t>
      </w:r>
      <w:r>
        <w:rPr>
          <w:rFonts w:ascii="Arial" w:hAnsi="Arial" w:cs="Arial"/>
        </w:rPr>
        <w:t>s</w:t>
      </w:r>
      <w:r w:rsidRPr="00C105EF">
        <w:rPr>
          <w:rFonts w:ascii="Arial" w:hAnsi="Arial" w:cs="Arial"/>
        </w:rPr>
        <w:t xml:space="preserve"> con las inversiones que se detallan:</w:t>
      </w:r>
    </w:p>
    <w:p w:rsidR="00384886" w:rsidRPr="00CB506E" w:rsidRDefault="00384886" w:rsidP="0078736A">
      <w:pPr>
        <w:tabs>
          <w:tab w:val="left" w:pos="1701"/>
        </w:tabs>
        <w:spacing w:after="0" w:line="360" w:lineRule="auto"/>
        <w:ind w:left="426"/>
        <w:rPr>
          <w:rFonts w:cs="Arial"/>
          <w:szCs w:val="24"/>
        </w:rPr>
      </w:pPr>
      <w:r w:rsidRPr="001621F5">
        <w:rPr>
          <w:rFonts w:cs="Arial"/>
          <w:b/>
          <w:szCs w:val="24"/>
        </w:rPr>
        <w:t>1.</w:t>
      </w:r>
      <w:r w:rsidRPr="00CB506E">
        <w:rPr>
          <w:rFonts w:cs="Arial"/>
          <w:b/>
          <w:szCs w:val="24"/>
        </w:rPr>
        <w:t xml:space="preserve"> </w:t>
      </w:r>
      <w:r w:rsidRPr="00CB506E">
        <w:rPr>
          <w:rFonts w:cs="Arial"/>
          <w:szCs w:val="24"/>
        </w:rPr>
        <w:t>La empresa ANCSOL S.A.</w:t>
      </w:r>
      <w:r>
        <w:rPr>
          <w:rFonts w:cs="Arial"/>
          <w:szCs w:val="24"/>
        </w:rPr>
        <w:t>,</w:t>
      </w:r>
      <w:r w:rsidRPr="00CB506E">
        <w:rPr>
          <w:rFonts w:cs="Arial"/>
          <w:szCs w:val="24"/>
        </w:rPr>
        <w:t xml:space="preserve"> de la cual ANCAP es propietaria del 100% del paquete accionario, presenta al 31/12/2017 un índice EBITDA </w:t>
      </w:r>
      <w:r w:rsidRPr="00624E8E">
        <w:rPr>
          <w:rFonts w:cs="Arial"/>
          <w:szCs w:val="24"/>
        </w:rPr>
        <w:t>(beneficio antes de </w:t>
      </w:r>
      <w:hyperlink r:id="rId6" w:tooltip="Intereses" w:history="1">
        <w:r w:rsidRPr="000A4B79">
          <w:rPr>
            <w:rFonts w:cs="Arial"/>
            <w:szCs w:val="24"/>
            <w:u w:val="single"/>
          </w:rPr>
          <w:t>intereses</w:t>
        </w:r>
      </w:hyperlink>
      <w:r w:rsidRPr="00624E8E">
        <w:rPr>
          <w:rFonts w:cs="Arial"/>
          <w:szCs w:val="24"/>
        </w:rPr>
        <w:t>, </w:t>
      </w:r>
      <w:hyperlink r:id="rId7" w:tooltip="Impuestos" w:history="1">
        <w:r w:rsidRPr="000A4B79">
          <w:rPr>
            <w:rFonts w:cs="Arial"/>
            <w:szCs w:val="24"/>
            <w:u w:val="single"/>
          </w:rPr>
          <w:t>impuestos</w:t>
        </w:r>
      </w:hyperlink>
      <w:r w:rsidRPr="00624E8E">
        <w:rPr>
          <w:rFonts w:cs="Arial"/>
          <w:szCs w:val="24"/>
        </w:rPr>
        <w:t>, </w:t>
      </w:r>
      <w:hyperlink r:id="rId8" w:history="1">
        <w:r w:rsidRPr="000A4B79">
          <w:rPr>
            <w:rFonts w:cs="Arial"/>
            <w:szCs w:val="24"/>
            <w:u w:val="single"/>
          </w:rPr>
          <w:t>depreciaciones</w:t>
        </w:r>
      </w:hyperlink>
      <w:r w:rsidRPr="00624E8E">
        <w:rPr>
          <w:rFonts w:cs="Arial"/>
          <w:szCs w:val="24"/>
        </w:rPr>
        <w:t> y </w:t>
      </w:r>
      <w:hyperlink r:id="rId9" w:tooltip="Amortización" w:history="1">
        <w:r w:rsidRPr="000A4B79">
          <w:rPr>
            <w:rFonts w:cs="Arial"/>
            <w:szCs w:val="24"/>
            <w:u w:val="single"/>
          </w:rPr>
          <w:t>amortizaciones</w:t>
        </w:r>
      </w:hyperlink>
      <w:r w:rsidRPr="00624E8E">
        <w:rPr>
          <w:rFonts w:cs="Arial"/>
          <w:szCs w:val="24"/>
        </w:rPr>
        <w:t>)</w:t>
      </w:r>
      <w:r w:rsidRPr="00CB506E">
        <w:rPr>
          <w:rFonts w:cs="Arial"/>
          <w:szCs w:val="24"/>
        </w:rPr>
        <w:t xml:space="preserve"> negativo de $ 7</w:t>
      </w:r>
      <w:r>
        <w:rPr>
          <w:rFonts w:cs="Arial"/>
          <w:szCs w:val="24"/>
        </w:rPr>
        <w:t>5:</w:t>
      </w:r>
      <w:r w:rsidRPr="00CB506E">
        <w:rPr>
          <w:rFonts w:cs="Arial"/>
          <w:szCs w:val="24"/>
        </w:rPr>
        <w:t xml:space="preserve">165.673. La empresa </w:t>
      </w:r>
      <w:r>
        <w:rPr>
          <w:rFonts w:cs="Arial"/>
          <w:szCs w:val="24"/>
        </w:rPr>
        <w:t>configura</w:t>
      </w:r>
      <w:r w:rsidRPr="00CB506E">
        <w:rPr>
          <w:rFonts w:cs="Arial"/>
          <w:szCs w:val="24"/>
        </w:rPr>
        <w:t xml:space="preserve"> causal de disolución </w:t>
      </w:r>
      <w:r>
        <w:rPr>
          <w:rFonts w:cs="Arial"/>
          <w:szCs w:val="24"/>
        </w:rPr>
        <w:t xml:space="preserve">de acuerdo con lo </w:t>
      </w:r>
      <w:r w:rsidRPr="00CB506E">
        <w:rPr>
          <w:rFonts w:cs="Arial"/>
          <w:szCs w:val="24"/>
        </w:rPr>
        <w:t>previst</w:t>
      </w:r>
      <w:r>
        <w:rPr>
          <w:rFonts w:cs="Arial"/>
          <w:szCs w:val="24"/>
        </w:rPr>
        <w:t>o</w:t>
      </w:r>
      <w:r w:rsidRPr="00CB506E">
        <w:rPr>
          <w:rFonts w:cs="Arial"/>
          <w:szCs w:val="24"/>
        </w:rPr>
        <w:t xml:space="preserve"> </w:t>
      </w:r>
      <w:r>
        <w:rPr>
          <w:rFonts w:cs="Arial"/>
          <w:szCs w:val="24"/>
        </w:rPr>
        <w:t xml:space="preserve">en el Artículo 293 de la </w:t>
      </w:r>
      <w:r w:rsidRPr="00CB506E">
        <w:rPr>
          <w:rFonts w:cs="Arial"/>
          <w:szCs w:val="24"/>
        </w:rPr>
        <w:t>Ley N°</w:t>
      </w:r>
      <w:r>
        <w:rPr>
          <w:rFonts w:cs="Arial"/>
          <w:szCs w:val="24"/>
        </w:rPr>
        <w:t xml:space="preserve"> </w:t>
      </w:r>
      <w:r w:rsidRPr="00CB506E">
        <w:rPr>
          <w:rFonts w:cs="Arial"/>
          <w:szCs w:val="24"/>
        </w:rPr>
        <w:t>16.060. Est</w:t>
      </w:r>
      <w:r>
        <w:rPr>
          <w:rFonts w:cs="Arial"/>
          <w:szCs w:val="24"/>
        </w:rPr>
        <w:t>os</w:t>
      </w:r>
      <w:r w:rsidRPr="00CB506E">
        <w:rPr>
          <w:rFonts w:cs="Arial"/>
          <w:szCs w:val="24"/>
        </w:rPr>
        <w:t xml:space="preserve"> indicio</w:t>
      </w:r>
      <w:r>
        <w:rPr>
          <w:rFonts w:cs="Arial"/>
          <w:szCs w:val="24"/>
        </w:rPr>
        <w:t>s</w:t>
      </w:r>
      <w:r w:rsidRPr="00CB506E">
        <w:rPr>
          <w:rFonts w:cs="Arial"/>
          <w:szCs w:val="24"/>
        </w:rPr>
        <w:t xml:space="preserve"> de deterioro no fue</w:t>
      </w:r>
      <w:r>
        <w:rPr>
          <w:rFonts w:cs="Arial"/>
          <w:szCs w:val="24"/>
        </w:rPr>
        <w:t>ron</w:t>
      </w:r>
      <w:r w:rsidRPr="00CB506E">
        <w:rPr>
          <w:rFonts w:cs="Arial"/>
          <w:szCs w:val="24"/>
        </w:rPr>
        <w:t xml:space="preserve"> evaluado</w:t>
      </w:r>
      <w:r>
        <w:rPr>
          <w:rFonts w:cs="Arial"/>
          <w:szCs w:val="24"/>
        </w:rPr>
        <w:t>s</w:t>
      </w:r>
      <w:r w:rsidRPr="00CB506E">
        <w:rPr>
          <w:rFonts w:cs="Arial"/>
          <w:szCs w:val="24"/>
        </w:rPr>
        <w:t xml:space="preserve"> por el Ente, ni </w:t>
      </w:r>
      <w:r>
        <w:rPr>
          <w:rFonts w:cs="Arial"/>
          <w:szCs w:val="24"/>
        </w:rPr>
        <w:t>se tuvieron</w:t>
      </w:r>
      <w:r w:rsidRPr="00CB506E">
        <w:rPr>
          <w:rFonts w:cs="Arial"/>
          <w:szCs w:val="24"/>
        </w:rPr>
        <w:t xml:space="preserve"> en cuenta sus posibles efectos en los Estados Financieros Consolidados.</w:t>
      </w:r>
    </w:p>
    <w:p w:rsidR="00384886" w:rsidRPr="007678C7" w:rsidRDefault="00384886" w:rsidP="008A378B">
      <w:pPr>
        <w:spacing w:after="0" w:line="360" w:lineRule="auto"/>
        <w:ind w:left="426"/>
        <w:rPr>
          <w:rFonts w:eastAsia="Times New Roman" w:cs="Arial"/>
          <w:szCs w:val="24"/>
          <w:lang w:val="es-ES_tradnl" w:eastAsia="es-ES"/>
        </w:rPr>
      </w:pPr>
      <w:r w:rsidRPr="00CB506E">
        <w:rPr>
          <w:rFonts w:cs="Arial"/>
          <w:szCs w:val="24"/>
        </w:rPr>
        <w:t>Los auditores externos de ANCSOL S.A. se abstu</w:t>
      </w:r>
      <w:r>
        <w:rPr>
          <w:rFonts w:cs="Arial"/>
          <w:szCs w:val="24"/>
        </w:rPr>
        <w:t>vieron de emitir opinión sobre los e</w:t>
      </w:r>
      <w:r w:rsidRPr="00CB506E">
        <w:rPr>
          <w:rFonts w:cs="Arial"/>
          <w:szCs w:val="24"/>
        </w:rPr>
        <w:t xml:space="preserve">stados </w:t>
      </w:r>
      <w:r>
        <w:rPr>
          <w:rFonts w:cs="Arial"/>
          <w:szCs w:val="24"/>
        </w:rPr>
        <w:t>f</w:t>
      </w:r>
      <w:r w:rsidRPr="00CB506E">
        <w:rPr>
          <w:rFonts w:cs="Arial"/>
          <w:szCs w:val="24"/>
        </w:rPr>
        <w:t xml:space="preserve">inancieros debido a la situación financiera de </w:t>
      </w:r>
      <w:r>
        <w:rPr>
          <w:rFonts w:cs="Arial"/>
          <w:szCs w:val="24"/>
        </w:rPr>
        <w:t xml:space="preserve">su subsidiaria </w:t>
      </w:r>
      <w:r w:rsidRPr="00CB506E">
        <w:rPr>
          <w:rFonts w:cs="Arial"/>
          <w:szCs w:val="24"/>
        </w:rPr>
        <w:t xml:space="preserve">CARBOCLOR S.A., que con </w:t>
      </w:r>
      <w:r w:rsidRPr="00CB506E">
        <w:rPr>
          <w:rFonts w:eastAsia="Times New Roman" w:cs="Arial"/>
          <w:szCs w:val="24"/>
          <w:lang w:val="es-ES_tradnl" w:eastAsia="es-ES"/>
        </w:rPr>
        <w:t xml:space="preserve">fecha 29/12/2016 solicitó la apertura de un concurso preventivo de acreedores, el cual ha finalizado, </w:t>
      </w:r>
      <w:r>
        <w:rPr>
          <w:rFonts w:eastAsia="Times New Roman" w:cs="Arial"/>
          <w:szCs w:val="24"/>
          <w:lang w:val="es-ES_tradnl" w:eastAsia="es-ES"/>
        </w:rPr>
        <w:t>mantenién</w:t>
      </w:r>
      <w:r w:rsidRPr="00CB506E">
        <w:rPr>
          <w:rFonts w:eastAsia="Times New Roman" w:cs="Arial"/>
          <w:szCs w:val="24"/>
          <w:lang w:val="es-ES_tradnl" w:eastAsia="es-ES"/>
        </w:rPr>
        <w:t>do</w:t>
      </w:r>
      <w:r>
        <w:rPr>
          <w:rFonts w:eastAsia="Times New Roman" w:cs="Arial"/>
          <w:szCs w:val="24"/>
          <w:lang w:val="es-ES_tradnl" w:eastAsia="es-ES"/>
        </w:rPr>
        <w:t>se</w:t>
      </w:r>
      <w:r w:rsidRPr="00CB506E">
        <w:rPr>
          <w:rFonts w:eastAsia="Times New Roman" w:cs="Arial"/>
          <w:szCs w:val="24"/>
          <w:lang w:val="es-ES_tradnl" w:eastAsia="es-ES"/>
        </w:rPr>
        <w:t xml:space="preserve"> pendiente a la fecha de emisión de los estados la determinación de los pasivos concursales y la presentación y tratamiento de la propuesta de acuerdo preventivo.</w:t>
      </w:r>
    </w:p>
    <w:p w:rsidR="00384886" w:rsidRPr="005D4256" w:rsidRDefault="00384886" w:rsidP="0078736A">
      <w:pPr>
        <w:spacing w:after="0" w:line="360" w:lineRule="auto"/>
        <w:ind w:left="426"/>
        <w:rPr>
          <w:rFonts w:cs="Arial"/>
          <w:b/>
          <w:color w:val="FF0000"/>
          <w:szCs w:val="24"/>
        </w:rPr>
      </w:pPr>
    </w:p>
    <w:p w:rsidR="00384886" w:rsidRPr="001D073E" w:rsidRDefault="00384886" w:rsidP="00193217">
      <w:pPr>
        <w:tabs>
          <w:tab w:val="left" w:pos="1701"/>
        </w:tabs>
        <w:spacing w:after="0" w:line="360" w:lineRule="auto"/>
        <w:ind w:left="426"/>
        <w:rPr>
          <w:rFonts w:cs="Arial"/>
          <w:szCs w:val="24"/>
        </w:rPr>
      </w:pPr>
      <w:r w:rsidRPr="001621F5">
        <w:rPr>
          <w:rFonts w:cs="Arial"/>
          <w:b/>
          <w:szCs w:val="24"/>
        </w:rPr>
        <w:t>2.</w:t>
      </w:r>
      <w:r w:rsidRPr="001D073E">
        <w:rPr>
          <w:rFonts w:cs="Arial"/>
          <w:szCs w:val="24"/>
        </w:rPr>
        <w:t xml:space="preserve"> La empresa CABA S.A.</w:t>
      </w:r>
      <w:r>
        <w:rPr>
          <w:rFonts w:cs="Arial"/>
          <w:szCs w:val="24"/>
        </w:rPr>
        <w:t>,</w:t>
      </w:r>
      <w:r w:rsidRPr="001D073E">
        <w:rPr>
          <w:rFonts w:cs="Arial"/>
          <w:szCs w:val="24"/>
        </w:rPr>
        <w:t xml:space="preserve"> de la cual ANCAP es propietaria del 100% del paquete accionario, present</w:t>
      </w:r>
      <w:r>
        <w:rPr>
          <w:rFonts w:cs="Arial"/>
          <w:szCs w:val="24"/>
        </w:rPr>
        <w:t>a un resultado negativo de $ 10:</w:t>
      </w:r>
      <w:r w:rsidRPr="001D073E">
        <w:rPr>
          <w:rFonts w:cs="Arial"/>
          <w:szCs w:val="24"/>
        </w:rPr>
        <w:t>714.778. Este indicio de deterioro y los efectos contables del mismo no fueron evaluados por el Ente en sus Estados Financieros Consolidados.</w:t>
      </w:r>
    </w:p>
    <w:p w:rsidR="00384886" w:rsidRDefault="00384886" w:rsidP="00193217">
      <w:pPr>
        <w:tabs>
          <w:tab w:val="left" w:pos="1701"/>
        </w:tabs>
        <w:spacing w:after="0" w:line="360" w:lineRule="auto"/>
        <w:ind w:left="426"/>
        <w:rPr>
          <w:rFonts w:cs="Arial"/>
          <w:szCs w:val="24"/>
        </w:rPr>
      </w:pPr>
      <w:r w:rsidRPr="001D073E">
        <w:rPr>
          <w:rFonts w:cs="Arial"/>
          <w:szCs w:val="24"/>
        </w:rPr>
        <w:t xml:space="preserve">Según se expresa en la Nota 34.1 de los Estados Financieros Consolidados, referente a “Hechos posteriores”, la </w:t>
      </w:r>
      <w:r>
        <w:rPr>
          <w:rFonts w:cs="Arial"/>
          <w:szCs w:val="24"/>
        </w:rPr>
        <w:t xml:space="preserve">mencionada </w:t>
      </w:r>
      <w:r w:rsidRPr="001D073E">
        <w:rPr>
          <w:rFonts w:cs="Arial"/>
          <w:szCs w:val="24"/>
        </w:rPr>
        <w:t>empresa se encuentra en proceso de liquidación</w:t>
      </w:r>
      <w:r>
        <w:rPr>
          <w:rFonts w:cs="Arial"/>
          <w:szCs w:val="24"/>
        </w:rPr>
        <w:t>, situación que</w:t>
      </w:r>
      <w:r w:rsidRPr="001D073E">
        <w:rPr>
          <w:rFonts w:cs="Arial"/>
          <w:szCs w:val="24"/>
        </w:rPr>
        <w:t xml:space="preserve"> evidencia incertidumbre  </w:t>
      </w:r>
      <w:r>
        <w:rPr>
          <w:rFonts w:cs="Arial"/>
          <w:szCs w:val="24"/>
        </w:rPr>
        <w:t xml:space="preserve">sobre </w:t>
      </w:r>
      <w:r w:rsidRPr="001D073E">
        <w:rPr>
          <w:rFonts w:cs="Arial"/>
          <w:szCs w:val="24"/>
        </w:rPr>
        <w:t xml:space="preserve">el valor en libros de </w:t>
      </w:r>
      <w:r>
        <w:rPr>
          <w:rFonts w:cs="Arial"/>
          <w:szCs w:val="24"/>
        </w:rPr>
        <w:t>sus</w:t>
      </w:r>
      <w:r w:rsidRPr="001D073E">
        <w:rPr>
          <w:rFonts w:cs="Arial"/>
          <w:szCs w:val="24"/>
        </w:rPr>
        <w:t xml:space="preserve"> activos y pasivos</w:t>
      </w:r>
      <w:r>
        <w:rPr>
          <w:rFonts w:cs="Arial"/>
          <w:szCs w:val="24"/>
        </w:rPr>
        <w:t>.</w:t>
      </w:r>
      <w:r w:rsidRPr="001D073E">
        <w:rPr>
          <w:rFonts w:cs="Arial"/>
          <w:szCs w:val="24"/>
        </w:rPr>
        <w:t xml:space="preserve"> El valor contable de la inversión no recoge eventuales ajustes en los Estados Financieros Consolidados del Ente al 31/12/2017</w:t>
      </w:r>
      <w:r>
        <w:rPr>
          <w:rFonts w:cs="Arial"/>
          <w:szCs w:val="24"/>
        </w:rPr>
        <w:t xml:space="preserve"> </w:t>
      </w:r>
      <w:r w:rsidRPr="001D073E">
        <w:rPr>
          <w:rFonts w:cs="Arial"/>
          <w:szCs w:val="24"/>
        </w:rPr>
        <w:t xml:space="preserve">que podrían ser necesarios ante esta </w:t>
      </w:r>
      <w:r>
        <w:rPr>
          <w:rFonts w:cs="Arial"/>
          <w:szCs w:val="24"/>
        </w:rPr>
        <w:t>situación</w:t>
      </w:r>
      <w:r w:rsidRPr="001D073E">
        <w:rPr>
          <w:rFonts w:cs="Arial"/>
          <w:szCs w:val="24"/>
        </w:rPr>
        <w:t>.</w:t>
      </w:r>
    </w:p>
    <w:p w:rsidR="00384886" w:rsidRPr="00912B55" w:rsidRDefault="00384886" w:rsidP="00193217">
      <w:pPr>
        <w:tabs>
          <w:tab w:val="left" w:pos="1701"/>
        </w:tabs>
        <w:spacing w:after="0" w:line="360" w:lineRule="auto"/>
        <w:ind w:left="426"/>
        <w:rPr>
          <w:rFonts w:cs="Arial"/>
          <w:szCs w:val="24"/>
        </w:rPr>
      </w:pPr>
    </w:p>
    <w:p w:rsidR="00384886" w:rsidRPr="001621F5" w:rsidRDefault="00384886" w:rsidP="007E62E8">
      <w:pPr>
        <w:tabs>
          <w:tab w:val="left" w:pos="1701"/>
        </w:tabs>
        <w:spacing w:after="0" w:line="360" w:lineRule="auto"/>
        <w:ind w:left="426"/>
        <w:rPr>
          <w:rFonts w:cs="Arial"/>
          <w:szCs w:val="24"/>
        </w:rPr>
      </w:pPr>
      <w:r>
        <w:rPr>
          <w:rFonts w:cs="Arial"/>
          <w:b/>
          <w:szCs w:val="24"/>
        </w:rPr>
        <w:t>3</w:t>
      </w:r>
      <w:r w:rsidRPr="001621F5">
        <w:rPr>
          <w:rFonts w:cs="Arial"/>
          <w:b/>
          <w:szCs w:val="24"/>
        </w:rPr>
        <w:t>.</w:t>
      </w:r>
      <w:r w:rsidRPr="001621F5">
        <w:rPr>
          <w:rFonts w:cs="Arial"/>
          <w:szCs w:val="24"/>
        </w:rPr>
        <w:t xml:space="preserve"> La empresa CONECTA S.A., de la cual ANCAP es propietaria del 45% del paquete accionario, no cuenta con </w:t>
      </w:r>
      <w:r>
        <w:rPr>
          <w:rFonts w:cs="Arial"/>
          <w:szCs w:val="24"/>
        </w:rPr>
        <w:t>e</w:t>
      </w:r>
      <w:r w:rsidRPr="001621F5">
        <w:rPr>
          <w:rFonts w:cs="Arial"/>
          <w:szCs w:val="24"/>
        </w:rPr>
        <w:t xml:space="preserve">stados </w:t>
      </w:r>
      <w:r>
        <w:rPr>
          <w:rFonts w:cs="Arial"/>
          <w:szCs w:val="24"/>
        </w:rPr>
        <w:t>f</w:t>
      </w:r>
      <w:r w:rsidRPr="001621F5">
        <w:rPr>
          <w:rFonts w:cs="Arial"/>
          <w:szCs w:val="24"/>
        </w:rPr>
        <w:t xml:space="preserve">inancieros al 31/12/2017, por lo que no es posible obtener suficiente evidencia de auditoría del valor contable de esta inversión. </w:t>
      </w:r>
      <w:r>
        <w:rPr>
          <w:rFonts w:cs="Arial"/>
          <w:szCs w:val="24"/>
        </w:rPr>
        <w:t xml:space="preserve">Asimismo la empresa requirió capitalizaciones para </w:t>
      </w:r>
      <w:r w:rsidRPr="001621F5">
        <w:rPr>
          <w:rFonts w:cs="Arial"/>
          <w:szCs w:val="24"/>
        </w:rPr>
        <w:t>poder continuar con sus operaciones</w:t>
      </w:r>
      <w:r>
        <w:rPr>
          <w:rFonts w:cs="Arial"/>
          <w:szCs w:val="24"/>
        </w:rPr>
        <w:t xml:space="preserve"> y se financia no efectuando el pago de sus deudas comerciales. A</w:t>
      </w:r>
      <w:r w:rsidRPr="001621F5">
        <w:rPr>
          <w:rFonts w:cs="Arial"/>
          <w:szCs w:val="24"/>
        </w:rPr>
        <w:t xml:space="preserve"> partir de abril de 2017</w:t>
      </w:r>
      <w:r>
        <w:rPr>
          <w:rFonts w:cs="Arial"/>
          <w:szCs w:val="24"/>
        </w:rPr>
        <w:t>,</w:t>
      </w:r>
      <w:r w:rsidRPr="001621F5">
        <w:rPr>
          <w:rFonts w:cs="Arial"/>
          <w:szCs w:val="24"/>
        </w:rPr>
        <w:t xml:space="preserve"> </w:t>
      </w:r>
      <w:r>
        <w:rPr>
          <w:rFonts w:cs="Arial"/>
          <w:szCs w:val="24"/>
        </w:rPr>
        <w:t xml:space="preserve">el gas natural que comercializa CONECTA S.A. </w:t>
      </w:r>
      <w:r w:rsidRPr="001621F5">
        <w:rPr>
          <w:rFonts w:cs="Arial"/>
          <w:szCs w:val="24"/>
        </w:rPr>
        <w:t xml:space="preserve">es </w:t>
      </w:r>
      <w:r>
        <w:rPr>
          <w:rFonts w:cs="Arial"/>
          <w:szCs w:val="24"/>
        </w:rPr>
        <w:t xml:space="preserve">provisto </w:t>
      </w:r>
      <w:r w:rsidRPr="001621F5">
        <w:rPr>
          <w:rFonts w:cs="Arial"/>
          <w:szCs w:val="24"/>
        </w:rPr>
        <w:t xml:space="preserve">únicamente </w:t>
      </w:r>
      <w:r>
        <w:rPr>
          <w:rFonts w:cs="Arial"/>
          <w:szCs w:val="24"/>
        </w:rPr>
        <w:t>por ANCAP y,</w:t>
      </w:r>
      <w:r w:rsidRPr="001621F5">
        <w:rPr>
          <w:rFonts w:cs="Arial"/>
          <w:szCs w:val="24"/>
        </w:rPr>
        <w:t xml:space="preserve"> por lo </w:t>
      </w:r>
      <w:r>
        <w:rPr>
          <w:rFonts w:cs="Arial"/>
          <w:szCs w:val="24"/>
        </w:rPr>
        <w:t xml:space="preserve">tanto, </w:t>
      </w:r>
      <w:r w:rsidRPr="001621F5">
        <w:rPr>
          <w:rFonts w:cs="Arial"/>
          <w:szCs w:val="24"/>
        </w:rPr>
        <w:t>sus deudas comerciales implica</w:t>
      </w:r>
      <w:r>
        <w:rPr>
          <w:rFonts w:cs="Arial"/>
          <w:szCs w:val="24"/>
        </w:rPr>
        <w:t>n</w:t>
      </w:r>
      <w:r w:rsidRPr="001621F5">
        <w:rPr>
          <w:rFonts w:cs="Arial"/>
          <w:szCs w:val="24"/>
        </w:rPr>
        <w:t xml:space="preserve"> un financiamiento exclusivo por parte del Ente.</w:t>
      </w:r>
    </w:p>
    <w:p w:rsidR="00384886" w:rsidRPr="001621F5" w:rsidRDefault="00384886" w:rsidP="007E62E8">
      <w:pPr>
        <w:tabs>
          <w:tab w:val="left" w:pos="1701"/>
        </w:tabs>
        <w:spacing w:after="0" w:line="360" w:lineRule="auto"/>
        <w:ind w:left="426"/>
        <w:rPr>
          <w:rFonts w:cs="Arial"/>
          <w:szCs w:val="24"/>
        </w:rPr>
      </w:pPr>
      <w:r w:rsidRPr="001621F5">
        <w:rPr>
          <w:rFonts w:cs="Arial"/>
          <w:szCs w:val="24"/>
        </w:rPr>
        <w:t>Los efectos contables de los aspectos mencionados no fueron evaluados por ANCAP en sus Estados Financieros Consolidados al 31/12/2017.</w:t>
      </w:r>
    </w:p>
    <w:p w:rsidR="00384886" w:rsidRDefault="00384886" w:rsidP="0078736A">
      <w:pPr>
        <w:tabs>
          <w:tab w:val="left" w:pos="1701"/>
        </w:tabs>
        <w:spacing w:after="0" w:line="360" w:lineRule="auto"/>
        <w:ind w:left="426"/>
        <w:rPr>
          <w:rFonts w:cs="Arial"/>
          <w:b/>
          <w:szCs w:val="24"/>
          <w:highlight w:val="lightGray"/>
        </w:rPr>
      </w:pPr>
    </w:p>
    <w:p w:rsidR="00384886" w:rsidRPr="00D42AA2" w:rsidRDefault="00384886" w:rsidP="0078736A">
      <w:pPr>
        <w:tabs>
          <w:tab w:val="left" w:pos="1701"/>
        </w:tabs>
        <w:spacing w:after="0" w:line="360" w:lineRule="auto"/>
        <w:ind w:left="426"/>
        <w:rPr>
          <w:rFonts w:cs="Arial"/>
          <w:szCs w:val="24"/>
        </w:rPr>
      </w:pPr>
      <w:r>
        <w:rPr>
          <w:rFonts w:cs="Arial"/>
          <w:b/>
          <w:szCs w:val="24"/>
        </w:rPr>
        <w:t>4</w:t>
      </w:r>
      <w:r w:rsidRPr="00D42AA2">
        <w:rPr>
          <w:rFonts w:cs="Arial"/>
          <w:b/>
          <w:szCs w:val="24"/>
        </w:rPr>
        <w:t>.</w:t>
      </w:r>
      <w:r w:rsidRPr="00D42AA2">
        <w:rPr>
          <w:rFonts w:cs="Arial"/>
          <w:szCs w:val="24"/>
        </w:rPr>
        <w:t xml:space="preserve"> UTE y ANCAP mantienen un negocio conjunto en la empresa Gas Sayago S.A., ya que ambas comparten el control y la influencia en la toma de decisiones de políticas operativas y financieras de la </w:t>
      </w:r>
      <w:r>
        <w:rPr>
          <w:rFonts w:cs="Arial"/>
          <w:szCs w:val="24"/>
        </w:rPr>
        <w:t>s</w:t>
      </w:r>
      <w:r w:rsidRPr="00D42AA2">
        <w:rPr>
          <w:rFonts w:cs="Arial"/>
          <w:szCs w:val="24"/>
        </w:rPr>
        <w:t>ociedad.</w:t>
      </w:r>
    </w:p>
    <w:p w:rsidR="00384886" w:rsidRPr="00D42AA2" w:rsidRDefault="00384886" w:rsidP="00E7424E">
      <w:pPr>
        <w:tabs>
          <w:tab w:val="left" w:pos="1701"/>
        </w:tabs>
        <w:spacing w:after="0" w:line="360" w:lineRule="auto"/>
        <w:ind w:left="426"/>
        <w:rPr>
          <w:rFonts w:cs="Arial"/>
          <w:szCs w:val="24"/>
        </w:rPr>
      </w:pPr>
      <w:r>
        <w:rPr>
          <w:rFonts w:cs="Arial"/>
          <w:szCs w:val="24"/>
        </w:rPr>
        <w:t xml:space="preserve">Gas Sayago </w:t>
      </w:r>
      <w:r w:rsidRPr="00D42AA2">
        <w:rPr>
          <w:rFonts w:cs="Arial"/>
          <w:szCs w:val="24"/>
        </w:rPr>
        <w:t>S.A.</w:t>
      </w:r>
      <w:r>
        <w:rPr>
          <w:rFonts w:cs="Arial"/>
          <w:szCs w:val="24"/>
        </w:rPr>
        <w:t>,</w:t>
      </w:r>
      <w:r w:rsidRPr="00D42AA2">
        <w:rPr>
          <w:rFonts w:cs="Arial"/>
          <w:szCs w:val="24"/>
        </w:rPr>
        <w:t xml:space="preserve"> </w:t>
      </w:r>
      <w:r>
        <w:rPr>
          <w:rFonts w:cs="Arial"/>
          <w:szCs w:val="24"/>
        </w:rPr>
        <w:t xml:space="preserve">aun </w:t>
      </w:r>
      <w:r w:rsidRPr="00D42AA2">
        <w:rPr>
          <w:rFonts w:cs="Arial"/>
          <w:szCs w:val="24"/>
        </w:rPr>
        <w:t>reconoci</w:t>
      </w:r>
      <w:r>
        <w:rPr>
          <w:rFonts w:cs="Arial"/>
          <w:szCs w:val="24"/>
        </w:rPr>
        <w:t>endo</w:t>
      </w:r>
      <w:r w:rsidRPr="00D42AA2">
        <w:rPr>
          <w:rFonts w:cs="Arial"/>
          <w:szCs w:val="24"/>
        </w:rPr>
        <w:t xml:space="preserve"> pérdidas por deterioro de</w:t>
      </w:r>
      <w:r>
        <w:rPr>
          <w:rFonts w:cs="Arial"/>
          <w:szCs w:val="24"/>
        </w:rPr>
        <w:t xml:space="preserve"> $43:</w:t>
      </w:r>
      <w:r w:rsidRPr="0069749B">
        <w:rPr>
          <w:rFonts w:cs="Arial"/>
          <w:szCs w:val="24"/>
        </w:rPr>
        <w:t>566.215</w:t>
      </w:r>
      <w:r>
        <w:rPr>
          <w:rFonts w:cs="Arial"/>
          <w:szCs w:val="24"/>
        </w:rPr>
        <w:t>,</w:t>
      </w:r>
      <w:r w:rsidRPr="00D42AA2">
        <w:rPr>
          <w:rFonts w:cs="Arial"/>
          <w:szCs w:val="24"/>
        </w:rPr>
        <w:t xml:space="preserve"> presentó un índice EBITDA negativo de $ 124</w:t>
      </w:r>
      <w:r>
        <w:rPr>
          <w:rFonts w:cs="Arial"/>
          <w:szCs w:val="24"/>
        </w:rPr>
        <w:t>:</w:t>
      </w:r>
      <w:r w:rsidRPr="00D42AA2">
        <w:rPr>
          <w:rFonts w:cs="Arial"/>
          <w:szCs w:val="24"/>
        </w:rPr>
        <w:t xml:space="preserve">072.819, </w:t>
      </w:r>
      <w:r>
        <w:rPr>
          <w:rFonts w:cs="Arial"/>
          <w:szCs w:val="24"/>
        </w:rPr>
        <w:t xml:space="preserve">manteniendo </w:t>
      </w:r>
      <w:r w:rsidRPr="00D42AA2">
        <w:rPr>
          <w:rFonts w:cs="Arial"/>
          <w:szCs w:val="24"/>
        </w:rPr>
        <w:t>indicios de deterioro cuyos efectos contables no fueron evaluados por el Ente en sus e</w:t>
      </w:r>
      <w:r>
        <w:rPr>
          <w:rFonts w:cs="Arial"/>
          <w:szCs w:val="24"/>
        </w:rPr>
        <w:t>stados Financieros Consolidados al 31/12/2017.</w:t>
      </w:r>
      <w:r w:rsidRPr="00E7424E">
        <w:rPr>
          <w:rFonts w:cs="Arial"/>
          <w:szCs w:val="24"/>
        </w:rPr>
        <w:t xml:space="preserve"> En julio de 2018 el Directorio de A</w:t>
      </w:r>
      <w:r>
        <w:rPr>
          <w:rFonts w:cs="Arial"/>
          <w:szCs w:val="24"/>
        </w:rPr>
        <w:t>NCAP</w:t>
      </w:r>
      <w:r w:rsidRPr="00E7424E">
        <w:rPr>
          <w:rFonts w:cs="Arial"/>
          <w:szCs w:val="24"/>
        </w:rPr>
        <w:t xml:space="preserve"> resolvió ofrecer las acciones de la compañía a la venta a través de un proceso competitivo a desarrollar por los accionistas. Dicho proceso se está</w:t>
      </w:r>
      <w:r>
        <w:rPr>
          <w:rFonts w:cs="Arial"/>
          <w:szCs w:val="24"/>
        </w:rPr>
        <w:t xml:space="preserve"> llevando a cabo</w:t>
      </w:r>
      <w:r w:rsidRPr="00E7424E">
        <w:rPr>
          <w:rFonts w:cs="Arial"/>
          <w:szCs w:val="24"/>
        </w:rPr>
        <w:t xml:space="preserve"> en  2019 y el mismo podría </w:t>
      </w:r>
      <w:r>
        <w:rPr>
          <w:rFonts w:cs="Arial"/>
          <w:szCs w:val="24"/>
        </w:rPr>
        <w:t>incidir</w:t>
      </w:r>
      <w:r w:rsidRPr="00E7424E">
        <w:rPr>
          <w:rFonts w:cs="Arial"/>
          <w:szCs w:val="24"/>
        </w:rPr>
        <w:t xml:space="preserve"> en el valor de la inversión.</w:t>
      </w:r>
    </w:p>
    <w:p w:rsidR="00384886" w:rsidRDefault="00384886" w:rsidP="0078736A">
      <w:pPr>
        <w:tabs>
          <w:tab w:val="left" w:pos="1701"/>
        </w:tabs>
        <w:spacing w:after="0" w:line="360" w:lineRule="auto"/>
        <w:ind w:left="426"/>
        <w:rPr>
          <w:rFonts w:cs="Arial"/>
          <w:szCs w:val="24"/>
        </w:rPr>
      </w:pPr>
      <w:r>
        <w:rPr>
          <w:rFonts w:cs="Arial"/>
          <w:szCs w:val="24"/>
        </w:rPr>
        <w:t>Asimismo, la situación de la empresa configura la causal prevista en el Artículo 293 de la Ley N° 16.060, en cuanto a la obligación de reducir su capital integrado.</w:t>
      </w:r>
    </w:p>
    <w:p w:rsidR="00384886" w:rsidRDefault="00384886" w:rsidP="0028503C">
      <w:pPr>
        <w:spacing w:after="0" w:line="360" w:lineRule="auto"/>
        <w:ind w:left="426"/>
        <w:rPr>
          <w:rFonts w:cs="Arial"/>
          <w:szCs w:val="24"/>
        </w:rPr>
      </w:pPr>
      <w:r w:rsidRPr="0028503C">
        <w:rPr>
          <w:rFonts w:cs="Arial"/>
          <w:szCs w:val="24"/>
        </w:rPr>
        <w:t>Los auditores externos se abstuvieron de emitir opinión sobre los Estados Financieros de Gas Sayago S.A. al 31/12/2017</w:t>
      </w:r>
      <w:r>
        <w:rPr>
          <w:rFonts w:cs="Arial"/>
          <w:szCs w:val="24"/>
        </w:rPr>
        <w:t xml:space="preserve"> y al 31/12/2018</w:t>
      </w:r>
      <w:r w:rsidRPr="0028503C">
        <w:rPr>
          <w:rFonts w:cs="Arial"/>
          <w:szCs w:val="24"/>
        </w:rPr>
        <w:t>.</w:t>
      </w:r>
    </w:p>
    <w:p w:rsidR="00384886" w:rsidRDefault="00384886" w:rsidP="0028503C">
      <w:pPr>
        <w:spacing w:after="0" w:line="360" w:lineRule="auto"/>
        <w:ind w:left="426"/>
        <w:rPr>
          <w:rFonts w:cs="Arial"/>
          <w:szCs w:val="24"/>
        </w:rPr>
      </w:pPr>
    </w:p>
    <w:p w:rsidR="00384886" w:rsidRDefault="00384886" w:rsidP="00E7424E">
      <w:pPr>
        <w:spacing w:after="0" w:line="360" w:lineRule="auto"/>
        <w:ind w:left="426"/>
        <w:rPr>
          <w:rFonts w:cs="Arial"/>
          <w:szCs w:val="24"/>
        </w:rPr>
      </w:pPr>
      <w:r w:rsidRPr="0028503C">
        <w:rPr>
          <w:rFonts w:cs="Arial"/>
          <w:b/>
          <w:szCs w:val="24"/>
        </w:rPr>
        <w:t>5.</w:t>
      </w:r>
      <w:r>
        <w:rPr>
          <w:rFonts w:cs="Arial"/>
          <w:szCs w:val="24"/>
        </w:rPr>
        <w:t xml:space="preserve"> No se constituyó provisión por la</w:t>
      </w:r>
      <w:r w:rsidRPr="0028503C">
        <w:rPr>
          <w:rFonts w:cs="Arial"/>
          <w:szCs w:val="24"/>
        </w:rPr>
        <w:t>s garantías otorgadas por ANCAP expuestas en la Nota 31, referidas a préstamos asumidos por Gas Sayago S.A. con la Corporación Andina de Foment</w:t>
      </w:r>
      <w:r>
        <w:rPr>
          <w:rFonts w:cs="Arial"/>
          <w:szCs w:val="24"/>
        </w:rPr>
        <w:t>o (CAF), hasta la suma de U$S82:</w:t>
      </w:r>
      <w:r w:rsidRPr="0028503C">
        <w:rPr>
          <w:rFonts w:cs="Arial"/>
          <w:szCs w:val="24"/>
        </w:rPr>
        <w:t xml:space="preserve">600.000 y por la que el Organismo es garante solidario, liso y llano </w:t>
      </w:r>
      <w:r>
        <w:rPr>
          <w:rFonts w:cs="Arial"/>
          <w:szCs w:val="24"/>
        </w:rPr>
        <w:t>pagador, conjuntamente con UTE.</w:t>
      </w:r>
      <w:r w:rsidRPr="00E7424E">
        <w:rPr>
          <w:rFonts w:cs="Arial"/>
          <w:szCs w:val="24"/>
        </w:rPr>
        <w:t xml:space="preserve"> El Poder Ejecutivo, en resolución de fecha 20/12/2018 dispuso que el saldo de dichas garantías sea  cancelado por los accionistas en función de su respectiva participación accionaria en la empresa Gas Sayago S.A</w:t>
      </w:r>
      <w:r>
        <w:rPr>
          <w:rFonts w:cs="Arial"/>
          <w:szCs w:val="24"/>
        </w:rPr>
        <w:t>.</w:t>
      </w:r>
      <w:r w:rsidRPr="00E7424E">
        <w:rPr>
          <w:rFonts w:cs="Arial"/>
          <w:szCs w:val="24"/>
        </w:rPr>
        <w:t>, habiéndose verificado el pago de</w:t>
      </w:r>
      <w:r>
        <w:rPr>
          <w:rFonts w:cs="Arial"/>
          <w:szCs w:val="24"/>
        </w:rPr>
        <w:t xml:space="preserve"> dicho</w:t>
      </w:r>
      <w:r w:rsidRPr="00E7424E">
        <w:rPr>
          <w:rFonts w:cs="Arial"/>
          <w:szCs w:val="24"/>
        </w:rPr>
        <w:t xml:space="preserve"> saldo</w:t>
      </w:r>
      <w:r w:rsidRPr="0099598E">
        <w:rPr>
          <w:rFonts w:cs="Arial"/>
          <w:szCs w:val="24"/>
        </w:rPr>
        <w:t xml:space="preserve"> </w:t>
      </w:r>
      <w:r>
        <w:rPr>
          <w:rFonts w:cs="Arial"/>
          <w:szCs w:val="24"/>
        </w:rPr>
        <w:t>de U$S 6:</w:t>
      </w:r>
      <w:r w:rsidRPr="00E7424E">
        <w:rPr>
          <w:rFonts w:cs="Arial"/>
          <w:szCs w:val="24"/>
        </w:rPr>
        <w:t>253.292</w:t>
      </w:r>
      <w:r>
        <w:rPr>
          <w:rFonts w:cs="Arial"/>
          <w:szCs w:val="24"/>
        </w:rPr>
        <w:t xml:space="preserve"> en el Ejercicio</w:t>
      </w:r>
      <w:r w:rsidRPr="00E7424E">
        <w:rPr>
          <w:rFonts w:cs="Arial"/>
          <w:szCs w:val="24"/>
        </w:rPr>
        <w:t xml:space="preserve"> 2018</w:t>
      </w:r>
      <w:r>
        <w:rPr>
          <w:rFonts w:cs="Arial"/>
          <w:szCs w:val="24"/>
        </w:rPr>
        <w:t>.</w:t>
      </w:r>
    </w:p>
    <w:p w:rsidR="00384886" w:rsidRPr="0035367D" w:rsidRDefault="00384886" w:rsidP="0078736A">
      <w:pPr>
        <w:tabs>
          <w:tab w:val="left" w:pos="1701"/>
        </w:tabs>
        <w:spacing w:after="0" w:line="360" w:lineRule="auto"/>
        <w:ind w:left="426"/>
        <w:rPr>
          <w:rFonts w:cs="Arial"/>
          <w:szCs w:val="24"/>
        </w:rPr>
      </w:pPr>
    </w:p>
    <w:p w:rsidR="00384886" w:rsidRPr="0035367D" w:rsidRDefault="00384886" w:rsidP="00CE352F">
      <w:pPr>
        <w:spacing w:after="0" w:line="360" w:lineRule="auto"/>
        <w:rPr>
          <w:rFonts w:cs="Arial"/>
          <w:b/>
          <w:szCs w:val="24"/>
        </w:rPr>
      </w:pPr>
      <w:r>
        <w:rPr>
          <w:rFonts w:cs="Arial"/>
          <w:b/>
          <w:szCs w:val="24"/>
        </w:rPr>
        <w:t>É</w:t>
      </w:r>
      <w:r w:rsidRPr="0035367D">
        <w:rPr>
          <w:rFonts w:cs="Arial"/>
          <w:b/>
          <w:szCs w:val="24"/>
        </w:rPr>
        <w:t>nfasis de asuntos</w:t>
      </w:r>
    </w:p>
    <w:p w:rsidR="00384886" w:rsidRDefault="00384886" w:rsidP="001E1879">
      <w:pPr>
        <w:spacing w:after="0" w:line="360" w:lineRule="auto"/>
        <w:rPr>
          <w:rFonts w:cs="Arial"/>
          <w:szCs w:val="24"/>
        </w:rPr>
      </w:pPr>
      <w:r w:rsidRPr="00D42AA2">
        <w:rPr>
          <w:rFonts w:cs="Arial"/>
          <w:szCs w:val="24"/>
        </w:rPr>
        <w:t xml:space="preserve">Sin afectar nuestra opinión, hacemos énfasis respecto a </w:t>
      </w:r>
      <w:r>
        <w:rPr>
          <w:rFonts w:cs="Arial"/>
          <w:szCs w:val="24"/>
        </w:rPr>
        <w:t>las</w:t>
      </w:r>
      <w:r w:rsidRPr="00D42AA2">
        <w:rPr>
          <w:rFonts w:cs="Arial"/>
          <w:szCs w:val="24"/>
        </w:rPr>
        <w:t xml:space="preserve"> situaciones</w:t>
      </w:r>
      <w:r>
        <w:rPr>
          <w:rFonts w:cs="Arial"/>
          <w:szCs w:val="24"/>
        </w:rPr>
        <w:t xml:space="preserve"> planteadas en las Notas 8, 18.d,</w:t>
      </w:r>
      <w:r w:rsidRPr="001E1879">
        <w:rPr>
          <w:rFonts w:cs="Arial"/>
          <w:szCs w:val="24"/>
        </w:rPr>
        <w:t xml:space="preserve"> 19.d</w:t>
      </w:r>
      <w:r>
        <w:rPr>
          <w:rFonts w:cs="Arial"/>
          <w:szCs w:val="24"/>
        </w:rPr>
        <w:t xml:space="preserve"> y 21 </w:t>
      </w:r>
      <w:r w:rsidRPr="001E1879">
        <w:rPr>
          <w:rFonts w:cs="Arial"/>
          <w:szCs w:val="24"/>
        </w:rPr>
        <w:t xml:space="preserve">a los Estados Financieros Consolidados, </w:t>
      </w:r>
      <w:r>
        <w:rPr>
          <w:rFonts w:cs="Arial"/>
          <w:szCs w:val="24"/>
        </w:rPr>
        <w:t xml:space="preserve">donde se </w:t>
      </w:r>
      <w:r w:rsidRPr="001E1879">
        <w:rPr>
          <w:rFonts w:cs="Arial"/>
          <w:szCs w:val="24"/>
        </w:rPr>
        <w:t xml:space="preserve">exponen las pérdidas por deterioro reconocidas por ANCAP y sus subsidiarias, </w:t>
      </w:r>
      <w:r>
        <w:rPr>
          <w:rFonts w:cs="Arial"/>
          <w:szCs w:val="24"/>
        </w:rPr>
        <w:t>así como la situación de sus inversiones en negocios conjuntos y de sus contingencias</w:t>
      </w:r>
      <w:r w:rsidRPr="001E1879">
        <w:rPr>
          <w:rFonts w:cs="Arial"/>
          <w:szCs w:val="24"/>
        </w:rPr>
        <w:t>:</w:t>
      </w:r>
    </w:p>
    <w:p w:rsidR="00384886" w:rsidRPr="005F74DE" w:rsidRDefault="00384886" w:rsidP="00384886">
      <w:pPr>
        <w:pStyle w:val="Prrafodelista"/>
        <w:numPr>
          <w:ilvl w:val="0"/>
          <w:numId w:val="3"/>
        </w:numPr>
        <w:spacing w:after="0" w:line="360" w:lineRule="auto"/>
        <w:rPr>
          <w:rFonts w:ascii="Arial" w:hAnsi="Arial" w:cs="Arial"/>
          <w:sz w:val="24"/>
          <w:szCs w:val="24"/>
        </w:rPr>
      </w:pPr>
      <w:r w:rsidRPr="005F74DE">
        <w:rPr>
          <w:rFonts w:ascii="Arial" w:hAnsi="Arial" w:cs="Arial"/>
          <w:sz w:val="24"/>
          <w:szCs w:val="24"/>
        </w:rPr>
        <w:t>con respecto a negocios gestionados por ANCAP:</w:t>
      </w:r>
    </w:p>
    <w:p w:rsidR="00384886" w:rsidRDefault="00384886" w:rsidP="00384886">
      <w:pPr>
        <w:pStyle w:val="Prrafodelista"/>
        <w:numPr>
          <w:ilvl w:val="0"/>
          <w:numId w:val="4"/>
        </w:numPr>
        <w:spacing w:after="0" w:line="360" w:lineRule="auto"/>
        <w:ind w:left="1276"/>
        <w:jc w:val="both"/>
        <w:rPr>
          <w:rFonts w:ascii="Arial" w:hAnsi="Arial" w:cs="Arial"/>
          <w:sz w:val="24"/>
          <w:szCs w:val="24"/>
        </w:rPr>
      </w:pPr>
      <w:r>
        <w:rPr>
          <w:rFonts w:ascii="Arial" w:hAnsi="Arial" w:cs="Arial"/>
          <w:sz w:val="24"/>
          <w:szCs w:val="24"/>
        </w:rPr>
        <w:t>en el</w:t>
      </w:r>
      <w:r w:rsidRPr="001E1879">
        <w:rPr>
          <w:rFonts w:ascii="Arial" w:hAnsi="Arial" w:cs="Arial"/>
          <w:sz w:val="24"/>
          <w:szCs w:val="24"/>
        </w:rPr>
        <w:t xml:space="preserve"> </w:t>
      </w:r>
      <w:r>
        <w:rPr>
          <w:rFonts w:ascii="Arial" w:hAnsi="Arial" w:cs="Arial"/>
          <w:sz w:val="24"/>
          <w:szCs w:val="24"/>
        </w:rPr>
        <w:t xml:space="preserve">negocio </w:t>
      </w:r>
      <w:r w:rsidRPr="001E1879">
        <w:rPr>
          <w:rFonts w:ascii="Arial" w:hAnsi="Arial" w:cs="Arial"/>
          <w:sz w:val="24"/>
          <w:szCs w:val="24"/>
        </w:rPr>
        <w:t>Portland,</w:t>
      </w:r>
      <w:r>
        <w:rPr>
          <w:rFonts w:ascii="Arial" w:hAnsi="Arial" w:cs="Arial"/>
          <w:sz w:val="24"/>
          <w:szCs w:val="24"/>
        </w:rPr>
        <w:t xml:space="preserve"> </w:t>
      </w:r>
      <w:r w:rsidRPr="001E1879">
        <w:rPr>
          <w:rFonts w:ascii="Arial" w:hAnsi="Arial" w:cs="Arial"/>
          <w:sz w:val="24"/>
          <w:szCs w:val="24"/>
        </w:rPr>
        <w:t xml:space="preserve">el importe reconocido </w:t>
      </w:r>
      <w:r>
        <w:rPr>
          <w:rFonts w:ascii="Arial" w:hAnsi="Arial" w:cs="Arial"/>
          <w:sz w:val="24"/>
          <w:szCs w:val="24"/>
        </w:rPr>
        <w:t>como pérdida fue</w:t>
      </w:r>
      <w:r w:rsidRPr="001E1879">
        <w:rPr>
          <w:rFonts w:ascii="Arial" w:hAnsi="Arial" w:cs="Arial"/>
          <w:sz w:val="24"/>
          <w:szCs w:val="24"/>
        </w:rPr>
        <w:t xml:space="preserve"> de </w:t>
      </w:r>
      <w:r>
        <w:rPr>
          <w:rFonts w:ascii="Arial" w:hAnsi="Arial" w:cs="Arial"/>
          <w:sz w:val="24"/>
          <w:szCs w:val="24"/>
        </w:rPr>
        <w:t>$60:</w:t>
      </w:r>
      <w:r w:rsidRPr="001E1879">
        <w:rPr>
          <w:rFonts w:ascii="Arial" w:hAnsi="Arial" w:cs="Arial"/>
          <w:sz w:val="24"/>
          <w:szCs w:val="24"/>
        </w:rPr>
        <w:t xml:space="preserve">918.000 en el </w:t>
      </w:r>
      <w:r>
        <w:rPr>
          <w:rFonts w:ascii="Arial" w:hAnsi="Arial" w:cs="Arial"/>
          <w:sz w:val="24"/>
          <w:szCs w:val="24"/>
        </w:rPr>
        <w:t>Ejercicio 2017 y de $ 3.620:</w:t>
      </w:r>
      <w:r w:rsidRPr="001E1879">
        <w:rPr>
          <w:rFonts w:ascii="Arial" w:hAnsi="Arial" w:cs="Arial"/>
          <w:sz w:val="24"/>
          <w:szCs w:val="24"/>
        </w:rPr>
        <w:t>759.155</w:t>
      </w:r>
      <w:r w:rsidRPr="00695336">
        <w:rPr>
          <w:rFonts w:ascii="Arial" w:hAnsi="Arial" w:cs="Arial"/>
          <w:sz w:val="24"/>
          <w:szCs w:val="24"/>
        </w:rPr>
        <w:t xml:space="preserve"> </w:t>
      </w:r>
      <w:r>
        <w:rPr>
          <w:rFonts w:ascii="Arial" w:hAnsi="Arial" w:cs="Arial"/>
          <w:sz w:val="24"/>
          <w:szCs w:val="24"/>
        </w:rPr>
        <w:t>en el E</w:t>
      </w:r>
      <w:r w:rsidRPr="001E1879">
        <w:rPr>
          <w:rFonts w:ascii="Arial" w:hAnsi="Arial" w:cs="Arial"/>
          <w:sz w:val="24"/>
          <w:szCs w:val="24"/>
        </w:rPr>
        <w:t>jercicio 2016</w:t>
      </w:r>
      <w:r>
        <w:rPr>
          <w:rFonts w:ascii="Arial" w:hAnsi="Arial" w:cs="Arial"/>
          <w:sz w:val="24"/>
          <w:szCs w:val="24"/>
        </w:rPr>
        <w:t>.</w:t>
      </w:r>
    </w:p>
    <w:p w:rsidR="00384886" w:rsidRDefault="00384886" w:rsidP="00384886">
      <w:pPr>
        <w:pStyle w:val="Prrafodelista"/>
        <w:numPr>
          <w:ilvl w:val="0"/>
          <w:numId w:val="4"/>
        </w:numPr>
        <w:spacing w:after="0" w:line="360" w:lineRule="auto"/>
        <w:ind w:left="1276"/>
        <w:jc w:val="both"/>
        <w:rPr>
          <w:rFonts w:ascii="Arial" w:hAnsi="Arial" w:cs="Arial"/>
          <w:sz w:val="24"/>
          <w:szCs w:val="24"/>
        </w:rPr>
      </w:pPr>
      <w:r>
        <w:rPr>
          <w:rFonts w:ascii="Arial" w:hAnsi="Arial" w:cs="Arial"/>
          <w:sz w:val="24"/>
          <w:szCs w:val="24"/>
        </w:rPr>
        <w:t xml:space="preserve">en </w:t>
      </w:r>
      <w:r w:rsidRPr="001E1879">
        <w:rPr>
          <w:rFonts w:ascii="Arial" w:hAnsi="Arial" w:cs="Arial"/>
          <w:sz w:val="24"/>
          <w:szCs w:val="24"/>
        </w:rPr>
        <w:t>la actividad “Exploración Plataforma Sísmica”, el deterioro de los activos intangibles</w:t>
      </w:r>
      <w:r>
        <w:rPr>
          <w:rFonts w:ascii="Arial" w:hAnsi="Arial" w:cs="Arial"/>
          <w:sz w:val="24"/>
          <w:szCs w:val="24"/>
        </w:rPr>
        <w:t xml:space="preserve"> registrado en el E</w:t>
      </w:r>
      <w:r w:rsidRPr="001E1879">
        <w:rPr>
          <w:rFonts w:ascii="Arial" w:hAnsi="Arial" w:cs="Arial"/>
          <w:sz w:val="24"/>
          <w:szCs w:val="24"/>
        </w:rPr>
        <w:t xml:space="preserve">jercicio 2017 </w:t>
      </w:r>
      <w:r>
        <w:rPr>
          <w:rFonts w:ascii="Arial" w:hAnsi="Arial" w:cs="Arial"/>
          <w:sz w:val="24"/>
          <w:szCs w:val="24"/>
        </w:rPr>
        <w:t>fue</w:t>
      </w:r>
      <w:r w:rsidRPr="001E1879">
        <w:rPr>
          <w:rFonts w:ascii="Arial" w:hAnsi="Arial" w:cs="Arial"/>
          <w:sz w:val="24"/>
          <w:szCs w:val="24"/>
        </w:rPr>
        <w:t xml:space="preserve"> de</w:t>
      </w:r>
      <w:r>
        <w:rPr>
          <w:rFonts w:ascii="Arial" w:hAnsi="Arial" w:cs="Arial"/>
          <w:sz w:val="24"/>
          <w:szCs w:val="24"/>
        </w:rPr>
        <w:t xml:space="preserve"> $15:</w:t>
      </w:r>
      <w:r w:rsidRPr="001E1879">
        <w:rPr>
          <w:rFonts w:ascii="Arial" w:hAnsi="Arial" w:cs="Arial"/>
          <w:sz w:val="24"/>
          <w:szCs w:val="24"/>
        </w:rPr>
        <w:t xml:space="preserve">232.909, y </w:t>
      </w:r>
      <w:r>
        <w:rPr>
          <w:rFonts w:ascii="Arial" w:hAnsi="Arial" w:cs="Arial"/>
          <w:sz w:val="24"/>
          <w:szCs w:val="24"/>
        </w:rPr>
        <w:t>en el E</w:t>
      </w:r>
      <w:r w:rsidRPr="001E1879">
        <w:rPr>
          <w:rFonts w:ascii="Arial" w:hAnsi="Arial" w:cs="Arial"/>
          <w:sz w:val="24"/>
          <w:szCs w:val="24"/>
        </w:rPr>
        <w:t>jercicio 2016 de $100:000.000.</w:t>
      </w:r>
    </w:p>
    <w:p w:rsidR="00384886" w:rsidRDefault="00384886" w:rsidP="00384886">
      <w:pPr>
        <w:pStyle w:val="Prrafodelista"/>
        <w:numPr>
          <w:ilvl w:val="0"/>
          <w:numId w:val="3"/>
        </w:numPr>
        <w:spacing w:after="0" w:line="360" w:lineRule="auto"/>
        <w:jc w:val="both"/>
        <w:rPr>
          <w:rFonts w:ascii="Arial" w:hAnsi="Arial" w:cs="Arial"/>
          <w:sz w:val="24"/>
          <w:szCs w:val="24"/>
        </w:rPr>
      </w:pPr>
      <w:r w:rsidRPr="002F3454">
        <w:rPr>
          <w:rFonts w:ascii="Arial" w:hAnsi="Arial" w:cs="Arial"/>
          <w:sz w:val="24"/>
          <w:szCs w:val="24"/>
        </w:rPr>
        <w:t>en cuanto al negocio “Caña, Cereales y Oleaginosos”</w:t>
      </w:r>
      <w:r>
        <w:rPr>
          <w:rFonts w:ascii="Arial" w:hAnsi="Arial" w:cs="Arial"/>
          <w:sz w:val="24"/>
          <w:szCs w:val="24"/>
        </w:rPr>
        <w:t xml:space="preserve">, </w:t>
      </w:r>
      <w:r w:rsidRPr="002F3454">
        <w:rPr>
          <w:rFonts w:ascii="Arial" w:hAnsi="Arial" w:cs="Arial"/>
          <w:sz w:val="24"/>
          <w:szCs w:val="24"/>
        </w:rPr>
        <w:t>que gestiona ALUR S.A.,</w:t>
      </w:r>
      <w:r>
        <w:rPr>
          <w:rFonts w:ascii="Arial" w:hAnsi="Arial" w:cs="Arial"/>
          <w:sz w:val="24"/>
          <w:szCs w:val="24"/>
        </w:rPr>
        <w:t xml:space="preserve"> empresa de la cual ANCAP es propietaria del 90.79% de su capital accionario, </w:t>
      </w:r>
      <w:r w:rsidRPr="001E1879">
        <w:rPr>
          <w:rFonts w:ascii="Arial" w:hAnsi="Arial" w:cs="Arial"/>
          <w:sz w:val="24"/>
          <w:szCs w:val="24"/>
        </w:rPr>
        <w:t>el importe reconocido</w:t>
      </w:r>
      <w:r>
        <w:rPr>
          <w:rFonts w:ascii="Arial" w:hAnsi="Arial" w:cs="Arial"/>
          <w:sz w:val="24"/>
          <w:szCs w:val="24"/>
        </w:rPr>
        <w:t xml:space="preserve"> como pérdida por deterioro en el Ejercicio 2017 fue de $258:084.448</w:t>
      </w:r>
      <w:r w:rsidRPr="00CC4A4E">
        <w:rPr>
          <w:rFonts w:ascii="Arial" w:hAnsi="Arial" w:cs="Arial"/>
          <w:sz w:val="24"/>
          <w:szCs w:val="24"/>
        </w:rPr>
        <w:t xml:space="preserve"> </w:t>
      </w:r>
      <w:r>
        <w:rPr>
          <w:rFonts w:ascii="Arial" w:hAnsi="Arial" w:cs="Arial"/>
          <w:sz w:val="24"/>
          <w:szCs w:val="24"/>
        </w:rPr>
        <w:t>y en el E</w:t>
      </w:r>
      <w:r w:rsidRPr="001E1879">
        <w:rPr>
          <w:rFonts w:ascii="Arial" w:hAnsi="Arial" w:cs="Arial"/>
          <w:sz w:val="24"/>
          <w:szCs w:val="24"/>
        </w:rPr>
        <w:t>jercicio 2016 de</w:t>
      </w:r>
      <w:r>
        <w:rPr>
          <w:rFonts w:ascii="Arial" w:hAnsi="Arial" w:cs="Arial"/>
          <w:sz w:val="24"/>
          <w:szCs w:val="24"/>
        </w:rPr>
        <w:t xml:space="preserve">               $ 838:882.444.-</w:t>
      </w:r>
    </w:p>
    <w:p w:rsidR="00384886" w:rsidRPr="00D64D45" w:rsidRDefault="00384886" w:rsidP="00D64D45">
      <w:pPr>
        <w:pStyle w:val="Prrafodelista"/>
        <w:spacing w:after="0" w:line="360" w:lineRule="auto"/>
        <w:jc w:val="both"/>
        <w:rPr>
          <w:rFonts w:ascii="Arial" w:hAnsi="Arial" w:cs="Arial"/>
          <w:sz w:val="24"/>
          <w:szCs w:val="24"/>
        </w:rPr>
      </w:pPr>
    </w:p>
    <w:p w:rsidR="00384886" w:rsidRDefault="00384886" w:rsidP="0065043A">
      <w:pPr>
        <w:spacing w:after="0" w:line="360" w:lineRule="auto"/>
        <w:rPr>
          <w:rFonts w:cs="Arial"/>
          <w:b/>
          <w:bCs/>
          <w:szCs w:val="24"/>
        </w:rPr>
      </w:pPr>
      <w:r w:rsidRPr="0078736A">
        <w:rPr>
          <w:rFonts w:cs="Arial"/>
          <w:b/>
          <w:bCs/>
          <w:szCs w:val="24"/>
        </w:rPr>
        <w:t>Responsabilidad de</w:t>
      </w:r>
      <w:r>
        <w:rPr>
          <w:rFonts w:cs="Arial"/>
          <w:b/>
          <w:bCs/>
          <w:szCs w:val="24"/>
        </w:rPr>
        <w:t>l Directorio en relación con los estados f</w:t>
      </w:r>
      <w:r w:rsidRPr="0078736A">
        <w:rPr>
          <w:rFonts w:cs="Arial"/>
          <w:b/>
          <w:bCs/>
          <w:szCs w:val="24"/>
        </w:rPr>
        <w:t>inancieros</w:t>
      </w:r>
      <w:r>
        <w:rPr>
          <w:rFonts w:cs="Arial"/>
          <w:b/>
          <w:bCs/>
          <w:szCs w:val="24"/>
        </w:rPr>
        <w:t xml:space="preserve"> consolidados</w:t>
      </w:r>
    </w:p>
    <w:p w:rsidR="00384886" w:rsidRDefault="00384886" w:rsidP="0065043A">
      <w:pPr>
        <w:spacing w:after="0" w:line="360" w:lineRule="auto"/>
        <w:rPr>
          <w:rFonts w:cs="Arial"/>
          <w:szCs w:val="24"/>
        </w:rPr>
      </w:pPr>
      <w:r w:rsidRPr="0078736A">
        <w:rPr>
          <w:rFonts w:cs="Arial"/>
          <w:szCs w:val="24"/>
        </w:rPr>
        <w:t>El Directorio de ANCAP es responsable por la preparación y presentación razonable de los estados financieros consolidados de acuerdo con normas contables adecuadas en Uruguay y la Ordenanza Nº 89 del Tribunal de Cuentas, y del control interno que la administración de la entidad consideró necesario para permitir la preparación de estados financieros</w:t>
      </w:r>
      <w:r>
        <w:rPr>
          <w:rFonts w:cs="Arial"/>
          <w:szCs w:val="24"/>
        </w:rPr>
        <w:t xml:space="preserve"> consolidados</w:t>
      </w:r>
      <w:r w:rsidRPr="0078736A">
        <w:rPr>
          <w:rFonts w:cs="Arial"/>
          <w:szCs w:val="24"/>
        </w:rPr>
        <w:t xml:space="preserve"> libres de errores significativos ya sea debido a fraude o error.</w:t>
      </w:r>
    </w:p>
    <w:p w:rsidR="00384886" w:rsidRDefault="00384886" w:rsidP="000F12F3">
      <w:pPr>
        <w:spacing w:after="0" w:line="360" w:lineRule="auto"/>
        <w:rPr>
          <w:rFonts w:cs="Arial"/>
          <w:szCs w:val="24"/>
        </w:rPr>
      </w:pPr>
      <w:r w:rsidRPr="0078736A">
        <w:rPr>
          <w:rFonts w:cs="Arial"/>
          <w:szCs w:val="24"/>
        </w:rPr>
        <w:t>El Directorio es responsable de supervisar el proceso de preparación de los estados financieros consolidados de ANCAP y sus subsidiarias.</w:t>
      </w:r>
    </w:p>
    <w:p w:rsidR="00384886" w:rsidRPr="000F12F3" w:rsidRDefault="00384886" w:rsidP="000F12F3">
      <w:pPr>
        <w:spacing w:after="0" w:line="360" w:lineRule="auto"/>
        <w:rPr>
          <w:rFonts w:cs="Arial"/>
          <w:szCs w:val="24"/>
        </w:rPr>
      </w:pPr>
    </w:p>
    <w:p w:rsidR="00384886" w:rsidRPr="0065043A" w:rsidRDefault="00384886" w:rsidP="0065043A">
      <w:pPr>
        <w:pStyle w:val="Textoindependiente"/>
        <w:keepNext/>
        <w:widowControl w:val="0"/>
        <w:tabs>
          <w:tab w:val="num" w:pos="142"/>
        </w:tabs>
        <w:spacing w:line="360" w:lineRule="auto"/>
        <w:rPr>
          <w:rFonts w:cs="Arial"/>
          <w:b/>
          <w:bCs/>
          <w:szCs w:val="24"/>
        </w:rPr>
      </w:pPr>
      <w:r w:rsidRPr="0065043A">
        <w:rPr>
          <w:rFonts w:cs="Arial"/>
          <w:b/>
          <w:bCs/>
          <w:szCs w:val="24"/>
        </w:rPr>
        <w:t xml:space="preserve">Responsabilidad del Tribunal de </w:t>
      </w:r>
      <w:r>
        <w:rPr>
          <w:rFonts w:cs="Arial"/>
          <w:b/>
          <w:bCs/>
          <w:szCs w:val="24"/>
        </w:rPr>
        <w:t>C</w:t>
      </w:r>
      <w:r w:rsidRPr="0065043A">
        <w:rPr>
          <w:rFonts w:cs="Arial"/>
          <w:b/>
          <w:bCs/>
          <w:szCs w:val="24"/>
        </w:rPr>
        <w:t>uentas por la auditoría de los estados financieros consolidados</w:t>
      </w:r>
    </w:p>
    <w:p w:rsidR="00384886" w:rsidRPr="0065043A" w:rsidRDefault="00384886" w:rsidP="0065043A">
      <w:pPr>
        <w:pStyle w:val="Textoindependiente"/>
        <w:keepNext/>
        <w:widowControl w:val="0"/>
        <w:tabs>
          <w:tab w:val="num" w:pos="142"/>
        </w:tabs>
        <w:spacing w:line="360" w:lineRule="auto"/>
        <w:rPr>
          <w:rFonts w:cs="Arial"/>
          <w:szCs w:val="24"/>
        </w:rPr>
      </w:pPr>
      <w:r w:rsidRPr="0065043A">
        <w:rPr>
          <w:rFonts w:cs="Arial"/>
          <w:bCs/>
          <w:szCs w:val="24"/>
        </w:rPr>
        <w:t>El objetivo de la auditoría consiste en obtener una seguridad razonable acerca</w:t>
      </w:r>
      <w:r w:rsidRPr="0065043A">
        <w:rPr>
          <w:rFonts w:cs="Arial"/>
          <w:szCs w:val="24"/>
        </w:rPr>
        <w:t xml:space="preserve"> de que los estados financieros consolidados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384886" w:rsidRPr="006C2EEF" w:rsidRDefault="00384886" w:rsidP="0078736A">
      <w:pPr>
        <w:spacing w:after="0" w:line="360" w:lineRule="auto"/>
        <w:rPr>
          <w:rFonts w:cs="Arial"/>
          <w:szCs w:val="24"/>
        </w:rPr>
      </w:pPr>
      <w:r w:rsidRPr="0065043A">
        <w:rPr>
          <w:rFonts w:cs="Arial"/>
          <w:szCs w:val="24"/>
        </w:rPr>
        <w:t>Como parte de una auditoría de acuerdo con las ISSAI referidas en la sección</w:t>
      </w:r>
      <w:r w:rsidRPr="006C2EEF">
        <w:rPr>
          <w:rFonts w:cs="Arial"/>
          <w:szCs w:val="24"/>
        </w:rPr>
        <w:t xml:space="preserve"> </w:t>
      </w:r>
      <w:r w:rsidRPr="006C2EEF">
        <w:rPr>
          <w:rFonts w:cs="Arial"/>
          <w:i/>
          <w:szCs w:val="24"/>
        </w:rPr>
        <w:t>Bases para la Opinión</w:t>
      </w:r>
      <w:r>
        <w:rPr>
          <w:rFonts w:cs="Arial"/>
          <w:i/>
          <w:szCs w:val="24"/>
        </w:rPr>
        <w:t xml:space="preserve"> con Salvedades</w:t>
      </w:r>
      <w:r w:rsidRPr="006C2EEF">
        <w:rPr>
          <w:rFonts w:cs="Arial"/>
          <w:szCs w:val="24"/>
        </w:rPr>
        <w:t>, el Tribunal de Cuentas aplica su juicio profesional y mantiene el escepticismo profesional durante el proceso de auditoría. Asimismo:</w:t>
      </w:r>
    </w:p>
    <w:p w:rsidR="00384886" w:rsidRPr="0078736A" w:rsidRDefault="00384886" w:rsidP="00384886">
      <w:pPr>
        <w:pStyle w:val="Prrafodelista"/>
        <w:numPr>
          <w:ilvl w:val="0"/>
          <w:numId w:val="2"/>
        </w:numPr>
        <w:spacing w:after="0" w:line="360" w:lineRule="auto"/>
        <w:ind w:left="714" w:hanging="357"/>
        <w:jc w:val="both"/>
        <w:rPr>
          <w:rFonts w:ascii="Arial" w:hAnsi="Arial" w:cs="Arial"/>
          <w:sz w:val="24"/>
          <w:szCs w:val="24"/>
        </w:rPr>
      </w:pPr>
      <w:r w:rsidRPr="0078736A">
        <w:rPr>
          <w:rFonts w:ascii="Arial" w:hAnsi="Arial" w:cs="Arial"/>
          <w:sz w:val="24"/>
          <w:szCs w:val="24"/>
        </w:rPr>
        <w:t>Identifica y evalúa el riesgo de que existan errores significativos en los estados financieros</w:t>
      </w:r>
      <w:r>
        <w:rPr>
          <w:rFonts w:ascii="Arial" w:hAnsi="Arial" w:cs="Arial"/>
          <w:sz w:val="24"/>
          <w:szCs w:val="24"/>
        </w:rPr>
        <w:t xml:space="preserve"> consolidados</w:t>
      </w:r>
      <w:r w:rsidRPr="0078736A">
        <w:rPr>
          <w:rFonts w:ascii="Arial" w:hAnsi="Arial" w:cs="Arial"/>
          <w:sz w:val="24"/>
          <w:szCs w:val="24"/>
        </w:rPr>
        <w:t>,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4D3024">
        <w:rPr>
          <w:rFonts w:ascii="Arial" w:hAnsi="Arial" w:cs="Arial"/>
          <w:sz w:val="24"/>
          <w:szCs w:val="24"/>
        </w:rPr>
        <w:t>artamientos de control interno.</w:t>
      </w:r>
    </w:p>
    <w:p w:rsidR="00384886" w:rsidRPr="0078736A" w:rsidRDefault="00384886" w:rsidP="00384886">
      <w:pPr>
        <w:pStyle w:val="Prrafodelista"/>
        <w:numPr>
          <w:ilvl w:val="0"/>
          <w:numId w:val="2"/>
        </w:numPr>
        <w:spacing w:after="0" w:line="360" w:lineRule="auto"/>
        <w:ind w:left="714" w:hanging="357"/>
        <w:jc w:val="both"/>
        <w:rPr>
          <w:rFonts w:ascii="Arial" w:hAnsi="Arial" w:cs="Arial"/>
          <w:sz w:val="24"/>
          <w:szCs w:val="24"/>
        </w:rPr>
      </w:pPr>
      <w:r w:rsidRPr="0078736A">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384886" w:rsidRPr="0078736A" w:rsidRDefault="00384886" w:rsidP="00384886">
      <w:pPr>
        <w:pStyle w:val="Prrafodelista"/>
        <w:numPr>
          <w:ilvl w:val="0"/>
          <w:numId w:val="2"/>
        </w:numPr>
        <w:spacing w:after="0" w:line="360" w:lineRule="auto"/>
        <w:ind w:left="714" w:hanging="357"/>
        <w:jc w:val="both"/>
        <w:rPr>
          <w:rFonts w:ascii="Arial" w:hAnsi="Arial" w:cs="Arial"/>
          <w:sz w:val="24"/>
          <w:szCs w:val="24"/>
        </w:rPr>
      </w:pPr>
      <w:r w:rsidRPr="0078736A">
        <w:rPr>
          <w:rFonts w:ascii="Arial" w:hAnsi="Arial" w:cs="Arial"/>
          <w:sz w:val="24"/>
          <w:szCs w:val="24"/>
        </w:rPr>
        <w:t>Evalúa lo adecuado de las políticas contables adoptadas, la razonabilidad de las estimaciones contables y las revelaciones relacionadas realizadas por la Dirección.</w:t>
      </w:r>
    </w:p>
    <w:p w:rsidR="00384886" w:rsidRDefault="00384886" w:rsidP="00384886">
      <w:pPr>
        <w:pStyle w:val="Prrafodelista"/>
        <w:numPr>
          <w:ilvl w:val="0"/>
          <w:numId w:val="2"/>
        </w:numPr>
        <w:spacing w:after="0" w:line="360" w:lineRule="auto"/>
        <w:ind w:left="714" w:hanging="357"/>
        <w:jc w:val="both"/>
        <w:rPr>
          <w:rFonts w:ascii="Arial" w:hAnsi="Arial" w:cs="Arial"/>
          <w:sz w:val="24"/>
          <w:szCs w:val="24"/>
        </w:rPr>
      </w:pPr>
      <w:r w:rsidRPr="0078736A">
        <w:rPr>
          <w:rFonts w:ascii="Arial" w:hAnsi="Arial" w:cs="Arial"/>
          <w:sz w:val="24"/>
          <w:szCs w:val="24"/>
        </w:rPr>
        <w:t>Evalúa la presentación general, la estructura y  contenido de los estados financieros consolidados, incluyendo las revelaciones y si los estados financieros consolidados representan las transacciones y eventos subyacentes de un modo que se logre una representación fiel de los mismos.</w:t>
      </w:r>
    </w:p>
    <w:p w:rsidR="00384886" w:rsidRPr="0078736A" w:rsidRDefault="00384886" w:rsidP="00393D0A">
      <w:pPr>
        <w:pStyle w:val="Prrafodelista"/>
        <w:spacing w:after="0" w:line="360" w:lineRule="auto"/>
        <w:ind w:left="714"/>
        <w:jc w:val="both"/>
        <w:rPr>
          <w:rFonts w:ascii="Arial" w:hAnsi="Arial" w:cs="Arial"/>
          <w:sz w:val="24"/>
          <w:szCs w:val="24"/>
        </w:rPr>
      </w:pPr>
    </w:p>
    <w:p w:rsidR="00384886" w:rsidRPr="00AD7B50" w:rsidRDefault="00384886" w:rsidP="00AD7B50">
      <w:pPr>
        <w:spacing w:after="0" w:line="360" w:lineRule="auto"/>
        <w:rPr>
          <w:rFonts w:cs="Arial"/>
          <w:szCs w:val="24"/>
        </w:rPr>
      </w:pPr>
      <w:r w:rsidRPr="009E2164">
        <w:rPr>
          <w:rFonts w:cs="Arial"/>
          <w:szCs w:val="24"/>
        </w:rPr>
        <w:t xml:space="preserve">El Tribunal de Cuentas se comunicó con el Directorio, en relación, entre otros asuntos, </w:t>
      </w:r>
      <w:r>
        <w:rPr>
          <w:rFonts w:cs="Arial"/>
          <w:szCs w:val="24"/>
        </w:rPr>
        <w:t xml:space="preserve">al alcance y la oportunidad de los procedimientos de auditoría, </w:t>
      </w:r>
      <w:r w:rsidRPr="009E2164">
        <w:rPr>
          <w:rFonts w:cs="Arial"/>
          <w:szCs w:val="24"/>
        </w:rPr>
        <w:t>los hallazgos significativos de auditoría incluidos, en caso de corresponder, y las deficiencias significativas en el control int</w:t>
      </w:r>
      <w:r>
        <w:rPr>
          <w:rFonts w:cs="Arial"/>
          <w:szCs w:val="24"/>
        </w:rPr>
        <w:t xml:space="preserve">erno que se identificaron en el </w:t>
      </w:r>
      <w:r w:rsidRPr="009E2164">
        <w:rPr>
          <w:rFonts w:cs="Arial"/>
          <w:szCs w:val="24"/>
        </w:rPr>
        <w:t>transcurso de la auditoría.</w:t>
      </w:r>
    </w:p>
    <w:p w:rsidR="00384886" w:rsidRDefault="00384886" w:rsidP="00951D67">
      <w:pPr>
        <w:spacing w:line="360" w:lineRule="auto"/>
        <w:ind w:left="709"/>
        <w:jc w:val="right"/>
        <w:rPr>
          <w:rFonts w:cs="Arial"/>
          <w:bCs/>
          <w:szCs w:val="24"/>
        </w:rPr>
      </w:pPr>
      <w:r>
        <w:rPr>
          <w:rFonts w:cs="Arial"/>
          <w:bCs/>
          <w:szCs w:val="24"/>
        </w:rPr>
        <w:t>Montevideo,</w:t>
      </w:r>
      <w:r w:rsidR="004D3024">
        <w:rPr>
          <w:rFonts w:cs="Arial"/>
          <w:bCs/>
          <w:szCs w:val="24"/>
        </w:rPr>
        <w:t xml:space="preserve"> 18 de enero de 2019</w:t>
      </w:r>
    </w:p>
    <w:p w:rsidR="00384886" w:rsidRDefault="00384886" w:rsidP="00951D67">
      <w:pPr>
        <w:spacing w:line="360" w:lineRule="auto"/>
        <w:ind w:left="709"/>
        <w:jc w:val="right"/>
        <w:rPr>
          <w:rFonts w:cs="Arial"/>
          <w:bCs/>
          <w:szCs w:val="24"/>
        </w:rPr>
      </w:pPr>
    </w:p>
    <w:p w:rsidR="00384886" w:rsidRDefault="00384886" w:rsidP="00951D67">
      <w:pPr>
        <w:spacing w:line="360" w:lineRule="auto"/>
        <w:ind w:left="709"/>
        <w:jc w:val="right"/>
        <w:rPr>
          <w:rFonts w:cs="Arial"/>
          <w:bCs/>
          <w:szCs w:val="24"/>
        </w:rPr>
      </w:pPr>
    </w:p>
    <w:p w:rsidR="00384886" w:rsidRDefault="00384886" w:rsidP="00951D67">
      <w:pPr>
        <w:spacing w:line="360" w:lineRule="auto"/>
        <w:ind w:left="709"/>
        <w:jc w:val="right"/>
        <w:rPr>
          <w:rFonts w:cs="Arial"/>
          <w:bCs/>
          <w:szCs w:val="24"/>
        </w:rPr>
      </w:pPr>
    </w:p>
    <w:p w:rsidR="00384886" w:rsidRPr="006E7895" w:rsidRDefault="00384886" w:rsidP="00AA7426">
      <w:pPr>
        <w:spacing w:line="360" w:lineRule="auto"/>
        <w:ind w:left="709" w:hanging="993"/>
        <w:jc w:val="left"/>
        <w:rPr>
          <w:rFonts w:cs="Arial"/>
          <w:bCs/>
          <w:szCs w:val="24"/>
        </w:rPr>
      </w:pPr>
      <w:proofErr w:type="gramStart"/>
      <w:r>
        <w:rPr>
          <w:rFonts w:cs="Arial"/>
          <w:bCs/>
          <w:szCs w:val="24"/>
        </w:rPr>
        <w:t>dc</w:t>
      </w:r>
      <w:proofErr w:type="gramEnd"/>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Default="00384886" w:rsidP="003D610E">
      <w:pPr>
        <w:ind w:hanging="426"/>
      </w:pPr>
    </w:p>
    <w:p w:rsidR="004D3024" w:rsidRDefault="004D3024" w:rsidP="003D610E">
      <w:pPr>
        <w:ind w:hanging="426"/>
      </w:pPr>
    </w:p>
    <w:p w:rsidR="004D3024" w:rsidRDefault="004D3024" w:rsidP="003D610E">
      <w:pPr>
        <w:ind w:hanging="426"/>
      </w:pPr>
    </w:p>
    <w:p w:rsidR="004D3024" w:rsidRDefault="004D3024" w:rsidP="003D610E">
      <w:pPr>
        <w:ind w:hanging="426"/>
      </w:pPr>
    </w:p>
    <w:p w:rsidR="004D3024" w:rsidRDefault="004D3024" w:rsidP="003D610E">
      <w:pPr>
        <w:ind w:hanging="426"/>
      </w:pPr>
    </w:p>
    <w:p w:rsidR="004D3024" w:rsidRDefault="004D3024" w:rsidP="003D610E">
      <w:pPr>
        <w:ind w:hanging="426"/>
      </w:pPr>
    </w:p>
    <w:p w:rsidR="004D3024" w:rsidRDefault="004D3024" w:rsidP="003D610E">
      <w:pPr>
        <w:ind w:hanging="426"/>
      </w:pPr>
    </w:p>
    <w:p w:rsidR="00384886" w:rsidRDefault="00384886" w:rsidP="002D2D3B">
      <w:pPr>
        <w:pStyle w:val="Encabezado"/>
        <w:jc w:val="center"/>
        <w:rPr>
          <w:rFonts w:ascii="Arial" w:hAnsi="Arial" w:cs="Arial"/>
          <w:b/>
          <w:szCs w:val="24"/>
        </w:rPr>
      </w:pPr>
      <w:r w:rsidRPr="004D3024">
        <w:rPr>
          <w:rFonts w:ascii="Arial" w:hAnsi="Arial" w:cs="Arial"/>
          <w:b/>
          <w:szCs w:val="24"/>
        </w:rPr>
        <w:t>DICTAMEN</w:t>
      </w:r>
    </w:p>
    <w:p w:rsidR="00384886" w:rsidRDefault="00384886" w:rsidP="0028634B">
      <w:pPr>
        <w:pStyle w:val="Textoindependiente"/>
        <w:keepNext/>
        <w:widowControl w:val="0"/>
        <w:spacing w:line="360" w:lineRule="auto"/>
        <w:rPr>
          <w:rFonts w:cs="Arial"/>
          <w:b/>
          <w:szCs w:val="24"/>
        </w:rPr>
      </w:pPr>
      <w:r w:rsidRPr="00011F6A">
        <w:rPr>
          <w:rFonts w:cs="Arial"/>
          <w:b/>
          <w:szCs w:val="24"/>
        </w:rPr>
        <w:t xml:space="preserve">Opinión </w:t>
      </w:r>
      <w:r>
        <w:rPr>
          <w:rFonts w:cs="Arial"/>
          <w:b/>
          <w:szCs w:val="24"/>
        </w:rPr>
        <w:t>con Salvedades</w:t>
      </w:r>
    </w:p>
    <w:p w:rsidR="00384886" w:rsidRPr="00193217" w:rsidRDefault="00384886" w:rsidP="0028634B">
      <w:pPr>
        <w:pStyle w:val="Textoindependiente"/>
        <w:keepNext/>
        <w:widowControl w:val="0"/>
        <w:spacing w:line="360" w:lineRule="auto"/>
        <w:rPr>
          <w:rFonts w:cs="Arial"/>
          <w:szCs w:val="24"/>
        </w:rPr>
      </w:pPr>
      <w:r w:rsidRPr="00193217">
        <w:rPr>
          <w:rFonts w:cs="Arial"/>
          <w:szCs w:val="24"/>
        </w:rPr>
        <w:t xml:space="preserve">El Tribunal de Cuentas ha </w:t>
      </w:r>
      <w:r>
        <w:rPr>
          <w:rFonts w:cs="Arial"/>
          <w:szCs w:val="24"/>
        </w:rPr>
        <w:t>auditado</w:t>
      </w:r>
      <w:r w:rsidRPr="00193217">
        <w:rPr>
          <w:rFonts w:cs="Arial"/>
          <w:szCs w:val="24"/>
        </w:rPr>
        <w:t xml:space="preserve"> los </w:t>
      </w:r>
      <w:r>
        <w:rPr>
          <w:rFonts w:cs="Arial"/>
          <w:szCs w:val="24"/>
        </w:rPr>
        <w:t>e</w:t>
      </w:r>
      <w:r w:rsidRPr="00193217">
        <w:rPr>
          <w:rFonts w:cs="Arial"/>
          <w:szCs w:val="24"/>
        </w:rPr>
        <w:t xml:space="preserve">stados </w:t>
      </w:r>
      <w:r>
        <w:rPr>
          <w:rFonts w:cs="Arial"/>
          <w:szCs w:val="24"/>
        </w:rPr>
        <w:t>f</w:t>
      </w:r>
      <w:r w:rsidRPr="00193217">
        <w:rPr>
          <w:rFonts w:cs="Arial"/>
          <w:szCs w:val="24"/>
        </w:rPr>
        <w:t xml:space="preserve">inancieros </w:t>
      </w:r>
      <w:r>
        <w:rPr>
          <w:rFonts w:cs="Arial"/>
          <w:szCs w:val="24"/>
        </w:rPr>
        <w:t xml:space="preserve">individuales </w:t>
      </w:r>
      <w:r w:rsidRPr="00193217">
        <w:rPr>
          <w:rFonts w:cs="Arial"/>
          <w:szCs w:val="24"/>
        </w:rPr>
        <w:t xml:space="preserve">de la Administración Nacional de Combustibles, Alcohol y Portland (ANCAP) </w:t>
      </w:r>
      <w:r>
        <w:rPr>
          <w:rFonts w:cs="Arial"/>
          <w:szCs w:val="24"/>
        </w:rPr>
        <w:t xml:space="preserve">los </w:t>
      </w:r>
      <w:r w:rsidRPr="00193217">
        <w:rPr>
          <w:rFonts w:cs="Arial"/>
          <w:szCs w:val="24"/>
        </w:rPr>
        <w:t>que comprenden el Estado de Situación Financiera al 31 de diciembre de 2017, los correspondientes Estados de Resultados, de Resultados Integral</w:t>
      </w:r>
      <w:r>
        <w:rPr>
          <w:rFonts w:cs="Arial"/>
          <w:szCs w:val="24"/>
        </w:rPr>
        <w:t>es</w:t>
      </w:r>
      <w:r w:rsidRPr="00193217">
        <w:rPr>
          <w:rFonts w:cs="Arial"/>
          <w:szCs w:val="24"/>
        </w:rPr>
        <w:t>, de Flujos de Efectivo y de C</w:t>
      </w:r>
      <w:r>
        <w:rPr>
          <w:rFonts w:cs="Arial"/>
          <w:szCs w:val="24"/>
        </w:rPr>
        <w:t>ambios en el Patrimonio por el E</w:t>
      </w:r>
      <w:r w:rsidRPr="00193217">
        <w:rPr>
          <w:rFonts w:cs="Arial"/>
          <w:szCs w:val="24"/>
        </w:rPr>
        <w:t>jercicio anual finalizado en esa fecha, las Notas de políticas contables si</w:t>
      </w:r>
      <w:r>
        <w:rPr>
          <w:rFonts w:cs="Arial"/>
          <w:szCs w:val="24"/>
        </w:rPr>
        <w:t>gnificativas aplicadas y</w:t>
      </w:r>
      <w:r w:rsidRPr="00193217">
        <w:rPr>
          <w:rFonts w:cs="Arial"/>
          <w:szCs w:val="24"/>
        </w:rPr>
        <w:t xml:space="preserve"> otras </w:t>
      </w:r>
      <w:r>
        <w:rPr>
          <w:rFonts w:cs="Arial"/>
          <w:szCs w:val="24"/>
        </w:rPr>
        <w:t>notas explicativas y los Anexos</w:t>
      </w:r>
      <w:r w:rsidRPr="00193217">
        <w:rPr>
          <w:rFonts w:cs="Arial"/>
          <w:szCs w:val="24"/>
        </w:rPr>
        <w:t>.</w:t>
      </w:r>
    </w:p>
    <w:p w:rsidR="00384886" w:rsidRDefault="00384886" w:rsidP="0028634B">
      <w:pPr>
        <w:pStyle w:val="Textoindependiente"/>
        <w:keepNext/>
        <w:widowControl w:val="0"/>
        <w:tabs>
          <w:tab w:val="num" w:pos="142"/>
        </w:tabs>
        <w:spacing w:line="360" w:lineRule="auto"/>
        <w:rPr>
          <w:rFonts w:cs="Arial"/>
          <w:szCs w:val="24"/>
        </w:rPr>
      </w:pPr>
      <w:r w:rsidRPr="00193217">
        <w:rPr>
          <w:rFonts w:cs="Arial"/>
          <w:szCs w:val="24"/>
        </w:rPr>
        <w:t>En opinión del Tribunal de Cuentas, excepto por lo</w:t>
      </w:r>
      <w:r>
        <w:rPr>
          <w:rFonts w:cs="Arial"/>
          <w:szCs w:val="24"/>
        </w:rPr>
        <w:t>s</w:t>
      </w:r>
      <w:r w:rsidRPr="00193217">
        <w:rPr>
          <w:rFonts w:cs="Arial"/>
          <w:szCs w:val="24"/>
        </w:rPr>
        <w:t xml:space="preserve"> </w:t>
      </w:r>
      <w:r>
        <w:rPr>
          <w:rFonts w:cs="Arial"/>
          <w:szCs w:val="24"/>
        </w:rPr>
        <w:t>efectos de aquellos ajustes, de haberse requerido alguno, según lo expresado en el párrafo</w:t>
      </w:r>
      <w:r w:rsidRPr="00193217">
        <w:rPr>
          <w:rFonts w:cs="Arial"/>
          <w:szCs w:val="24"/>
        </w:rPr>
        <w:t xml:space="preserve"> </w:t>
      </w:r>
      <w:r w:rsidRPr="004A52A3">
        <w:rPr>
          <w:rFonts w:cs="Arial"/>
          <w:i/>
          <w:szCs w:val="24"/>
        </w:rPr>
        <w:t>Bases para la Opinión</w:t>
      </w:r>
      <w:r>
        <w:rPr>
          <w:rFonts w:cs="Arial"/>
          <w:i/>
          <w:szCs w:val="24"/>
        </w:rPr>
        <w:t xml:space="preserve"> con Salvedades</w:t>
      </w:r>
      <w:r>
        <w:rPr>
          <w:rFonts w:cs="Arial"/>
          <w:szCs w:val="24"/>
        </w:rPr>
        <w:t>, los e</w:t>
      </w:r>
      <w:r w:rsidRPr="00193217">
        <w:rPr>
          <w:rFonts w:cs="Arial"/>
          <w:szCs w:val="24"/>
        </w:rPr>
        <w:t xml:space="preserve">stados </w:t>
      </w:r>
      <w:r>
        <w:rPr>
          <w:rFonts w:cs="Arial"/>
          <w:szCs w:val="24"/>
        </w:rPr>
        <w:t>f</w:t>
      </w:r>
      <w:r w:rsidRPr="00193217">
        <w:rPr>
          <w:rFonts w:cs="Arial"/>
          <w:szCs w:val="24"/>
        </w:rPr>
        <w:t xml:space="preserve">inancieros referidos precedentemente presentan razonablemente, en todos sus aspectos significativos, la situación financiera </w:t>
      </w:r>
      <w:r>
        <w:rPr>
          <w:rFonts w:cs="Arial"/>
          <w:szCs w:val="24"/>
        </w:rPr>
        <w:t>individual</w:t>
      </w:r>
      <w:r w:rsidRPr="00193217">
        <w:rPr>
          <w:rFonts w:cs="Arial"/>
          <w:szCs w:val="24"/>
        </w:rPr>
        <w:t xml:space="preserve"> de ANCAP al 31 de diciembre 2017, los resultados de sus operaciones y los </w:t>
      </w:r>
      <w:r w:rsidRPr="00225659">
        <w:rPr>
          <w:rFonts w:cs="Arial"/>
          <w:szCs w:val="24"/>
        </w:rPr>
        <w:t>flujos d</w:t>
      </w:r>
      <w:r>
        <w:rPr>
          <w:rFonts w:cs="Arial"/>
          <w:szCs w:val="24"/>
        </w:rPr>
        <w:t>e efectivo correspondientes al E</w:t>
      </w:r>
      <w:r w:rsidRPr="00225659">
        <w:rPr>
          <w:rFonts w:cs="Arial"/>
          <w:szCs w:val="24"/>
        </w:rPr>
        <w:t>jercicio anual terminad</w:t>
      </w:r>
      <w:r>
        <w:rPr>
          <w:rFonts w:cs="Arial"/>
          <w:szCs w:val="24"/>
        </w:rPr>
        <w:t xml:space="preserve">o en esa fecha, de acuerdo con </w:t>
      </w:r>
      <w:r w:rsidRPr="00225659">
        <w:rPr>
          <w:rFonts w:cs="Arial"/>
          <w:szCs w:val="24"/>
        </w:rPr>
        <w:t>normas contables adecuadas en Uruguay y la Ordenanza Nº 89 del Tribunal de Cuentas.</w:t>
      </w:r>
    </w:p>
    <w:p w:rsidR="00384886" w:rsidRPr="00645E48" w:rsidRDefault="00384886" w:rsidP="00A71C5B">
      <w:pPr>
        <w:pStyle w:val="Textoindependiente"/>
        <w:keepNext/>
        <w:widowControl w:val="0"/>
        <w:tabs>
          <w:tab w:val="num" w:pos="142"/>
        </w:tabs>
        <w:spacing w:line="360" w:lineRule="auto"/>
        <w:rPr>
          <w:rFonts w:cs="Arial"/>
          <w:b/>
          <w:bCs/>
          <w:szCs w:val="24"/>
        </w:rPr>
      </w:pPr>
      <w:r w:rsidRPr="00645E48">
        <w:rPr>
          <w:rFonts w:cs="Arial"/>
          <w:b/>
          <w:bCs/>
          <w:szCs w:val="24"/>
        </w:rPr>
        <w:t xml:space="preserve">Bases para la Opinión </w:t>
      </w:r>
      <w:r>
        <w:rPr>
          <w:rFonts w:cs="Arial"/>
          <w:b/>
          <w:bCs/>
          <w:szCs w:val="24"/>
        </w:rPr>
        <w:t>con Salvedades</w:t>
      </w:r>
    </w:p>
    <w:p w:rsidR="00384886" w:rsidRPr="00645E48" w:rsidRDefault="00384886" w:rsidP="002C1320">
      <w:pPr>
        <w:pStyle w:val="Textonormal"/>
        <w:keepNext/>
        <w:tabs>
          <w:tab w:val="clear" w:pos="-720"/>
        </w:tabs>
        <w:suppressAutoHyphens w:val="0"/>
        <w:spacing w:line="360" w:lineRule="auto"/>
        <w:rPr>
          <w:rFonts w:ascii="Arial" w:hAnsi="Arial" w:cs="Arial"/>
        </w:rPr>
      </w:pPr>
      <w:r w:rsidRPr="00645E48">
        <w:rPr>
          <w:rFonts w:ascii="Arial" w:hAnsi="Arial" w:cs="Arial"/>
        </w:rPr>
        <w:t xml:space="preserve">Esta auditoría fue </w:t>
      </w:r>
      <w:r>
        <w:rPr>
          <w:rFonts w:ascii="Arial" w:hAnsi="Arial" w:cs="Arial"/>
        </w:rPr>
        <w:t xml:space="preserve">realizada </w:t>
      </w:r>
      <w:r w:rsidRPr="00645E48">
        <w:rPr>
          <w:rFonts w:ascii="Arial" w:hAnsi="Arial" w:cs="Arial"/>
        </w:rPr>
        <w:t xml:space="preserve">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645E48">
        <w:rPr>
          <w:rFonts w:ascii="Arial" w:hAnsi="Arial" w:cs="Arial"/>
          <w:i/>
        </w:rPr>
        <w:t>Responsabilidad del Tribunal de Cuentas por la auditoría de los estados financieros</w:t>
      </w:r>
      <w:r w:rsidRPr="00645E48">
        <w:rPr>
          <w:rFonts w:ascii="Arial" w:hAnsi="Arial" w:cs="Arial"/>
        </w:rPr>
        <w:t>.</w:t>
      </w:r>
    </w:p>
    <w:p w:rsidR="00384886" w:rsidRPr="00645E48" w:rsidRDefault="00384886" w:rsidP="002C1320">
      <w:pPr>
        <w:pStyle w:val="Textonormal"/>
        <w:keepNext/>
        <w:tabs>
          <w:tab w:val="clear" w:pos="-720"/>
        </w:tabs>
        <w:suppressAutoHyphens w:val="0"/>
        <w:spacing w:line="360" w:lineRule="auto"/>
        <w:rPr>
          <w:rFonts w:ascii="Arial" w:hAnsi="Arial" w:cs="Arial"/>
        </w:rPr>
      </w:pPr>
      <w:r w:rsidRPr="00645E48">
        <w:rPr>
          <w:rFonts w:ascii="Arial" w:hAnsi="Arial" w:cs="Arial"/>
        </w:rPr>
        <w:t>Este Tribunal es independiente de ANCAP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384886" w:rsidRPr="00763EC6" w:rsidRDefault="00384886" w:rsidP="002C1320">
      <w:pPr>
        <w:pStyle w:val="Textonormal"/>
        <w:keepNext/>
        <w:tabs>
          <w:tab w:val="clear" w:pos="-720"/>
        </w:tabs>
        <w:suppressAutoHyphens w:val="0"/>
        <w:spacing w:line="360" w:lineRule="auto"/>
        <w:rPr>
          <w:rFonts w:ascii="Arial" w:hAnsi="Arial" w:cs="Arial"/>
        </w:rPr>
      </w:pPr>
      <w:r w:rsidRPr="00763EC6">
        <w:rPr>
          <w:rFonts w:ascii="Arial" w:hAnsi="Arial" w:cs="Arial"/>
        </w:rPr>
        <w:t xml:space="preserve">El Ente presenta indicios de deterioro en sus activos y no ha estimado el importe recuperable </w:t>
      </w:r>
      <w:r>
        <w:rPr>
          <w:rFonts w:ascii="Arial" w:hAnsi="Arial" w:cs="Arial"/>
        </w:rPr>
        <w:t>de</w:t>
      </w:r>
      <w:r w:rsidRPr="00763EC6">
        <w:rPr>
          <w:rFonts w:ascii="Arial" w:hAnsi="Arial" w:cs="Arial"/>
        </w:rPr>
        <w:t xml:space="preserve"> los mismos. No se ha podido obtener evidencia suficiente sobre el importe de los activos y pasivos expuestos en los Estados Financieros Individuales de ANCAP al 31/12/2017, relacionado</w:t>
      </w:r>
      <w:r>
        <w:rPr>
          <w:rFonts w:ascii="Arial" w:hAnsi="Arial" w:cs="Arial"/>
        </w:rPr>
        <w:t>s</w:t>
      </w:r>
      <w:r w:rsidRPr="00763EC6">
        <w:rPr>
          <w:rFonts w:ascii="Arial" w:hAnsi="Arial" w:cs="Arial"/>
        </w:rPr>
        <w:t xml:space="preserve"> con las inversiones que se detallan:</w:t>
      </w:r>
    </w:p>
    <w:p w:rsidR="00384886" w:rsidRPr="00CB506E" w:rsidRDefault="00384886" w:rsidP="00D65E48">
      <w:pPr>
        <w:tabs>
          <w:tab w:val="left" w:pos="1701"/>
        </w:tabs>
        <w:spacing w:after="0" w:line="360" w:lineRule="auto"/>
        <w:ind w:left="426"/>
        <w:rPr>
          <w:rFonts w:cs="Arial"/>
          <w:szCs w:val="24"/>
        </w:rPr>
      </w:pPr>
      <w:r w:rsidRPr="006C196C">
        <w:rPr>
          <w:rFonts w:cs="Arial"/>
          <w:b/>
          <w:szCs w:val="24"/>
        </w:rPr>
        <w:t>1.</w:t>
      </w:r>
      <w:r w:rsidRPr="00CB506E">
        <w:rPr>
          <w:rFonts w:cs="Arial"/>
          <w:b/>
          <w:szCs w:val="24"/>
        </w:rPr>
        <w:t xml:space="preserve"> </w:t>
      </w:r>
      <w:r w:rsidRPr="00CB506E">
        <w:rPr>
          <w:rFonts w:cs="Arial"/>
          <w:szCs w:val="24"/>
        </w:rPr>
        <w:t>La empresa ANCSOL S.A.</w:t>
      </w:r>
      <w:r>
        <w:rPr>
          <w:rFonts w:cs="Arial"/>
          <w:szCs w:val="24"/>
        </w:rPr>
        <w:t>,</w:t>
      </w:r>
      <w:r w:rsidRPr="00CB506E">
        <w:rPr>
          <w:rFonts w:cs="Arial"/>
          <w:szCs w:val="24"/>
        </w:rPr>
        <w:t xml:space="preserve"> de la cual ANCAP es propietaria del 100% del paquete accionario, presenta al 31/12/2017 un índice EBITDA (beneficio antes de </w:t>
      </w:r>
      <w:hyperlink r:id="rId10" w:tooltip="Intereses" w:history="1">
        <w:r w:rsidRPr="00CB506E">
          <w:rPr>
            <w:rFonts w:cs="Arial"/>
            <w:szCs w:val="24"/>
          </w:rPr>
          <w:t>intereses</w:t>
        </w:r>
      </w:hyperlink>
      <w:r w:rsidRPr="00CB506E">
        <w:rPr>
          <w:rFonts w:cs="Arial"/>
          <w:szCs w:val="24"/>
        </w:rPr>
        <w:t>, </w:t>
      </w:r>
      <w:hyperlink r:id="rId11" w:tooltip="Impuestos" w:history="1">
        <w:r w:rsidRPr="00CB506E">
          <w:rPr>
            <w:rFonts w:cs="Arial"/>
            <w:szCs w:val="24"/>
          </w:rPr>
          <w:t>impuestos</w:t>
        </w:r>
      </w:hyperlink>
      <w:r w:rsidRPr="00CB506E">
        <w:rPr>
          <w:rFonts w:cs="Arial"/>
          <w:szCs w:val="24"/>
        </w:rPr>
        <w:t>, </w:t>
      </w:r>
      <w:hyperlink r:id="rId12" w:history="1">
        <w:r w:rsidRPr="00CB506E">
          <w:rPr>
            <w:rFonts w:cs="Arial"/>
            <w:szCs w:val="24"/>
          </w:rPr>
          <w:t>depreciaciones</w:t>
        </w:r>
      </w:hyperlink>
      <w:r w:rsidRPr="00CB506E">
        <w:rPr>
          <w:rFonts w:cs="Arial"/>
          <w:szCs w:val="24"/>
        </w:rPr>
        <w:t> y </w:t>
      </w:r>
      <w:hyperlink r:id="rId13" w:tooltip="Amortización" w:history="1">
        <w:r w:rsidRPr="00CB506E">
          <w:rPr>
            <w:rFonts w:cs="Arial"/>
            <w:szCs w:val="24"/>
          </w:rPr>
          <w:t>amortizaciones</w:t>
        </w:r>
      </w:hyperlink>
      <w:r>
        <w:rPr>
          <w:rFonts w:cs="Arial"/>
          <w:szCs w:val="24"/>
        </w:rPr>
        <w:t>) negativo de $ 75:</w:t>
      </w:r>
      <w:r w:rsidRPr="00CB506E">
        <w:rPr>
          <w:rFonts w:cs="Arial"/>
          <w:szCs w:val="24"/>
        </w:rPr>
        <w:t xml:space="preserve">165.673. La empresa </w:t>
      </w:r>
      <w:r>
        <w:rPr>
          <w:rFonts w:cs="Arial"/>
          <w:szCs w:val="24"/>
        </w:rPr>
        <w:t>configura</w:t>
      </w:r>
      <w:r w:rsidRPr="00CB506E">
        <w:rPr>
          <w:rFonts w:cs="Arial"/>
          <w:szCs w:val="24"/>
        </w:rPr>
        <w:t xml:space="preserve"> causal de disolución </w:t>
      </w:r>
      <w:r>
        <w:rPr>
          <w:rFonts w:cs="Arial"/>
          <w:szCs w:val="24"/>
        </w:rPr>
        <w:t xml:space="preserve">de acuerdo con lo </w:t>
      </w:r>
      <w:r w:rsidRPr="00CB506E">
        <w:rPr>
          <w:rFonts w:cs="Arial"/>
          <w:szCs w:val="24"/>
        </w:rPr>
        <w:t>previst</w:t>
      </w:r>
      <w:r>
        <w:rPr>
          <w:rFonts w:cs="Arial"/>
          <w:szCs w:val="24"/>
        </w:rPr>
        <w:t>o</w:t>
      </w:r>
      <w:r w:rsidRPr="00CB506E">
        <w:rPr>
          <w:rFonts w:cs="Arial"/>
          <w:szCs w:val="24"/>
        </w:rPr>
        <w:t xml:space="preserve"> </w:t>
      </w:r>
      <w:r>
        <w:rPr>
          <w:rFonts w:cs="Arial"/>
          <w:szCs w:val="24"/>
        </w:rPr>
        <w:t xml:space="preserve">en el Artículo 293 de la </w:t>
      </w:r>
      <w:r w:rsidRPr="00CB506E">
        <w:rPr>
          <w:rFonts w:cs="Arial"/>
          <w:szCs w:val="24"/>
        </w:rPr>
        <w:t>Ley N°16.060. Est</w:t>
      </w:r>
      <w:r>
        <w:rPr>
          <w:rFonts w:cs="Arial"/>
          <w:szCs w:val="24"/>
        </w:rPr>
        <w:t>os</w:t>
      </w:r>
      <w:r w:rsidRPr="00CB506E">
        <w:rPr>
          <w:rFonts w:cs="Arial"/>
          <w:szCs w:val="24"/>
        </w:rPr>
        <w:t xml:space="preserve"> indicio</w:t>
      </w:r>
      <w:r>
        <w:rPr>
          <w:rFonts w:cs="Arial"/>
          <w:szCs w:val="24"/>
        </w:rPr>
        <w:t>s</w:t>
      </w:r>
      <w:r w:rsidRPr="00CB506E">
        <w:rPr>
          <w:rFonts w:cs="Arial"/>
          <w:szCs w:val="24"/>
        </w:rPr>
        <w:t xml:space="preserve"> de deterioro no fue</w:t>
      </w:r>
      <w:r>
        <w:rPr>
          <w:rFonts w:cs="Arial"/>
          <w:szCs w:val="24"/>
        </w:rPr>
        <w:t>ron</w:t>
      </w:r>
      <w:r w:rsidRPr="00CB506E">
        <w:rPr>
          <w:rFonts w:cs="Arial"/>
          <w:szCs w:val="24"/>
        </w:rPr>
        <w:t xml:space="preserve"> evaluado</w:t>
      </w:r>
      <w:r>
        <w:rPr>
          <w:rFonts w:cs="Arial"/>
          <w:szCs w:val="24"/>
        </w:rPr>
        <w:t>s</w:t>
      </w:r>
      <w:r w:rsidRPr="00CB506E">
        <w:rPr>
          <w:rFonts w:cs="Arial"/>
          <w:szCs w:val="24"/>
        </w:rPr>
        <w:t xml:space="preserve"> por el Ente, ni</w:t>
      </w:r>
      <w:r>
        <w:rPr>
          <w:rFonts w:cs="Arial"/>
          <w:szCs w:val="24"/>
        </w:rPr>
        <w:t xml:space="preserve"> se tuvieron</w:t>
      </w:r>
      <w:r w:rsidRPr="00CB506E">
        <w:rPr>
          <w:rFonts w:cs="Arial"/>
          <w:szCs w:val="24"/>
        </w:rPr>
        <w:t xml:space="preserve"> </w:t>
      </w:r>
      <w:r>
        <w:rPr>
          <w:rFonts w:cs="Arial"/>
          <w:szCs w:val="24"/>
        </w:rPr>
        <w:t xml:space="preserve">en cuenta sus posibles efectos </w:t>
      </w:r>
      <w:r w:rsidRPr="00CB506E">
        <w:rPr>
          <w:rFonts w:cs="Arial"/>
          <w:szCs w:val="24"/>
        </w:rPr>
        <w:t xml:space="preserve">en los Estados Financieros </w:t>
      </w:r>
      <w:r>
        <w:rPr>
          <w:rFonts w:cs="Arial"/>
          <w:szCs w:val="24"/>
        </w:rPr>
        <w:t>Individuales</w:t>
      </w:r>
      <w:r w:rsidRPr="00CB506E">
        <w:rPr>
          <w:rFonts w:cs="Arial"/>
          <w:szCs w:val="24"/>
        </w:rPr>
        <w:t>.</w:t>
      </w:r>
    </w:p>
    <w:p w:rsidR="00384886" w:rsidRPr="007678C7" w:rsidRDefault="00384886" w:rsidP="00D65E48">
      <w:pPr>
        <w:spacing w:after="0" w:line="360" w:lineRule="auto"/>
        <w:ind w:left="426"/>
        <w:rPr>
          <w:rFonts w:eastAsia="Times New Roman" w:cs="Arial"/>
          <w:szCs w:val="24"/>
          <w:lang w:val="es-ES_tradnl" w:eastAsia="es-ES"/>
        </w:rPr>
      </w:pPr>
      <w:r w:rsidRPr="00CB506E">
        <w:rPr>
          <w:rFonts w:cs="Arial"/>
          <w:szCs w:val="24"/>
        </w:rPr>
        <w:t xml:space="preserve">Los auditores externos de ANCSOL S.A. se abstuvieron de emitir opinión sobre </w:t>
      </w:r>
      <w:r>
        <w:rPr>
          <w:rFonts w:cs="Arial"/>
          <w:szCs w:val="24"/>
        </w:rPr>
        <w:t>los es</w:t>
      </w:r>
      <w:r w:rsidRPr="00CB506E">
        <w:rPr>
          <w:rFonts w:cs="Arial"/>
          <w:szCs w:val="24"/>
        </w:rPr>
        <w:t xml:space="preserve">tados </w:t>
      </w:r>
      <w:r>
        <w:rPr>
          <w:rFonts w:cs="Arial"/>
          <w:szCs w:val="24"/>
        </w:rPr>
        <w:t>f</w:t>
      </w:r>
      <w:r w:rsidRPr="00CB506E">
        <w:rPr>
          <w:rFonts w:cs="Arial"/>
          <w:szCs w:val="24"/>
        </w:rPr>
        <w:t xml:space="preserve">inancieros debido a la situación financiera de </w:t>
      </w:r>
      <w:r>
        <w:rPr>
          <w:rFonts w:cs="Arial"/>
          <w:szCs w:val="24"/>
        </w:rPr>
        <w:t xml:space="preserve">su subsidiaria </w:t>
      </w:r>
      <w:r w:rsidRPr="00CB506E">
        <w:rPr>
          <w:rFonts w:cs="Arial"/>
          <w:szCs w:val="24"/>
        </w:rPr>
        <w:t xml:space="preserve">CARBOCLOR S.A., que con </w:t>
      </w:r>
      <w:r w:rsidRPr="00CB506E">
        <w:rPr>
          <w:rFonts w:eastAsia="Times New Roman" w:cs="Arial"/>
          <w:szCs w:val="24"/>
          <w:lang w:val="es-ES_tradnl" w:eastAsia="es-ES"/>
        </w:rPr>
        <w:t xml:space="preserve">fecha 29/12/2016 solicitó la apertura de un concurso preventivo de acreedores, el cual ha finalizado, </w:t>
      </w:r>
      <w:r>
        <w:rPr>
          <w:rFonts w:eastAsia="Times New Roman" w:cs="Arial"/>
          <w:szCs w:val="24"/>
          <w:lang w:val="es-ES_tradnl" w:eastAsia="es-ES"/>
        </w:rPr>
        <w:t>manteniéndose</w:t>
      </w:r>
      <w:r w:rsidRPr="00CB506E">
        <w:rPr>
          <w:rFonts w:eastAsia="Times New Roman" w:cs="Arial"/>
          <w:szCs w:val="24"/>
          <w:lang w:val="es-ES_tradnl" w:eastAsia="es-ES"/>
        </w:rPr>
        <w:t xml:space="preserve"> pendiente a la fecha de emisión de los estados la determinación de los pasivos concursales y la presentación y tratamiento de la propuesta de acuerdo preventivo.</w:t>
      </w:r>
    </w:p>
    <w:p w:rsidR="00384886" w:rsidRPr="005D4256" w:rsidRDefault="00384886" w:rsidP="00D65E48">
      <w:pPr>
        <w:spacing w:after="0" w:line="360" w:lineRule="auto"/>
        <w:ind w:left="426"/>
        <w:rPr>
          <w:rFonts w:cs="Arial"/>
          <w:b/>
          <w:color w:val="FF0000"/>
          <w:szCs w:val="24"/>
        </w:rPr>
      </w:pPr>
    </w:p>
    <w:p w:rsidR="00384886" w:rsidRPr="001D073E" w:rsidRDefault="00384886" w:rsidP="00D65E48">
      <w:pPr>
        <w:tabs>
          <w:tab w:val="left" w:pos="1701"/>
        </w:tabs>
        <w:spacing w:after="0" w:line="360" w:lineRule="auto"/>
        <w:ind w:left="426"/>
        <w:rPr>
          <w:rFonts w:cs="Arial"/>
          <w:szCs w:val="24"/>
        </w:rPr>
      </w:pPr>
      <w:r w:rsidRPr="006C196C">
        <w:rPr>
          <w:rFonts w:cs="Arial"/>
          <w:b/>
          <w:szCs w:val="24"/>
        </w:rPr>
        <w:t>2.</w:t>
      </w:r>
      <w:r w:rsidRPr="001D073E">
        <w:rPr>
          <w:rFonts w:cs="Arial"/>
          <w:szCs w:val="24"/>
        </w:rPr>
        <w:t xml:space="preserve"> La empresa CABA S.A.</w:t>
      </w:r>
      <w:r>
        <w:rPr>
          <w:rFonts w:cs="Arial"/>
          <w:szCs w:val="24"/>
        </w:rPr>
        <w:t>,</w:t>
      </w:r>
      <w:r w:rsidRPr="001D073E">
        <w:rPr>
          <w:rFonts w:cs="Arial"/>
          <w:szCs w:val="24"/>
        </w:rPr>
        <w:t xml:space="preserve"> de la cual ANCAP es propietaria del 100% del paquete accionario, present</w:t>
      </w:r>
      <w:r>
        <w:rPr>
          <w:rFonts w:cs="Arial"/>
          <w:szCs w:val="24"/>
        </w:rPr>
        <w:t>a un resultado negativo de $ 10:</w:t>
      </w:r>
      <w:r w:rsidRPr="001D073E">
        <w:rPr>
          <w:rFonts w:cs="Arial"/>
          <w:szCs w:val="24"/>
        </w:rPr>
        <w:t xml:space="preserve">714.778. Este indicio de deterioro y los efectos contables del mismo no fueron evaluados por el Ente en sus Estados Financieros </w:t>
      </w:r>
      <w:r>
        <w:rPr>
          <w:rFonts w:cs="Arial"/>
          <w:szCs w:val="24"/>
        </w:rPr>
        <w:t>Individuales</w:t>
      </w:r>
      <w:r w:rsidRPr="001D073E">
        <w:rPr>
          <w:rFonts w:cs="Arial"/>
          <w:szCs w:val="24"/>
        </w:rPr>
        <w:t>.</w:t>
      </w:r>
    </w:p>
    <w:p w:rsidR="00384886" w:rsidRPr="00912B55" w:rsidRDefault="00384886" w:rsidP="00D65E48">
      <w:pPr>
        <w:tabs>
          <w:tab w:val="left" w:pos="1701"/>
        </w:tabs>
        <w:spacing w:after="0" w:line="360" w:lineRule="auto"/>
        <w:ind w:left="426"/>
        <w:rPr>
          <w:rFonts w:cs="Arial"/>
          <w:szCs w:val="24"/>
        </w:rPr>
      </w:pPr>
      <w:r w:rsidRPr="001D073E">
        <w:rPr>
          <w:rFonts w:cs="Arial"/>
          <w:szCs w:val="24"/>
        </w:rPr>
        <w:t xml:space="preserve">Según se expresa en la Nota </w:t>
      </w:r>
      <w:r w:rsidRPr="002E7A4B">
        <w:rPr>
          <w:rFonts w:cs="Arial"/>
          <w:szCs w:val="24"/>
        </w:rPr>
        <w:t xml:space="preserve">31.2 </w:t>
      </w:r>
      <w:r w:rsidRPr="001D073E">
        <w:rPr>
          <w:rFonts w:cs="Arial"/>
          <w:szCs w:val="24"/>
        </w:rPr>
        <w:t xml:space="preserve">de los Estados Financieros </w:t>
      </w:r>
      <w:r>
        <w:rPr>
          <w:rFonts w:cs="Arial"/>
          <w:szCs w:val="24"/>
        </w:rPr>
        <w:t>Individuales</w:t>
      </w:r>
      <w:r w:rsidRPr="001D073E">
        <w:rPr>
          <w:rFonts w:cs="Arial"/>
          <w:szCs w:val="24"/>
        </w:rPr>
        <w:t xml:space="preserve">, referente a “Hechos posteriores”, la </w:t>
      </w:r>
      <w:r>
        <w:rPr>
          <w:rFonts w:cs="Arial"/>
          <w:szCs w:val="24"/>
        </w:rPr>
        <w:t xml:space="preserve">mencionada </w:t>
      </w:r>
      <w:r w:rsidRPr="001D073E">
        <w:rPr>
          <w:rFonts w:cs="Arial"/>
          <w:szCs w:val="24"/>
        </w:rPr>
        <w:t>empresa se encuentra en proceso de liquidación</w:t>
      </w:r>
      <w:r>
        <w:rPr>
          <w:rFonts w:cs="Arial"/>
          <w:szCs w:val="24"/>
        </w:rPr>
        <w:t>,</w:t>
      </w:r>
      <w:r w:rsidRPr="001D073E">
        <w:rPr>
          <w:rFonts w:cs="Arial"/>
          <w:szCs w:val="24"/>
        </w:rPr>
        <w:t xml:space="preserve"> situación </w:t>
      </w:r>
      <w:r>
        <w:rPr>
          <w:rFonts w:cs="Arial"/>
          <w:szCs w:val="24"/>
        </w:rPr>
        <w:t xml:space="preserve">que </w:t>
      </w:r>
      <w:r w:rsidRPr="001D073E">
        <w:rPr>
          <w:rFonts w:cs="Arial"/>
          <w:szCs w:val="24"/>
        </w:rPr>
        <w:t xml:space="preserve">evidencia incertidumbre </w:t>
      </w:r>
      <w:r>
        <w:rPr>
          <w:rFonts w:cs="Arial"/>
          <w:szCs w:val="24"/>
        </w:rPr>
        <w:t>sobre</w:t>
      </w:r>
      <w:r w:rsidRPr="001D073E">
        <w:rPr>
          <w:rFonts w:cs="Arial"/>
          <w:szCs w:val="24"/>
        </w:rPr>
        <w:t xml:space="preserve"> el valor en libros de </w:t>
      </w:r>
      <w:r>
        <w:rPr>
          <w:rFonts w:cs="Arial"/>
          <w:szCs w:val="24"/>
        </w:rPr>
        <w:t>sus</w:t>
      </w:r>
      <w:r w:rsidRPr="001D073E">
        <w:rPr>
          <w:rFonts w:cs="Arial"/>
          <w:szCs w:val="24"/>
        </w:rPr>
        <w:t xml:space="preserve"> activos y pasivos</w:t>
      </w:r>
      <w:r>
        <w:rPr>
          <w:rFonts w:cs="Arial"/>
          <w:szCs w:val="24"/>
        </w:rPr>
        <w:t>.</w:t>
      </w:r>
      <w:r w:rsidRPr="001D073E">
        <w:rPr>
          <w:rFonts w:cs="Arial"/>
          <w:szCs w:val="24"/>
        </w:rPr>
        <w:t xml:space="preserve"> El valor contable de la inversión no recoge eventuales ajustes en los Estados Financieros </w:t>
      </w:r>
      <w:r>
        <w:rPr>
          <w:rFonts w:cs="Arial"/>
          <w:szCs w:val="24"/>
        </w:rPr>
        <w:t>Individuales</w:t>
      </w:r>
      <w:r w:rsidRPr="001D073E">
        <w:rPr>
          <w:rFonts w:cs="Arial"/>
          <w:szCs w:val="24"/>
        </w:rPr>
        <w:t xml:space="preserve"> del Ente al 31/12/2017</w:t>
      </w:r>
      <w:r>
        <w:rPr>
          <w:rFonts w:cs="Arial"/>
          <w:szCs w:val="24"/>
        </w:rPr>
        <w:t xml:space="preserve"> </w:t>
      </w:r>
      <w:r w:rsidRPr="001D073E">
        <w:rPr>
          <w:rFonts w:cs="Arial"/>
          <w:szCs w:val="24"/>
        </w:rPr>
        <w:t xml:space="preserve">que podrían ser necesarios ante esta </w:t>
      </w:r>
      <w:r>
        <w:rPr>
          <w:rFonts w:cs="Arial"/>
          <w:szCs w:val="24"/>
        </w:rPr>
        <w:t>situación</w:t>
      </w:r>
      <w:r w:rsidRPr="001D073E">
        <w:rPr>
          <w:rFonts w:cs="Arial"/>
          <w:szCs w:val="24"/>
        </w:rPr>
        <w:t>.</w:t>
      </w:r>
    </w:p>
    <w:p w:rsidR="00384886" w:rsidRDefault="00384886" w:rsidP="00D65E48">
      <w:pPr>
        <w:tabs>
          <w:tab w:val="left" w:pos="1701"/>
        </w:tabs>
        <w:spacing w:after="0" w:line="360" w:lineRule="auto"/>
        <w:ind w:left="426"/>
        <w:rPr>
          <w:rFonts w:cs="Arial"/>
          <w:color w:val="FF0000"/>
          <w:szCs w:val="24"/>
        </w:rPr>
      </w:pPr>
    </w:p>
    <w:p w:rsidR="00384886" w:rsidRPr="001621F5" w:rsidRDefault="00384886" w:rsidP="006C196C">
      <w:pPr>
        <w:tabs>
          <w:tab w:val="left" w:pos="1701"/>
        </w:tabs>
        <w:spacing w:after="0" w:line="360" w:lineRule="auto"/>
        <w:ind w:left="426"/>
        <w:rPr>
          <w:rFonts w:cs="Arial"/>
          <w:szCs w:val="24"/>
        </w:rPr>
      </w:pPr>
      <w:r>
        <w:rPr>
          <w:rFonts w:cs="Arial"/>
          <w:b/>
          <w:szCs w:val="24"/>
        </w:rPr>
        <w:t>3</w:t>
      </w:r>
      <w:r w:rsidRPr="001621F5">
        <w:rPr>
          <w:rFonts w:cs="Arial"/>
          <w:b/>
          <w:szCs w:val="24"/>
        </w:rPr>
        <w:t>.</w:t>
      </w:r>
      <w:r w:rsidRPr="001621F5">
        <w:rPr>
          <w:rFonts w:cs="Arial"/>
          <w:szCs w:val="24"/>
        </w:rPr>
        <w:t xml:space="preserve"> La empresa CONECTA S.A., de la cual ANCAP es propietaria del 45% del paquete accionario, no cuenta con </w:t>
      </w:r>
      <w:r>
        <w:rPr>
          <w:rFonts w:cs="Arial"/>
          <w:szCs w:val="24"/>
        </w:rPr>
        <w:t>e</w:t>
      </w:r>
      <w:r w:rsidRPr="001621F5">
        <w:rPr>
          <w:rFonts w:cs="Arial"/>
          <w:szCs w:val="24"/>
        </w:rPr>
        <w:t xml:space="preserve">stados </w:t>
      </w:r>
      <w:r>
        <w:rPr>
          <w:rFonts w:cs="Arial"/>
          <w:szCs w:val="24"/>
        </w:rPr>
        <w:t>f</w:t>
      </w:r>
      <w:r w:rsidRPr="001621F5">
        <w:rPr>
          <w:rFonts w:cs="Arial"/>
          <w:szCs w:val="24"/>
        </w:rPr>
        <w:t xml:space="preserve">inancieros al 31/12/2017, por lo que no es posible obtener suficiente evidencia de auditoría del valor contable de esta inversión. </w:t>
      </w:r>
      <w:r>
        <w:rPr>
          <w:rFonts w:cs="Arial"/>
          <w:szCs w:val="24"/>
        </w:rPr>
        <w:t xml:space="preserve">Asimismo la empresa requirió capitalizaciones para </w:t>
      </w:r>
      <w:r w:rsidRPr="001621F5">
        <w:rPr>
          <w:rFonts w:cs="Arial"/>
          <w:szCs w:val="24"/>
        </w:rPr>
        <w:t>poder continuar con sus operaciones</w:t>
      </w:r>
      <w:r>
        <w:rPr>
          <w:rFonts w:cs="Arial"/>
          <w:szCs w:val="24"/>
        </w:rPr>
        <w:t xml:space="preserve"> y se financia no efectuando el pago de sus deudas comerciales. A</w:t>
      </w:r>
      <w:r w:rsidRPr="001621F5">
        <w:rPr>
          <w:rFonts w:cs="Arial"/>
          <w:szCs w:val="24"/>
        </w:rPr>
        <w:t xml:space="preserve"> partir de abril de 2017</w:t>
      </w:r>
      <w:r>
        <w:rPr>
          <w:rFonts w:cs="Arial"/>
          <w:szCs w:val="24"/>
        </w:rPr>
        <w:t>,</w:t>
      </w:r>
      <w:r w:rsidRPr="001621F5">
        <w:rPr>
          <w:rFonts w:cs="Arial"/>
          <w:szCs w:val="24"/>
        </w:rPr>
        <w:t xml:space="preserve"> </w:t>
      </w:r>
      <w:r>
        <w:rPr>
          <w:rFonts w:cs="Arial"/>
          <w:szCs w:val="24"/>
        </w:rPr>
        <w:t xml:space="preserve">el gas natural que comercializa CONECTA S.A. </w:t>
      </w:r>
      <w:r w:rsidRPr="001621F5">
        <w:rPr>
          <w:rFonts w:cs="Arial"/>
          <w:szCs w:val="24"/>
        </w:rPr>
        <w:t xml:space="preserve">es </w:t>
      </w:r>
      <w:r>
        <w:rPr>
          <w:rFonts w:cs="Arial"/>
          <w:szCs w:val="24"/>
        </w:rPr>
        <w:t xml:space="preserve">provisto </w:t>
      </w:r>
      <w:r w:rsidRPr="001621F5">
        <w:rPr>
          <w:rFonts w:cs="Arial"/>
          <w:szCs w:val="24"/>
        </w:rPr>
        <w:t xml:space="preserve">únicamente </w:t>
      </w:r>
      <w:r>
        <w:rPr>
          <w:rFonts w:cs="Arial"/>
          <w:szCs w:val="24"/>
        </w:rPr>
        <w:t xml:space="preserve">por </w:t>
      </w:r>
      <w:r w:rsidRPr="001621F5">
        <w:rPr>
          <w:rFonts w:cs="Arial"/>
          <w:szCs w:val="24"/>
        </w:rPr>
        <w:t xml:space="preserve">ANCAP </w:t>
      </w:r>
      <w:r>
        <w:rPr>
          <w:rFonts w:cs="Arial"/>
          <w:szCs w:val="24"/>
        </w:rPr>
        <w:t xml:space="preserve">y, </w:t>
      </w:r>
      <w:r w:rsidRPr="001621F5">
        <w:rPr>
          <w:rFonts w:cs="Arial"/>
          <w:szCs w:val="24"/>
        </w:rPr>
        <w:t xml:space="preserve">por lo </w:t>
      </w:r>
      <w:r>
        <w:rPr>
          <w:rFonts w:cs="Arial"/>
          <w:szCs w:val="24"/>
        </w:rPr>
        <w:t xml:space="preserve">tanto, </w:t>
      </w:r>
      <w:r w:rsidRPr="001621F5">
        <w:rPr>
          <w:rFonts w:cs="Arial"/>
          <w:szCs w:val="24"/>
        </w:rPr>
        <w:t>sus deudas comerciales implica</w:t>
      </w:r>
      <w:r>
        <w:rPr>
          <w:rFonts w:cs="Arial"/>
          <w:szCs w:val="24"/>
        </w:rPr>
        <w:t>n</w:t>
      </w:r>
      <w:r w:rsidRPr="001621F5">
        <w:rPr>
          <w:rFonts w:cs="Arial"/>
          <w:szCs w:val="24"/>
        </w:rPr>
        <w:t xml:space="preserve"> un financiamiento exclusivo por parte del Ente.</w:t>
      </w:r>
    </w:p>
    <w:p w:rsidR="00384886" w:rsidRPr="001621F5" w:rsidRDefault="00384886" w:rsidP="006C196C">
      <w:pPr>
        <w:tabs>
          <w:tab w:val="left" w:pos="1701"/>
        </w:tabs>
        <w:spacing w:after="0" w:line="360" w:lineRule="auto"/>
        <w:ind w:left="426"/>
        <w:rPr>
          <w:rFonts w:cs="Arial"/>
          <w:szCs w:val="24"/>
        </w:rPr>
      </w:pPr>
      <w:r w:rsidRPr="001621F5">
        <w:rPr>
          <w:rFonts w:cs="Arial"/>
          <w:szCs w:val="24"/>
        </w:rPr>
        <w:t xml:space="preserve">Los efectos contables de los aspectos mencionados no fueron evaluados por ANCAP en sus Estados Financieros </w:t>
      </w:r>
      <w:r>
        <w:rPr>
          <w:rFonts w:cs="Arial"/>
          <w:szCs w:val="24"/>
        </w:rPr>
        <w:t>Individuales</w:t>
      </w:r>
      <w:r w:rsidRPr="001621F5">
        <w:rPr>
          <w:rFonts w:cs="Arial"/>
          <w:szCs w:val="24"/>
        </w:rPr>
        <w:t xml:space="preserve"> al 31/12/2017.</w:t>
      </w:r>
    </w:p>
    <w:p w:rsidR="00384886" w:rsidRDefault="00384886" w:rsidP="00D65E48">
      <w:pPr>
        <w:tabs>
          <w:tab w:val="left" w:pos="1701"/>
        </w:tabs>
        <w:spacing w:after="0" w:line="360" w:lineRule="auto"/>
        <w:ind w:left="426"/>
        <w:rPr>
          <w:rFonts w:cs="Arial"/>
          <w:b/>
          <w:szCs w:val="24"/>
          <w:highlight w:val="lightGray"/>
        </w:rPr>
      </w:pPr>
    </w:p>
    <w:p w:rsidR="00384886" w:rsidRPr="00D42AA2" w:rsidRDefault="00384886" w:rsidP="00D65E48">
      <w:pPr>
        <w:tabs>
          <w:tab w:val="left" w:pos="1701"/>
        </w:tabs>
        <w:spacing w:after="0" w:line="360" w:lineRule="auto"/>
        <w:ind w:left="426"/>
        <w:rPr>
          <w:rFonts w:cs="Arial"/>
          <w:szCs w:val="24"/>
        </w:rPr>
      </w:pPr>
      <w:r>
        <w:rPr>
          <w:rFonts w:cs="Arial"/>
          <w:b/>
          <w:szCs w:val="24"/>
        </w:rPr>
        <w:t>4</w:t>
      </w:r>
      <w:r w:rsidRPr="006C196C">
        <w:rPr>
          <w:rFonts w:cs="Arial"/>
          <w:b/>
          <w:szCs w:val="24"/>
        </w:rPr>
        <w:t>.</w:t>
      </w:r>
      <w:r w:rsidRPr="00D42AA2">
        <w:rPr>
          <w:rFonts w:cs="Arial"/>
          <w:szCs w:val="24"/>
        </w:rPr>
        <w:t xml:space="preserve"> UTE y ANCAP mantienen un negocio conjunto en la empresa Gas Sayago S.A., ya que ambas comparten el control y la influencia en la toma de decisiones de políticas operativas y financieras de la </w:t>
      </w:r>
      <w:r>
        <w:rPr>
          <w:rFonts w:cs="Arial"/>
          <w:szCs w:val="24"/>
        </w:rPr>
        <w:t>s</w:t>
      </w:r>
      <w:r w:rsidRPr="00D42AA2">
        <w:rPr>
          <w:rFonts w:cs="Arial"/>
          <w:szCs w:val="24"/>
        </w:rPr>
        <w:t>ociedad.</w:t>
      </w:r>
    </w:p>
    <w:p w:rsidR="00384886" w:rsidRPr="00D42AA2" w:rsidRDefault="00384886" w:rsidP="00D65E48">
      <w:pPr>
        <w:tabs>
          <w:tab w:val="left" w:pos="1701"/>
        </w:tabs>
        <w:spacing w:after="0" w:line="360" w:lineRule="auto"/>
        <w:ind w:left="426"/>
        <w:rPr>
          <w:rFonts w:cs="Arial"/>
          <w:szCs w:val="24"/>
        </w:rPr>
      </w:pPr>
      <w:r>
        <w:rPr>
          <w:rFonts w:cs="Arial"/>
          <w:szCs w:val="24"/>
        </w:rPr>
        <w:t xml:space="preserve">Gas Sayago </w:t>
      </w:r>
      <w:r w:rsidRPr="00D42AA2">
        <w:rPr>
          <w:rFonts w:cs="Arial"/>
          <w:szCs w:val="24"/>
        </w:rPr>
        <w:t>S.A.</w:t>
      </w:r>
      <w:r>
        <w:rPr>
          <w:rFonts w:cs="Arial"/>
          <w:szCs w:val="24"/>
        </w:rPr>
        <w:t>,</w:t>
      </w:r>
      <w:r w:rsidRPr="00D42AA2">
        <w:rPr>
          <w:rFonts w:cs="Arial"/>
          <w:szCs w:val="24"/>
        </w:rPr>
        <w:t xml:space="preserve"> </w:t>
      </w:r>
      <w:r>
        <w:rPr>
          <w:rFonts w:cs="Arial"/>
          <w:szCs w:val="24"/>
        </w:rPr>
        <w:t xml:space="preserve">aun </w:t>
      </w:r>
      <w:r w:rsidRPr="00D42AA2">
        <w:rPr>
          <w:rFonts w:cs="Arial"/>
          <w:szCs w:val="24"/>
        </w:rPr>
        <w:t>reconoci</w:t>
      </w:r>
      <w:r>
        <w:rPr>
          <w:rFonts w:cs="Arial"/>
          <w:szCs w:val="24"/>
        </w:rPr>
        <w:t>endo</w:t>
      </w:r>
      <w:r w:rsidRPr="00D42AA2">
        <w:rPr>
          <w:rFonts w:cs="Arial"/>
          <w:szCs w:val="24"/>
        </w:rPr>
        <w:t xml:space="preserve"> pérdidas por deterioro de</w:t>
      </w:r>
      <w:r>
        <w:rPr>
          <w:rFonts w:cs="Arial"/>
          <w:szCs w:val="24"/>
        </w:rPr>
        <w:t xml:space="preserve"> $43:</w:t>
      </w:r>
      <w:r w:rsidRPr="0069749B">
        <w:rPr>
          <w:rFonts w:cs="Arial"/>
          <w:szCs w:val="24"/>
        </w:rPr>
        <w:t>566.215</w:t>
      </w:r>
      <w:r>
        <w:rPr>
          <w:rFonts w:cs="Arial"/>
          <w:szCs w:val="24"/>
        </w:rPr>
        <w:t>,</w:t>
      </w:r>
      <w:r w:rsidRPr="00D42AA2">
        <w:rPr>
          <w:rFonts w:cs="Arial"/>
          <w:szCs w:val="24"/>
        </w:rPr>
        <w:t xml:space="preserve"> presentó un </w:t>
      </w:r>
      <w:r>
        <w:rPr>
          <w:rFonts w:cs="Arial"/>
          <w:szCs w:val="24"/>
        </w:rPr>
        <w:t>índice EBITDA negativo de $ 124:</w:t>
      </w:r>
      <w:r w:rsidRPr="00D42AA2">
        <w:rPr>
          <w:rFonts w:cs="Arial"/>
          <w:szCs w:val="24"/>
        </w:rPr>
        <w:t xml:space="preserve">072.819, </w:t>
      </w:r>
      <w:r>
        <w:rPr>
          <w:rFonts w:cs="Arial"/>
          <w:szCs w:val="24"/>
        </w:rPr>
        <w:t xml:space="preserve">manteniendo </w:t>
      </w:r>
      <w:r w:rsidRPr="00D42AA2">
        <w:rPr>
          <w:rFonts w:cs="Arial"/>
          <w:szCs w:val="24"/>
        </w:rPr>
        <w:t xml:space="preserve">indicios de deterioro cuyos efectos contables no fueron evaluados por el Ente en sus </w:t>
      </w:r>
      <w:r>
        <w:rPr>
          <w:rFonts w:cs="Arial"/>
          <w:szCs w:val="24"/>
        </w:rPr>
        <w:t>E</w:t>
      </w:r>
      <w:r w:rsidRPr="00D42AA2">
        <w:rPr>
          <w:rFonts w:cs="Arial"/>
          <w:szCs w:val="24"/>
        </w:rPr>
        <w:t xml:space="preserve">stados Financieros </w:t>
      </w:r>
      <w:r>
        <w:rPr>
          <w:rFonts w:cs="Arial"/>
          <w:szCs w:val="24"/>
        </w:rPr>
        <w:t>Individuales al 31/12/2017</w:t>
      </w:r>
      <w:r w:rsidRPr="00D42AA2">
        <w:rPr>
          <w:rFonts w:cs="Arial"/>
          <w:szCs w:val="24"/>
        </w:rPr>
        <w:t>.</w:t>
      </w:r>
      <w:r w:rsidRPr="00C852BA">
        <w:rPr>
          <w:rFonts w:cs="Arial"/>
          <w:szCs w:val="24"/>
        </w:rPr>
        <w:t xml:space="preserve"> </w:t>
      </w:r>
      <w:r w:rsidRPr="00E7424E">
        <w:rPr>
          <w:rFonts w:cs="Arial"/>
          <w:szCs w:val="24"/>
        </w:rPr>
        <w:t>En julio de 2018 el Directorio de A</w:t>
      </w:r>
      <w:r>
        <w:rPr>
          <w:rFonts w:cs="Arial"/>
          <w:szCs w:val="24"/>
        </w:rPr>
        <w:t>NCAP</w:t>
      </w:r>
      <w:r w:rsidRPr="00E7424E">
        <w:rPr>
          <w:rFonts w:cs="Arial"/>
          <w:szCs w:val="24"/>
        </w:rPr>
        <w:t xml:space="preserve"> resolvió ofrecer las acciones de la compañía a la venta a través de un proceso competitivo a desarrollar por los accionistas. Dicho proceso se está sustanciando en  2019 y el mismo podría impactar  en el valor del activo de la inversión.</w:t>
      </w:r>
    </w:p>
    <w:p w:rsidR="00384886" w:rsidRDefault="00384886" w:rsidP="00D65E48">
      <w:pPr>
        <w:tabs>
          <w:tab w:val="left" w:pos="1701"/>
        </w:tabs>
        <w:spacing w:after="0" w:line="360" w:lineRule="auto"/>
        <w:ind w:left="426"/>
        <w:rPr>
          <w:rFonts w:cs="Arial"/>
          <w:szCs w:val="24"/>
        </w:rPr>
      </w:pPr>
      <w:r>
        <w:rPr>
          <w:rFonts w:cs="Arial"/>
          <w:szCs w:val="24"/>
        </w:rPr>
        <w:t>Asimismo, la situación de la empresa configura la causal prevista en el Artículo 293 de la Ley N°16.060, en cuanto a la obligación de reducir su capital integrado.</w:t>
      </w:r>
    </w:p>
    <w:p w:rsidR="00384886" w:rsidRDefault="00384886" w:rsidP="00D65E48">
      <w:pPr>
        <w:tabs>
          <w:tab w:val="left" w:pos="1701"/>
        </w:tabs>
        <w:spacing w:after="0" w:line="360" w:lineRule="auto"/>
        <w:ind w:left="426"/>
        <w:rPr>
          <w:rFonts w:cs="Arial"/>
          <w:szCs w:val="24"/>
          <w:lang w:val="es-ES_tradnl" w:eastAsia="es-ES"/>
        </w:rPr>
      </w:pPr>
      <w:r w:rsidRPr="00D42AA2">
        <w:rPr>
          <w:rFonts w:cs="Arial"/>
          <w:szCs w:val="24"/>
        </w:rPr>
        <w:t>Los auditores externos se abstuvieron de emitir opinión sobre los Estados Financieros d</w:t>
      </w:r>
      <w:r>
        <w:rPr>
          <w:rFonts w:cs="Arial"/>
          <w:szCs w:val="24"/>
        </w:rPr>
        <w:t>e Gas Sayago S.A. al 31/12/2017 y al 31/12/2018</w:t>
      </w:r>
      <w:r>
        <w:rPr>
          <w:rFonts w:cs="Arial"/>
          <w:szCs w:val="24"/>
          <w:lang w:val="es-ES_tradnl" w:eastAsia="es-ES"/>
        </w:rPr>
        <w:t>.</w:t>
      </w:r>
    </w:p>
    <w:p w:rsidR="00384886" w:rsidRPr="0028503C" w:rsidRDefault="00384886" w:rsidP="00C973E4">
      <w:pPr>
        <w:spacing w:after="0" w:line="360" w:lineRule="auto"/>
        <w:ind w:left="426"/>
        <w:rPr>
          <w:rFonts w:cs="Arial"/>
          <w:szCs w:val="24"/>
        </w:rPr>
      </w:pPr>
      <w:r w:rsidRPr="0028503C">
        <w:rPr>
          <w:rFonts w:cs="Arial"/>
          <w:b/>
          <w:szCs w:val="24"/>
        </w:rPr>
        <w:t>5.</w:t>
      </w:r>
      <w:r>
        <w:rPr>
          <w:rFonts w:cs="Arial"/>
          <w:szCs w:val="24"/>
        </w:rPr>
        <w:t xml:space="preserve"> No se constituyó provisión por la</w:t>
      </w:r>
      <w:r w:rsidRPr="0028503C">
        <w:rPr>
          <w:rFonts w:cs="Arial"/>
          <w:szCs w:val="24"/>
        </w:rPr>
        <w:t xml:space="preserve">s garantías otorgadas por ANCAP expuestas en la Nota </w:t>
      </w:r>
      <w:r>
        <w:rPr>
          <w:rFonts w:cs="Arial"/>
          <w:szCs w:val="24"/>
        </w:rPr>
        <w:t>29</w:t>
      </w:r>
      <w:r w:rsidRPr="0028503C">
        <w:rPr>
          <w:rFonts w:cs="Arial"/>
          <w:szCs w:val="24"/>
        </w:rPr>
        <w:t>, referidas a préstamos asumidos por Gas Sayago S.A. con la Corporación Andina de Foment</w:t>
      </w:r>
      <w:r>
        <w:rPr>
          <w:rFonts w:cs="Arial"/>
          <w:szCs w:val="24"/>
        </w:rPr>
        <w:t>o (CAF), hasta la suma de U$S82:</w:t>
      </w:r>
      <w:r w:rsidRPr="0028503C">
        <w:rPr>
          <w:rFonts w:cs="Arial"/>
          <w:szCs w:val="24"/>
        </w:rPr>
        <w:t xml:space="preserve">600.000 y por la que el Organismo es garante solidario, liso y llano </w:t>
      </w:r>
      <w:r>
        <w:rPr>
          <w:rFonts w:cs="Arial"/>
          <w:szCs w:val="24"/>
        </w:rPr>
        <w:t>pagador, conjuntamente con UTE.</w:t>
      </w:r>
      <w:r w:rsidRPr="00C852BA">
        <w:rPr>
          <w:rFonts w:cs="Arial"/>
          <w:szCs w:val="24"/>
        </w:rPr>
        <w:t xml:space="preserve"> </w:t>
      </w:r>
      <w:r w:rsidRPr="00E7424E">
        <w:rPr>
          <w:rFonts w:cs="Arial"/>
          <w:szCs w:val="24"/>
        </w:rPr>
        <w:t>El Poder Ejecutivo, en resolución de fecha 20/12/2018 dispuso que el saldo de dichas garantías sea  cancelado por los accionistas en función de su respectiva participación accionaria en la empresa Gas Sayago S.A</w:t>
      </w:r>
      <w:r>
        <w:rPr>
          <w:rFonts w:cs="Arial"/>
          <w:szCs w:val="24"/>
        </w:rPr>
        <w:t>.</w:t>
      </w:r>
      <w:r w:rsidRPr="00E7424E">
        <w:rPr>
          <w:rFonts w:cs="Arial"/>
          <w:szCs w:val="24"/>
        </w:rPr>
        <w:t xml:space="preserve">, </w:t>
      </w:r>
      <w:r w:rsidRPr="00C973E4">
        <w:rPr>
          <w:rFonts w:cs="Arial"/>
          <w:szCs w:val="24"/>
        </w:rPr>
        <w:t xml:space="preserve">habiéndose verificado </w:t>
      </w:r>
      <w:r>
        <w:rPr>
          <w:rFonts w:cs="Arial"/>
          <w:szCs w:val="24"/>
        </w:rPr>
        <w:t>el pago de dicho saldo de U$S 6:253.292 en el E</w:t>
      </w:r>
      <w:r w:rsidRPr="00C973E4">
        <w:rPr>
          <w:rFonts w:cs="Arial"/>
          <w:szCs w:val="24"/>
        </w:rPr>
        <w:t>jercicio 2018</w:t>
      </w:r>
      <w:r>
        <w:rPr>
          <w:rFonts w:cs="Arial"/>
          <w:szCs w:val="24"/>
        </w:rPr>
        <w:t>.</w:t>
      </w:r>
    </w:p>
    <w:p w:rsidR="00384886" w:rsidRPr="0035367D" w:rsidRDefault="00384886" w:rsidP="00D65E48">
      <w:pPr>
        <w:spacing w:after="0" w:line="360" w:lineRule="auto"/>
        <w:rPr>
          <w:rFonts w:cs="Arial"/>
          <w:b/>
          <w:szCs w:val="24"/>
        </w:rPr>
      </w:pPr>
      <w:r>
        <w:rPr>
          <w:rFonts w:cs="Arial"/>
          <w:b/>
          <w:szCs w:val="24"/>
        </w:rPr>
        <w:t>Énfasis en</w:t>
      </w:r>
      <w:r w:rsidRPr="0035367D">
        <w:rPr>
          <w:rFonts w:cs="Arial"/>
          <w:b/>
          <w:szCs w:val="24"/>
        </w:rPr>
        <w:t xml:space="preserve"> asuntos</w:t>
      </w:r>
    </w:p>
    <w:p w:rsidR="00384886" w:rsidRDefault="00384886" w:rsidP="00D66A6E">
      <w:pPr>
        <w:spacing w:after="0" w:line="360" w:lineRule="auto"/>
        <w:rPr>
          <w:rFonts w:cs="Arial"/>
          <w:szCs w:val="24"/>
        </w:rPr>
      </w:pPr>
      <w:r w:rsidRPr="00D42AA2">
        <w:rPr>
          <w:rFonts w:cs="Arial"/>
          <w:szCs w:val="24"/>
        </w:rPr>
        <w:t xml:space="preserve">Sin afectar nuestra opinión, hacemos énfasis respecto a </w:t>
      </w:r>
      <w:r>
        <w:rPr>
          <w:rFonts w:cs="Arial"/>
          <w:szCs w:val="24"/>
        </w:rPr>
        <w:t>las</w:t>
      </w:r>
      <w:r w:rsidRPr="00D42AA2">
        <w:rPr>
          <w:rFonts w:cs="Arial"/>
          <w:szCs w:val="24"/>
        </w:rPr>
        <w:t xml:space="preserve"> situaciones</w:t>
      </w:r>
      <w:r>
        <w:rPr>
          <w:rFonts w:cs="Arial"/>
          <w:szCs w:val="24"/>
        </w:rPr>
        <w:t xml:space="preserve"> planteadas en l</w:t>
      </w:r>
      <w:r w:rsidRPr="001E1879">
        <w:rPr>
          <w:rFonts w:cs="Arial"/>
          <w:szCs w:val="24"/>
        </w:rPr>
        <w:t>as Notas 8, 1</w:t>
      </w:r>
      <w:r>
        <w:rPr>
          <w:rFonts w:cs="Arial"/>
          <w:szCs w:val="24"/>
        </w:rPr>
        <w:t>7.d,</w:t>
      </w:r>
      <w:r w:rsidRPr="001E1879">
        <w:rPr>
          <w:rFonts w:cs="Arial"/>
          <w:szCs w:val="24"/>
        </w:rPr>
        <w:t xml:space="preserve"> 1</w:t>
      </w:r>
      <w:r>
        <w:rPr>
          <w:rFonts w:cs="Arial"/>
          <w:szCs w:val="24"/>
        </w:rPr>
        <w:t>8</w:t>
      </w:r>
      <w:r w:rsidRPr="001E1879">
        <w:rPr>
          <w:rFonts w:cs="Arial"/>
          <w:szCs w:val="24"/>
        </w:rPr>
        <w:t>.</w:t>
      </w:r>
      <w:r>
        <w:rPr>
          <w:rFonts w:cs="Arial"/>
          <w:szCs w:val="24"/>
        </w:rPr>
        <w:t xml:space="preserve">c y 19.1 </w:t>
      </w:r>
      <w:r w:rsidRPr="001E1879">
        <w:rPr>
          <w:rFonts w:cs="Arial"/>
          <w:szCs w:val="24"/>
        </w:rPr>
        <w:t xml:space="preserve">a los Estados Financieros </w:t>
      </w:r>
      <w:r>
        <w:rPr>
          <w:rFonts w:cs="Arial"/>
          <w:szCs w:val="24"/>
        </w:rPr>
        <w:t>Individuales</w:t>
      </w:r>
      <w:r w:rsidRPr="001E1879">
        <w:rPr>
          <w:rFonts w:cs="Arial"/>
          <w:szCs w:val="24"/>
        </w:rPr>
        <w:t xml:space="preserve">, </w:t>
      </w:r>
      <w:r>
        <w:rPr>
          <w:rFonts w:cs="Arial"/>
          <w:szCs w:val="24"/>
        </w:rPr>
        <w:t xml:space="preserve">donde se </w:t>
      </w:r>
      <w:r w:rsidRPr="001E1879">
        <w:rPr>
          <w:rFonts w:cs="Arial"/>
          <w:szCs w:val="24"/>
        </w:rPr>
        <w:t xml:space="preserve">exponen las pérdidas por deterioro reconocidas por ANCAP y sus subsidiarias, </w:t>
      </w:r>
      <w:r>
        <w:rPr>
          <w:rFonts w:cs="Arial"/>
          <w:szCs w:val="24"/>
        </w:rPr>
        <w:t>así como la situación de sus inversiones en negocios conjuntos y de sus contingencias</w:t>
      </w:r>
      <w:r w:rsidRPr="001E1879">
        <w:rPr>
          <w:rFonts w:cs="Arial"/>
          <w:szCs w:val="24"/>
        </w:rPr>
        <w:t>:</w:t>
      </w:r>
    </w:p>
    <w:p w:rsidR="00384886" w:rsidRPr="000967BF" w:rsidRDefault="00384886" w:rsidP="00384886">
      <w:pPr>
        <w:pStyle w:val="Prrafodelista"/>
        <w:numPr>
          <w:ilvl w:val="0"/>
          <w:numId w:val="3"/>
        </w:numPr>
        <w:spacing w:after="0" w:line="360" w:lineRule="auto"/>
        <w:jc w:val="both"/>
        <w:rPr>
          <w:rFonts w:ascii="Arial" w:hAnsi="Arial" w:cs="Arial"/>
          <w:sz w:val="24"/>
          <w:szCs w:val="24"/>
        </w:rPr>
      </w:pPr>
      <w:r w:rsidRPr="000967BF">
        <w:rPr>
          <w:rFonts w:ascii="Arial" w:hAnsi="Arial" w:cs="Arial"/>
          <w:sz w:val="24"/>
          <w:szCs w:val="24"/>
        </w:rPr>
        <w:t>con respecto a negocios gestionados por ANCAP:</w:t>
      </w:r>
    </w:p>
    <w:p w:rsidR="00384886" w:rsidRDefault="00384886" w:rsidP="00384886">
      <w:pPr>
        <w:pStyle w:val="Prrafodelista"/>
        <w:numPr>
          <w:ilvl w:val="0"/>
          <w:numId w:val="4"/>
        </w:numPr>
        <w:spacing w:after="0" w:line="360" w:lineRule="auto"/>
        <w:ind w:left="1276"/>
        <w:jc w:val="both"/>
        <w:rPr>
          <w:rFonts w:ascii="Arial" w:hAnsi="Arial" w:cs="Arial"/>
          <w:sz w:val="24"/>
          <w:szCs w:val="24"/>
        </w:rPr>
      </w:pPr>
      <w:r>
        <w:rPr>
          <w:rFonts w:ascii="Arial" w:hAnsi="Arial" w:cs="Arial"/>
          <w:sz w:val="24"/>
          <w:szCs w:val="24"/>
        </w:rPr>
        <w:t>en el</w:t>
      </w:r>
      <w:r w:rsidRPr="001E1879">
        <w:rPr>
          <w:rFonts w:ascii="Arial" w:hAnsi="Arial" w:cs="Arial"/>
          <w:sz w:val="24"/>
          <w:szCs w:val="24"/>
        </w:rPr>
        <w:t xml:space="preserve"> </w:t>
      </w:r>
      <w:r>
        <w:rPr>
          <w:rFonts w:ascii="Arial" w:hAnsi="Arial" w:cs="Arial"/>
          <w:sz w:val="24"/>
          <w:szCs w:val="24"/>
        </w:rPr>
        <w:t xml:space="preserve">negocio </w:t>
      </w:r>
      <w:r w:rsidRPr="001E1879">
        <w:rPr>
          <w:rFonts w:ascii="Arial" w:hAnsi="Arial" w:cs="Arial"/>
          <w:sz w:val="24"/>
          <w:szCs w:val="24"/>
        </w:rPr>
        <w:t>Portland,</w:t>
      </w:r>
      <w:r>
        <w:rPr>
          <w:rFonts w:ascii="Arial" w:hAnsi="Arial" w:cs="Arial"/>
          <w:sz w:val="24"/>
          <w:szCs w:val="24"/>
        </w:rPr>
        <w:t xml:space="preserve"> </w:t>
      </w:r>
      <w:r w:rsidRPr="001E1879">
        <w:rPr>
          <w:rFonts w:ascii="Arial" w:hAnsi="Arial" w:cs="Arial"/>
          <w:sz w:val="24"/>
          <w:szCs w:val="24"/>
        </w:rPr>
        <w:t xml:space="preserve">el importe reconocido </w:t>
      </w:r>
      <w:r>
        <w:rPr>
          <w:rFonts w:ascii="Arial" w:hAnsi="Arial" w:cs="Arial"/>
          <w:sz w:val="24"/>
          <w:szCs w:val="24"/>
        </w:rPr>
        <w:t>como pérdida fue de $ 60:918.000 en el Ejercicio 2017 y $ 3.620:759.155 en el E</w:t>
      </w:r>
      <w:r w:rsidRPr="001E1879">
        <w:rPr>
          <w:rFonts w:ascii="Arial" w:hAnsi="Arial" w:cs="Arial"/>
          <w:sz w:val="24"/>
          <w:szCs w:val="24"/>
        </w:rPr>
        <w:t>jercicio 2016.</w:t>
      </w:r>
    </w:p>
    <w:p w:rsidR="00384886" w:rsidRDefault="00384886" w:rsidP="00384886">
      <w:pPr>
        <w:pStyle w:val="Prrafodelista"/>
        <w:numPr>
          <w:ilvl w:val="0"/>
          <w:numId w:val="4"/>
        </w:numPr>
        <w:spacing w:after="0" w:line="360" w:lineRule="auto"/>
        <w:ind w:left="1276"/>
        <w:jc w:val="both"/>
        <w:rPr>
          <w:rFonts w:ascii="Arial" w:hAnsi="Arial" w:cs="Arial"/>
          <w:sz w:val="24"/>
          <w:szCs w:val="24"/>
        </w:rPr>
      </w:pPr>
      <w:r>
        <w:rPr>
          <w:rFonts w:ascii="Arial" w:hAnsi="Arial" w:cs="Arial"/>
          <w:sz w:val="24"/>
          <w:szCs w:val="24"/>
        </w:rPr>
        <w:t xml:space="preserve">en </w:t>
      </w:r>
      <w:r w:rsidRPr="001E1879">
        <w:rPr>
          <w:rFonts w:ascii="Arial" w:hAnsi="Arial" w:cs="Arial"/>
          <w:sz w:val="24"/>
          <w:szCs w:val="24"/>
        </w:rPr>
        <w:t xml:space="preserve">la actividad “Exploración Plataforma Sísmica”, el deterioro de los activos intangibles registrado en </w:t>
      </w:r>
      <w:r>
        <w:rPr>
          <w:rFonts w:ascii="Arial" w:hAnsi="Arial" w:cs="Arial"/>
          <w:sz w:val="24"/>
          <w:szCs w:val="24"/>
        </w:rPr>
        <w:t>el Ejercicio 2017 fue de $15:232.909, y en el E</w:t>
      </w:r>
      <w:r w:rsidRPr="001E1879">
        <w:rPr>
          <w:rFonts w:ascii="Arial" w:hAnsi="Arial" w:cs="Arial"/>
          <w:sz w:val="24"/>
          <w:szCs w:val="24"/>
        </w:rPr>
        <w:t>jercicio 2016 fue de $100:000.000.</w:t>
      </w:r>
    </w:p>
    <w:p w:rsidR="00384886" w:rsidRPr="009E5391" w:rsidRDefault="00384886" w:rsidP="00384886">
      <w:pPr>
        <w:pStyle w:val="Prrafodelista"/>
        <w:keepNext/>
        <w:widowControl w:val="0"/>
        <w:numPr>
          <w:ilvl w:val="0"/>
          <w:numId w:val="3"/>
        </w:numPr>
        <w:tabs>
          <w:tab w:val="num" w:pos="142"/>
        </w:tabs>
        <w:spacing w:after="0" w:line="360" w:lineRule="auto"/>
        <w:jc w:val="both"/>
        <w:rPr>
          <w:rFonts w:ascii="Arial" w:hAnsi="Arial" w:cs="Arial"/>
          <w:b/>
          <w:bCs/>
          <w:sz w:val="24"/>
          <w:szCs w:val="24"/>
        </w:rPr>
      </w:pPr>
      <w:r w:rsidRPr="009E5391">
        <w:rPr>
          <w:rFonts w:ascii="Arial" w:hAnsi="Arial" w:cs="Arial"/>
          <w:sz w:val="24"/>
          <w:szCs w:val="24"/>
        </w:rPr>
        <w:t>en cuanto al negocio “Caña, Cereales y Oleaginosos”, que gestiona ALUR S.A., empresa de la cual ANCAP es propietaria del 90.79% de su capital accionario, el importe reconocido como pérdida por deterioro en el Ejercicio 2017 fue de $ 258:084.448, y en el Ejercicio 2016 fue de       $ 838:882.444.-</w:t>
      </w:r>
    </w:p>
    <w:p w:rsidR="00384886" w:rsidRPr="009E5391" w:rsidRDefault="00384886" w:rsidP="009E5391">
      <w:pPr>
        <w:keepNext/>
        <w:widowControl w:val="0"/>
        <w:tabs>
          <w:tab w:val="num" w:pos="142"/>
        </w:tabs>
        <w:spacing w:after="0" w:line="360" w:lineRule="auto"/>
        <w:rPr>
          <w:rFonts w:cs="Arial"/>
          <w:b/>
          <w:bCs/>
          <w:szCs w:val="24"/>
        </w:rPr>
      </w:pPr>
      <w:r w:rsidRPr="009E5391">
        <w:rPr>
          <w:rFonts w:cs="Arial"/>
          <w:b/>
          <w:bCs/>
          <w:szCs w:val="24"/>
        </w:rPr>
        <w:t xml:space="preserve">Responsabilidad del Directorio en relación con los estados financieros </w:t>
      </w:r>
      <w:r>
        <w:rPr>
          <w:rFonts w:cs="Arial"/>
          <w:b/>
          <w:bCs/>
          <w:szCs w:val="24"/>
        </w:rPr>
        <w:t>i</w:t>
      </w:r>
      <w:r w:rsidRPr="009E5391">
        <w:rPr>
          <w:rFonts w:cs="Arial"/>
          <w:b/>
          <w:bCs/>
          <w:szCs w:val="24"/>
        </w:rPr>
        <w:t>ndividuales</w:t>
      </w:r>
    </w:p>
    <w:p w:rsidR="00384886" w:rsidRPr="00DB0AA3" w:rsidRDefault="00384886" w:rsidP="00A71C5B">
      <w:pPr>
        <w:pStyle w:val="Textoindependiente"/>
        <w:keepNext/>
        <w:widowControl w:val="0"/>
        <w:spacing w:line="360" w:lineRule="auto"/>
        <w:rPr>
          <w:rFonts w:cs="Arial"/>
          <w:szCs w:val="24"/>
        </w:rPr>
      </w:pPr>
      <w:r w:rsidRPr="00DB0AA3">
        <w:rPr>
          <w:rFonts w:cs="Arial"/>
          <w:szCs w:val="24"/>
        </w:rPr>
        <w:t xml:space="preserve">El Directorio de ANCAP es responsable por la preparación y presentación razonable de los estados financieros individuales de acuerdo con normas contables adecuadas en Uruguay y la Ordenanza Nº 89 del Tribunal de Cuentas, y del control interno que la administración de la entidad consideró necesario para permitir la preparación de estados financieros </w:t>
      </w:r>
      <w:r>
        <w:rPr>
          <w:rFonts w:cs="Arial"/>
          <w:szCs w:val="24"/>
        </w:rPr>
        <w:t xml:space="preserve">individuales </w:t>
      </w:r>
      <w:r w:rsidRPr="00DB0AA3">
        <w:rPr>
          <w:rFonts w:cs="Arial"/>
          <w:szCs w:val="24"/>
        </w:rPr>
        <w:t>libres de errores significativos ya sea debido a fraude o error.</w:t>
      </w:r>
    </w:p>
    <w:p w:rsidR="00384886" w:rsidRPr="00DB0AA3" w:rsidRDefault="00384886" w:rsidP="00A71C5B">
      <w:pPr>
        <w:pStyle w:val="Textoindependiente"/>
        <w:keepNext/>
        <w:widowControl w:val="0"/>
        <w:spacing w:line="360" w:lineRule="auto"/>
        <w:rPr>
          <w:rFonts w:cs="Arial"/>
          <w:szCs w:val="24"/>
        </w:rPr>
      </w:pPr>
      <w:r w:rsidRPr="00DB0AA3">
        <w:rPr>
          <w:rFonts w:cs="Arial"/>
          <w:szCs w:val="24"/>
        </w:rPr>
        <w:t>El Directorio es responsable de supervisar el proceso de preparación de los estados financieros individuales</w:t>
      </w:r>
      <w:r>
        <w:rPr>
          <w:rFonts w:cs="Arial"/>
          <w:szCs w:val="24"/>
        </w:rPr>
        <w:t xml:space="preserve"> de ANCAP</w:t>
      </w:r>
      <w:r w:rsidRPr="00DB0AA3">
        <w:rPr>
          <w:rFonts w:cs="Arial"/>
          <w:szCs w:val="24"/>
        </w:rPr>
        <w:t>.</w:t>
      </w:r>
    </w:p>
    <w:p w:rsidR="00384886" w:rsidRPr="00BE2E65" w:rsidRDefault="00384886" w:rsidP="00A71C5B">
      <w:pPr>
        <w:pStyle w:val="Textoindependiente"/>
        <w:keepNext/>
        <w:widowControl w:val="0"/>
        <w:tabs>
          <w:tab w:val="num" w:pos="142"/>
        </w:tabs>
        <w:spacing w:line="360" w:lineRule="auto"/>
        <w:rPr>
          <w:rFonts w:cs="Arial"/>
          <w:b/>
          <w:bCs/>
          <w:szCs w:val="24"/>
        </w:rPr>
      </w:pPr>
      <w:r w:rsidRPr="00BE2E65">
        <w:rPr>
          <w:rFonts w:cs="Arial"/>
          <w:b/>
          <w:bCs/>
          <w:szCs w:val="24"/>
        </w:rPr>
        <w:t xml:space="preserve">Responsabilidad del Tribunal de </w:t>
      </w:r>
      <w:r>
        <w:rPr>
          <w:rFonts w:cs="Arial"/>
          <w:b/>
          <w:bCs/>
          <w:szCs w:val="24"/>
        </w:rPr>
        <w:t>C</w:t>
      </w:r>
      <w:r w:rsidRPr="00BE2E65">
        <w:rPr>
          <w:rFonts w:cs="Arial"/>
          <w:b/>
          <w:bCs/>
          <w:szCs w:val="24"/>
        </w:rPr>
        <w:t>uentas por la auditoría de los estados financieros individuales</w:t>
      </w:r>
    </w:p>
    <w:p w:rsidR="00384886" w:rsidRPr="00BE2E65" w:rsidRDefault="00384886" w:rsidP="00A71C5B">
      <w:pPr>
        <w:pStyle w:val="Textoindependiente"/>
        <w:keepNext/>
        <w:widowControl w:val="0"/>
        <w:tabs>
          <w:tab w:val="num" w:pos="142"/>
        </w:tabs>
        <w:spacing w:line="360" w:lineRule="auto"/>
        <w:rPr>
          <w:rFonts w:cs="Arial"/>
          <w:szCs w:val="24"/>
        </w:rPr>
      </w:pPr>
      <w:r w:rsidRPr="00BE2E65">
        <w:rPr>
          <w:rFonts w:cs="Arial"/>
          <w:bCs/>
          <w:szCs w:val="24"/>
        </w:rPr>
        <w:t>El objetivo de la auditoría consiste en obtener una seguridad razonable acerca</w:t>
      </w:r>
      <w:r w:rsidRPr="00BE2E65">
        <w:rPr>
          <w:rFonts w:cs="Arial"/>
          <w:szCs w:val="24"/>
        </w:rPr>
        <w:t xml:space="preserve"> de que los estados financieros Individuales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384886" w:rsidRPr="00DB0AA3" w:rsidRDefault="00384886" w:rsidP="00A71C5B">
      <w:pPr>
        <w:spacing w:after="0" w:line="360" w:lineRule="auto"/>
        <w:rPr>
          <w:rFonts w:cs="Arial"/>
          <w:szCs w:val="24"/>
        </w:rPr>
      </w:pPr>
      <w:r w:rsidRPr="00DB0AA3">
        <w:rPr>
          <w:rFonts w:cs="Arial"/>
          <w:szCs w:val="24"/>
        </w:rPr>
        <w:t xml:space="preserve">Como parte de una auditoría de acuerdo con las ISSAI referidas en la sección </w:t>
      </w:r>
      <w:r w:rsidRPr="00DB0AA3">
        <w:rPr>
          <w:rFonts w:cs="Arial"/>
          <w:i/>
          <w:szCs w:val="24"/>
        </w:rPr>
        <w:t xml:space="preserve">Bases para la Opinión </w:t>
      </w:r>
      <w:r>
        <w:rPr>
          <w:rFonts w:cs="Arial"/>
          <w:i/>
          <w:szCs w:val="24"/>
        </w:rPr>
        <w:t>con Salvedades</w:t>
      </w:r>
      <w:r w:rsidRPr="00DB0AA3">
        <w:rPr>
          <w:rFonts w:cs="Arial"/>
          <w:szCs w:val="24"/>
        </w:rPr>
        <w:t>, el Tribu</w:t>
      </w:r>
      <w:r>
        <w:rPr>
          <w:rFonts w:cs="Arial"/>
          <w:szCs w:val="24"/>
        </w:rPr>
        <w:t xml:space="preserve">nal de Cuentas aplica su juicio </w:t>
      </w:r>
      <w:r w:rsidRPr="00DB0AA3">
        <w:rPr>
          <w:rFonts w:cs="Arial"/>
          <w:szCs w:val="24"/>
        </w:rPr>
        <w:t>profesional y mantiene el escepticismo profesional durante el proceso de auditoría. Asimismo:</w:t>
      </w:r>
    </w:p>
    <w:p w:rsidR="00384886" w:rsidRPr="00DB0AA3" w:rsidRDefault="00384886" w:rsidP="00384886">
      <w:pPr>
        <w:pStyle w:val="Prrafodelista"/>
        <w:numPr>
          <w:ilvl w:val="0"/>
          <w:numId w:val="2"/>
        </w:numPr>
        <w:spacing w:after="0" w:line="360" w:lineRule="auto"/>
        <w:ind w:left="0" w:hanging="357"/>
        <w:jc w:val="both"/>
        <w:rPr>
          <w:rFonts w:ascii="Arial" w:hAnsi="Arial" w:cs="Arial"/>
          <w:sz w:val="24"/>
          <w:szCs w:val="24"/>
        </w:rPr>
      </w:pPr>
      <w:r w:rsidRPr="00DB0AA3">
        <w:rPr>
          <w:rFonts w:ascii="Arial" w:hAnsi="Arial" w:cs="Arial"/>
          <w:sz w:val="24"/>
          <w:szCs w:val="24"/>
        </w:rPr>
        <w:t>Identifica y evalúa el riesgo de que existan errores significativos en los estados financieros</w:t>
      </w:r>
      <w:r>
        <w:rPr>
          <w:rFonts w:ascii="Arial" w:hAnsi="Arial" w:cs="Arial"/>
          <w:sz w:val="24"/>
          <w:szCs w:val="24"/>
        </w:rPr>
        <w:t xml:space="preserve"> individuales</w:t>
      </w:r>
      <w:r w:rsidRPr="00DB0AA3">
        <w:rPr>
          <w:rFonts w:ascii="Arial" w:hAnsi="Arial" w:cs="Arial"/>
          <w:sz w:val="24"/>
          <w:szCs w:val="24"/>
        </w:rPr>
        <w:t>,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w:t>
      </w:r>
      <w:r>
        <w:rPr>
          <w:rFonts w:ascii="Arial" w:hAnsi="Arial" w:cs="Arial"/>
          <w:sz w:val="24"/>
          <w:szCs w:val="24"/>
        </w:rPr>
        <w:softHyphen/>
      </w:r>
      <w:r w:rsidRPr="00DB0AA3">
        <w:rPr>
          <w:rFonts w:ascii="Arial" w:hAnsi="Arial" w:cs="Arial"/>
          <w:sz w:val="24"/>
          <w:szCs w:val="24"/>
        </w:rPr>
        <w:t>mente incorrectas o ap</w:t>
      </w:r>
      <w:r w:rsidR="004D3024">
        <w:rPr>
          <w:rFonts w:ascii="Arial" w:hAnsi="Arial" w:cs="Arial"/>
          <w:sz w:val="24"/>
          <w:szCs w:val="24"/>
        </w:rPr>
        <w:t>artamientos de control interno.</w:t>
      </w:r>
    </w:p>
    <w:p w:rsidR="00384886" w:rsidRPr="00DB0AA3" w:rsidRDefault="00384886" w:rsidP="00384886">
      <w:pPr>
        <w:pStyle w:val="Prrafodelista"/>
        <w:numPr>
          <w:ilvl w:val="0"/>
          <w:numId w:val="2"/>
        </w:numPr>
        <w:spacing w:after="0" w:line="360" w:lineRule="auto"/>
        <w:ind w:left="0" w:hanging="357"/>
        <w:jc w:val="both"/>
        <w:rPr>
          <w:rFonts w:ascii="Arial" w:hAnsi="Arial" w:cs="Arial"/>
          <w:sz w:val="24"/>
          <w:szCs w:val="24"/>
        </w:rPr>
      </w:pPr>
      <w:r w:rsidRPr="00DB0AA3">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384886" w:rsidRPr="00DB0AA3" w:rsidRDefault="00384886" w:rsidP="00384886">
      <w:pPr>
        <w:pStyle w:val="Prrafodelista"/>
        <w:numPr>
          <w:ilvl w:val="0"/>
          <w:numId w:val="2"/>
        </w:numPr>
        <w:spacing w:after="0" w:line="360" w:lineRule="auto"/>
        <w:ind w:left="0" w:hanging="357"/>
        <w:jc w:val="both"/>
        <w:rPr>
          <w:rFonts w:ascii="Arial" w:hAnsi="Arial" w:cs="Arial"/>
          <w:sz w:val="24"/>
          <w:szCs w:val="24"/>
        </w:rPr>
      </w:pPr>
      <w:r w:rsidRPr="00DB0AA3">
        <w:rPr>
          <w:rFonts w:ascii="Arial" w:hAnsi="Arial" w:cs="Arial"/>
          <w:sz w:val="24"/>
          <w:szCs w:val="24"/>
        </w:rPr>
        <w:t>Evalúa lo adecuado de las políticas contables adoptadas, la razonabilidad de las estimaciones contables y las revelaciones relacionadas realizadas por la Dirección.</w:t>
      </w:r>
    </w:p>
    <w:p w:rsidR="00384886" w:rsidRPr="00DB0AA3" w:rsidRDefault="00384886" w:rsidP="00384886">
      <w:pPr>
        <w:pStyle w:val="Prrafodelista"/>
        <w:numPr>
          <w:ilvl w:val="0"/>
          <w:numId w:val="2"/>
        </w:numPr>
        <w:spacing w:after="0" w:line="360" w:lineRule="auto"/>
        <w:ind w:left="0" w:hanging="357"/>
        <w:jc w:val="both"/>
        <w:rPr>
          <w:rFonts w:ascii="Arial" w:hAnsi="Arial" w:cs="Arial"/>
          <w:sz w:val="24"/>
          <w:szCs w:val="24"/>
        </w:rPr>
      </w:pPr>
      <w:r w:rsidRPr="00DB0AA3">
        <w:rPr>
          <w:rFonts w:ascii="Arial" w:hAnsi="Arial" w:cs="Arial"/>
          <w:sz w:val="24"/>
          <w:szCs w:val="24"/>
        </w:rPr>
        <w:t>Evalúa la presentación general, la estructura y contenido de los estados financieros individuales, incluyendo las revelaciones y si los estados financieros individuales representan las transacciones y eventos subyacentes de un modo que se logre una representación fiel de los mismos.</w:t>
      </w:r>
    </w:p>
    <w:p w:rsidR="00384886" w:rsidRPr="00DB0AA3" w:rsidRDefault="00384886" w:rsidP="00A71C5B">
      <w:pPr>
        <w:spacing w:after="0" w:line="360" w:lineRule="auto"/>
        <w:rPr>
          <w:rFonts w:cs="Arial"/>
          <w:szCs w:val="24"/>
        </w:rPr>
      </w:pPr>
      <w:r w:rsidRPr="00DB0AA3">
        <w:rPr>
          <w:rFonts w:cs="Arial"/>
          <w:szCs w:val="24"/>
        </w:rPr>
        <w:t>El Tribunal de Cuentas se comunicó con el Directorio, en relación, entre otros asuntos, al alcance y la oportunidad de los procedimientos de auditoría, los hallazgos significativos de auditoría incluidos, en caso de corresponder, y las deficiencias significativas en el control int</w:t>
      </w:r>
      <w:r>
        <w:rPr>
          <w:rFonts w:cs="Arial"/>
          <w:szCs w:val="24"/>
        </w:rPr>
        <w:t xml:space="preserve">erno que se identificaron en el </w:t>
      </w:r>
      <w:r w:rsidRPr="00DB0AA3">
        <w:rPr>
          <w:rFonts w:cs="Arial"/>
          <w:szCs w:val="24"/>
        </w:rPr>
        <w:t>transcurso de la auditoría.</w:t>
      </w:r>
    </w:p>
    <w:p w:rsidR="00384886" w:rsidRDefault="00384886" w:rsidP="00AD7B50">
      <w:pPr>
        <w:jc w:val="right"/>
        <w:rPr>
          <w:rFonts w:cs="Arial"/>
          <w:bCs/>
          <w:szCs w:val="24"/>
        </w:rPr>
      </w:pPr>
      <w:r>
        <w:rPr>
          <w:rFonts w:cs="Arial"/>
          <w:bCs/>
          <w:szCs w:val="24"/>
        </w:rPr>
        <w:t>Montevideo,</w:t>
      </w:r>
      <w:r w:rsidRPr="0090716A">
        <w:rPr>
          <w:rFonts w:cs="Arial"/>
          <w:bCs/>
          <w:szCs w:val="24"/>
        </w:rPr>
        <w:t xml:space="preserve"> 18 de </w:t>
      </w:r>
      <w:r w:rsidR="00100FEE">
        <w:rPr>
          <w:rFonts w:cs="Arial"/>
          <w:bCs/>
          <w:szCs w:val="24"/>
        </w:rPr>
        <w:t>enero de 2019</w:t>
      </w:r>
    </w:p>
    <w:p w:rsidR="00384886" w:rsidRPr="0090716A" w:rsidRDefault="00384886" w:rsidP="009E5391">
      <w:pPr>
        <w:ind w:hanging="284"/>
        <w:jc w:val="left"/>
        <w:rPr>
          <w:rFonts w:cs="Arial"/>
          <w:bCs/>
          <w:szCs w:val="24"/>
        </w:rPr>
      </w:pPr>
      <w:proofErr w:type="gramStart"/>
      <w:r>
        <w:rPr>
          <w:rFonts w:cs="Arial"/>
          <w:bCs/>
          <w:szCs w:val="24"/>
        </w:rPr>
        <w:t>dc</w:t>
      </w:r>
      <w:proofErr w:type="gramEnd"/>
    </w:p>
    <w:p w:rsidR="00384886" w:rsidRPr="00056FB9" w:rsidRDefault="00384886" w:rsidP="00912A37">
      <w:pPr>
        <w:keepNext/>
        <w:spacing w:after="0" w:line="240" w:lineRule="auto"/>
        <w:jc w:val="center"/>
        <w:outlineLvl w:val="0"/>
        <w:rPr>
          <w:rFonts w:eastAsia="Times New Roman"/>
          <w:b/>
          <w:bCs/>
          <w:szCs w:val="24"/>
          <w:lang w:val="es-ES" w:eastAsia="es-ES"/>
        </w:rPr>
      </w:pPr>
      <w:r w:rsidRPr="00056FB9">
        <w:rPr>
          <w:rFonts w:eastAsia="Times New Roman"/>
          <w:b/>
          <w:bCs/>
          <w:szCs w:val="24"/>
          <w:lang w:val="es-ES" w:eastAsia="es-ES"/>
        </w:rPr>
        <w:t>DICTAMEN</w:t>
      </w:r>
    </w:p>
    <w:p w:rsidR="00384886" w:rsidRPr="00056FB9" w:rsidRDefault="00384886" w:rsidP="00912A37">
      <w:pPr>
        <w:spacing w:after="0" w:line="360" w:lineRule="auto"/>
        <w:rPr>
          <w:rFonts w:eastAsia="Times New Roman"/>
          <w:szCs w:val="20"/>
          <w:lang w:val="es-ES" w:eastAsia="es-ES"/>
        </w:rPr>
      </w:pPr>
    </w:p>
    <w:p w:rsidR="00384886" w:rsidRPr="00056FB9" w:rsidRDefault="00384886" w:rsidP="00912A37">
      <w:pPr>
        <w:spacing w:after="0" w:line="360" w:lineRule="auto"/>
        <w:rPr>
          <w:rFonts w:eastAsia="Times New Roman" w:cs="Arial"/>
          <w:sz w:val="18"/>
          <w:szCs w:val="18"/>
          <w:lang w:val="es-ES" w:eastAsia="es-ES"/>
        </w:rPr>
      </w:pPr>
      <w:r w:rsidRPr="00056FB9">
        <w:rPr>
          <w:rFonts w:eastAsia="Times New Roman" w:cs="Arial"/>
          <w:b/>
          <w:szCs w:val="24"/>
          <w:lang w:val="es-ES" w:eastAsia="es-ES"/>
        </w:rPr>
        <w:t>Opinión sin salvedades</w:t>
      </w:r>
    </w:p>
    <w:p w:rsidR="00384886" w:rsidRPr="00056FB9" w:rsidRDefault="00384886" w:rsidP="00912A37">
      <w:pPr>
        <w:spacing w:after="0" w:line="360" w:lineRule="auto"/>
        <w:rPr>
          <w:rFonts w:eastAsia="Times New Roman"/>
          <w:szCs w:val="20"/>
          <w:lang w:val="es-ES_tradnl" w:eastAsia="es-ES"/>
        </w:rPr>
      </w:pPr>
    </w:p>
    <w:p w:rsidR="00384886" w:rsidRPr="00190889" w:rsidRDefault="00384886" w:rsidP="00912A37">
      <w:pPr>
        <w:spacing w:after="0" w:line="360" w:lineRule="auto"/>
        <w:rPr>
          <w:rFonts w:eastAsia="Times New Roman"/>
          <w:szCs w:val="20"/>
          <w:lang w:eastAsia="es-ES"/>
        </w:rPr>
      </w:pPr>
      <w:r w:rsidRPr="00190889">
        <w:rPr>
          <w:rFonts w:eastAsia="Times New Roman"/>
          <w:szCs w:val="20"/>
          <w:lang w:val="es-ES_tradnl" w:eastAsia="es-ES"/>
        </w:rPr>
        <w:t>El Tribunal de Cuentas ha auditado el Estado de Ejecución Presupuestal de la Administración Nacional de Combustibles, Alcohol y P</w:t>
      </w:r>
      <w:r>
        <w:rPr>
          <w:rFonts w:eastAsia="Times New Roman"/>
          <w:szCs w:val="20"/>
          <w:lang w:val="es-ES_tradnl" w:eastAsia="es-ES"/>
        </w:rPr>
        <w:t>o</w:t>
      </w:r>
      <w:r w:rsidRPr="00190889">
        <w:rPr>
          <w:rFonts w:eastAsia="Times New Roman"/>
          <w:szCs w:val="20"/>
          <w:lang w:val="es-ES_tradnl" w:eastAsia="es-ES"/>
        </w:rPr>
        <w:t>rtland (ANCAP)</w:t>
      </w:r>
      <w:r>
        <w:rPr>
          <w:rFonts w:eastAsia="Times New Roman"/>
          <w:szCs w:val="20"/>
          <w:lang w:val="es-ES_tradnl" w:eastAsia="es-ES"/>
        </w:rPr>
        <w:t xml:space="preserve"> por el E</w:t>
      </w:r>
      <w:r w:rsidRPr="00190889">
        <w:rPr>
          <w:rFonts w:eastAsia="Times New Roman"/>
          <w:szCs w:val="20"/>
          <w:lang w:val="es-ES_tradnl" w:eastAsia="es-ES"/>
        </w:rPr>
        <w:t>jercicio finalizado el 31 de diciembre de 2017.</w:t>
      </w:r>
    </w:p>
    <w:p w:rsidR="00384886" w:rsidRPr="00190889" w:rsidRDefault="00384886" w:rsidP="00912A37">
      <w:pPr>
        <w:spacing w:after="0" w:line="360" w:lineRule="auto"/>
        <w:rPr>
          <w:rFonts w:eastAsia="Times New Roman"/>
          <w:szCs w:val="24"/>
          <w:lang w:val="es-ES" w:eastAsia="es-ES"/>
        </w:rPr>
      </w:pPr>
      <w:r w:rsidRPr="00190889">
        <w:rPr>
          <w:rFonts w:eastAsia="Times New Roman"/>
          <w:szCs w:val="24"/>
          <w:lang w:val="es-ES_tradnl" w:eastAsia="es-ES"/>
        </w:rPr>
        <w:t>En opinión del Tribunal de Cuentas, el estado referido precedentemente presenta razonablemente, en todos sus aspectos significativos, la ejecución presupuestal de ANCAP</w:t>
      </w:r>
      <w:r>
        <w:rPr>
          <w:rFonts w:eastAsia="Times New Roman"/>
          <w:szCs w:val="24"/>
          <w:lang w:val="es-ES_tradnl" w:eastAsia="es-ES"/>
        </w:rPr>
        <w:t xml:space="preserve"> correspondiente al E</w:t>
      </w:r>
      <w:r w:rsidRPr="00190889">
        <w:rPr>
          <w:rFonts w:eastAsia="Times New Roman"/>
          <w:szCs w:val="24"/>
          <w:lang w:val="es-ES_tradnl" w:eastAsia="es-ES"/>
        </w:rPr>
        <w:t>jercicio finalizado el 31 de diciembre de 2017, de</w:t>
      </w:r>
      <w:r w:rsidRPr="00190889">
        <w:rPr>
          <w:rFonts w:eastAsia="Times New Roman"/>
          <w:szCs w:val="24"/>
          <w:lang w:val="es-ES" w:eastAsia="es-ES"/>
        </w:rPr>
        <w:t xml:space="preserve"> acuerdo con las disposiciones legales aplicables, las normas y los criterios establecidos en el TOCAF, en la Ordenanza N° 75 del Tribunal de Cuentas y en el Decreto aprobatorio del Presupuesto del Ejercicio 2017.</w:t>
      </w:r>
    </w:p>
    <w:p w:rsidR="00384886" w:rsidRPr="00190889" w:rsidRDefault="00384886" w:rsidP="00912A37">
      <w:pPr>
        <w:spacing w:after="0" w:line="360" w:lineRule="auto"/>
        <w:rPr>
          <w:rFonts w:eastAsia="Times New Roman"/>
          <w:color w:val="FF0000"/>
          <w:szCs w:val="20"/>
          <w:lang w:val="es-ES" w:eastAsia="es-ES"/>
        </w:rPr>
      </w:pPr>
    </w:p>
    <w:p w:rsidR="00384886" w:rsidRPr="00E8511B" w:rsidRDefault="00384886" w:rsidP="00912A37">
      <w:pPr>
        <w:spacing w:after="0" w:line="360" w:lineRule="auto"/>
        <w:rPr>
          <w:rFonts w:eastAsia="Times New Roman" w:cs="Arial"/>
          <w:b/>
          <w:szCs w:val="24"/>
          <w:lang w:val="es-ES" w:eastAsia="es-ES"/>
        </w:rPr>
      </w:pPr>
      <w:r w:rsidRPr="00E8511B">
        <w:rPr>
          <w:rFonts w:eastAsia="Times New Roman" w:cs="Arial"/>
          <w:b/>
          <w:szCs w:val="24"/>
          <w:lang w:val="es-ES" w:eastAsia="es-ES"/>
        </w:rPr>
        <w:t>Opinión respecto al cumplimiento de la normativa legal aplicable</w:t>
      </w:r>
    </w:p>
    <w:p w:rsidR="00384886" w:rsidRPr="00E8511B" w:rsidRDefault="00384886" w:rsidP="00912A37">
      <w:pPr>
        <w:spacing w:after="0" w:line="360" w:lineRule="auto"/>
        <w:rPr>
          <w:rFonts w:eastAsia="Times New Roman" w:cs="Arial"/>
          <w:szCs w:val="24"/>
          <w:lang w:val="es-ES" w:eastAsia="es-ES"/>
        </w:rPr>
      </w:pPr>
      <w:r w:rsidRPr="00E8511B">
        <w:rPr>
          <w:rFonts w:eastAsia="Times New Roman" w:cs="Arial"/>
          <w:szCs w:val="24"/>
          <w:lang w:val="es-ES" w:eastAsia="es-ES"/>
        </w:rPr>
        <w:t xml:space="preserve">En el curso de la auditoría realizada, se han constatado </w:t>
      </w:r>
      <w:r w:rsidR="00100FEE">
        <w:rPr>
          <w:rFonts w:eastAsia="Times New Roman" w:cs="Arial"/>
          <w:szCs w:val="24"/>
          <w:lang w:val="es-ES" w:eastAsia="es-ES"/>
        </w:rPr>
        <w:t>los siguientes incumplimientos:</w:t>
      </w:r>
    </w:p>
    <w:p w:rsidR="00384886" w:rsidRPr="00190889" w:rsidRDefault="00384886" w:rsidP="00912A37">
      <w:pPr>
        <w:spacing w:after="0" w:line="360" w:lineRule="auto"/>
        <w:rPr>
          <w:rFonts w:eastAsia="Times New Roman" w:cs="Arial"/>
          <w:color w:val="FF0000"/>
          <w:sz w:val="18"/>
          <w:szCs w:val="18"/>
          <w:lang w:val="es-ES" w:eastAsia="es-ES"/>
        </w:rPr>
      </w:pPr>
    </w:p>
    <w:p w:rsidR="00384886" w:rsidRPr="00100FEE" w:rsidRDefault="00384886" w:rsidP="00384886">
      <w:pPr>
        <w:pStyle w:val="Prrafodelista"/>
        <w:numPr>
          <w:ilvl w:val="0"/>
          <w:numId w:val="5"/>
        </w:numPr>
        <w:autoSpaceDE w:val="0"/>
        <w:autoSpaceDN w:val="0"/>
        <w:adjustRightInd w:val="0"/>
        <w:spacing w:line="360" w:lineRule="auto"/>
        <w:jc w:val="both"/>
        <w:rPr>
          <w:rFonts w:ascii="Arial" w:hAnsi="Arial" w:cs="Arial"/>
          <w:sz w:val="24"/>
          <w:szCs w:val="24"/>
          <w:lang w:val="es-CO"/>
        </w:rPr>
      </w:pPr>
      <w:r w:rsidRPr="00100FEE">
        <w:rPr>
          <w:rFonts w:ascii="Arial" w:hAnsi="Arial" w:cs="Arial"/>
          <w:sz w:val="24"/>
          <w:szCs w:val="24"/>
          <w:lang w:val="es-ES" w:eastAsia="es-ES"/>
        </w:rPr>
        <w:t>Artículo 211 Literal B) de la Constitución de la República, Artículo 87 del TOCAF y Artículo 17 de la Ordenanza Nº 64 del Tribunal de Cuentas (Intervención preventiva de los Contadores Delegados).</w:t>
      </w:r>
    </w:p>
    <w:p w:rsidR="00384886" w:rsidRPr="00100FEE" w:rsidRDefault="00384886" w:rsidP="00384886">
      <w:pPr>
        <w:pStyle w:val="Prrafodelista"/>
        <w:numPr>
          <w:ilvl w:val="0"/>
          <w:numId w:val="5"/>
        </w:numPr>
        <w:autoSpaceDE w:val="0"/>
        <w:autoSpaceDN w:val="0"/>
        <w:adjustRightInd w:val="0"/>
        <w:spacing w:line="360" w:lineRule="auto"/>
        <w:jc w:val="both"/>
        <w:rPr>
          <w:rFonts w:ascii="Arial" w:hAnsi="Arial" w:cs="Arial"/>
          <w:sz w:val="24"/>
          <w:szCs w:val="24"/>
          <w:lang w:val="es-CO"/>
        </w:rPr>
      </w:pPr>
      <w:r w:rsidRPr="00100FEE">
        <w:rPr>
          <w:rFonts w:ascii="Arial" w:hAnsi="Arial" w:cs="Arial"/>
          <w:sz w:val="24"/>
          <w:szCs w:val="24"/>
          <w:lang w:val="es-CO"/>
        </w:rPr>
        <w:t>Ley 5.350 de 17/11/1915, Convenio N° 30 de la Organización Internacional del Trabajo (OIT).</w:t>
      </w:r>
    </w:p>
    <w:p w:rsidR="00384886" w:rsidRPr="00100FEE" w:rsidRDefault="00384886" w:rsidP="00384886">
      <w:pPr>
        <w:pStyle w:val="Prrafodelista"/>
        <w:numPr>
          <w:ilvl w:val="0"/>
          <w:numId w:val="5"/>
        </w:numPr>
        <w:autoSpaceDE w:val="0"/>
        <w:autoSpaceDN w:val="0"/>
        <w:adjustRightInd w:val="0"/>
        <w:spacing w:line="360" w:lineRule="auto"/>
        <w:jc w:val="both"/>
        <w:rPr>
          <w:rFonts w:ascii="Arial" w:hAnsi="Arial" w:cs="Arial"/>
          <w:sz w:val="24"/>
          <w:szCs w:val="24"/>
          <w:lang w:val="es-CO"/>
        </w:rPr>
      </w:pPr>
      <w:r w:rsidRPr="00100FEE">
        <w:rPr>
          <w:rFonts w:ascii="Arial" w:hAnsi="Arial" w:cs="Arial"/>
          <w:sz w:val="24"/>
          <w:szCs w:val="24"/>
        </w:rPr>
        <w:t>Artículo 4 de la Ley 16.462 y Articulo 16 de la Ley N° 18.996 (Retribución de los miembros del Directorio).</w:t>
      </w:r>
    </w:p>
    <w:p w:rsidR="00384886" w:rsidRPr="00100FEE" w:rsidRDefault="00384886" w:rsidP="00384886">
      <w:pPr>
        <w:pStyle w:val="Prrafodelista"/>
        <w:numPr>
          <w:ilvl w:val="0"/>
          <w:numId w:val="5"/>
        </w:numPr>
        <w:tabs>
          <w:tab w:val="left" w:pos="-3402"/>
          <w:tab w:val="left" w:pos="-1134"/>
        </w:tabs>
        <w:suppressAutoHyphens/>
        <w:autoSpaceDE w:val="0"/>
        <w:autoSpaceDN w:val="0"/>
        <w:adjustRightInd w:val="0"/>
        <w:spacing w:after="0" w:line="360" w:lineRule="auto"/>
        <w:jc w:val="both"/>
        <w:rPr>
          <w:rFonts w:ascii="Arial" w:hAnsi="Arial"/>
          <w:bCs/>
          <w:snapToGrid w:val="0"/>
          <w:spacing w:val="-3"/>
          <w:sz w:val="24"/>
          <w:szCs w:val="24"/>
          <w:lang w:val="es-ES_tradnl" w:eastAsia="es-ES"/>
        </w:rPr>
      </w:pPr>
      <w:r w:rsidRPr="00100FEE">
        <w:rPr>
          <w:rFonts w:ascii="Arial" w:hAnsi="Arial" w:cs="Arial"/>
          <w:sz w:val="24"/>
          <w:szCs w:val="24"/>
        </w:rPr>
        <w:t>Artículo 23 de la Ley N° 17.556 y Artículo 16 de la Ley N° 18.996 (Personal de confianza).</w:t>
      </w:r>
    </w:p>
    <w:p w:rsidR="00384886" w:rsidRPr="00100FEE" w:rsidRDefault="00384886" w:rsidP="00384886">
      <w:pPr>
        <w:pStyle w:val="Prrafodelista"/>
        <w:numPr>
          <w:ilvl w:val="0"/>
          <w:numId w:val="5"/>
        </w:numPr>
        <w:tabs>
          <w:tab w:val="left" w:pos="-3402"/>
          <w:tab w:val="left" w:pos="-1134"/>
        </w:tabs>
        <w:suppressAutoHyphens/>
        <w:autoSpaceDE w:val="0"/>
        <w:autoSpaceDN w:val="0"/>
        <w:adjustRightInd w:val="0"/>
        <w:spacing w:after="0" w:line="360" w:lineRule="auto"/>
        <w:jc w:val="both"/>
        <w:rPr>
          <w:rFonts w:ascii="Arial" w:hAnsi="Arial"/>
          <w:bCs/>
          <w:snapToGrid w:val="0"/>
          <w:spacing w:val="-3"/>
          <w:sz w:val="24"/>
          <w:szCs w:val="24"/>
          <w:lang w:val="es-ES_tradnl" w:eastAsia="es-ES"/>
        </w:rPr>
      </w:pPr>
      <w:r w:rsidRPr="00100FEE">
        <w:rPr>
          <w:rFonts w:ascii="Arial" w:hAnsi="Arial"/>
          <w:bCs/>
          <w:snapToGrid w:val="0"/>
          <w:spacing w:val="-3"/>
          <w:sz w:val="24"/>
          <w:szCs w:val="24"/>
          <w:lang w:val="es-ES_tradnl" w:eastAsia="es-ES"/>
        </w:rPr>
        <w:t>Artículo 51 de la Ley N° 18.719 de 27/12/2010 (Remuneración de los becarios y pasantes).</w:t>
      </w:r>
    </w:p>
    <w:p w:rsidR="00384886" w:rsidRPr="00100FEE" w:rsidRDefault="00384886" w:rsidP="00384886">
      <w:pPr>
        <w:pStyle w:val="Prrafodelista"/>
        <w:numPr>
          <w:ilvl w:val="0"/>
          <w:numId w:val="5"/>
        </w:numPr>
        <w:suppressAutoHyphens/>
        <w:autoSpaceDE w:val="0"/>
        <w:autoSpaceDN w:val="0"/>
        <w:adjustRightInd w:val="0"/>
        <w:spacing w:after="0" w:line="360" w:lineRule="auto"/>
        <w:jc w:val="both"/>
        <w:rPr>
          <w:rFonts w:ascii="Arial" w:hAnsi="Arial"/>
          <w:bCs/>
          <w:snapToGrid w:val="0"/>
          <w:spacing w:val="-3"/>
          <w:sz w:val="24"/>
          <w:szCs w:val="24"/>
          <w:lang w:val="es-ES_tradnl" w:eastAsia="es-ES"/>
        </w:rPr>
      </w:pPr>
      <w:r w:rsidRPr="00100FEE">
        <w:rPr>
          <w:rFonts w:ascii="Arial" w:hAnsi="Arial" w:cs="Arial"/>
          <w:sz w:val="24"/>
          <w:szCs w:val="24"/>
          <w:lang w:val="es-ES_tradnl"/>
        </w:rPr>
        <w:t>Artículo 267 de la Ley 18.834 de 17/11/2018 (Autorización del Poder Ejecutivo para contratar financiamiento).</w:t>
      </w:r>
    </w:p>
    <w:p w:rsidR="00384886" w:rsidRPr="00100FEE" w:rsidRDefault="00384886" w:rsidP="00384886">
      <w:pPr>
        <w:pStyle w:val="Prrafodelista"/>
        <w:numPr>
          <w:ilvl w:val="0"/>
          <w:numId w:val="5"/>
        </w:numPr>
        <w:autoSpaceDE w:val="0"/>
        <w:autoSpaceDN w:val="0"/>
        <w:adjustRightInd w:val="0"/>
        <w:spacing w:line="360" w:lineRule="auto"/>
        <w:jc w:val="both"/>
        <w:rPr>
          <w:rFonts w:ascii="Arial" w:hAnsi="Arial" w:cs="Arial"/>
          <w:sz w:val="24"/>
          <w:szCs w:val="24"/>
          <w:lang w:val="es-CO"/>
        </w:rPr>
      </w:pPr>
      <w:r w:rsidRPr="00100FEE">
        <w:rPr>
          <w:rFonts w:ascii="Arial" w:hAnsi="Arial" w:cs="Arial"/>
          <w:sz w:val="24"/>
          <w:szCs w:val="24"/>
        </w:rPr>
        <w:t>Artículo 765 de la Ley 19.355 de 19/12/15 (Tope de horas extras).</w:t>
      </w:r>
    </w:p>
    <w:p w:rsidR="00384886" w:rsidRPr="00100FEE" w:rsidRDefault="00384886" w:rsidP="00384886">
      <w:pPr>
        <w:pStyle w:val="Prrafodelista"/>
        <w:numPr>
          <w:ilvl w:val="0"/>
          <w:numId w:val="5"/>
        </w:numPr>
        <w:autoSpaceDE w:val="0"/>
        <w:autoSpaceDN w:val="0"/>
        <w:adjustRightInd w:val="0"/>
        <w:spacing w:line="360" w:lineRule="auto"/>
        <w:jc w:val="both"/>
        <w:rPr>
          <w:rFonts w:ascii="Arial" w:hAnsi="Arial" w:cs="Arial"/>
          <w:sz w:val="24"/>
          <w:szCs w:val="24"/>
          <w:lang w:val="es-CO"/>
        </w:rPr>
      </w:pPr>
      <w:r w:rsidRPr="00100FEE">
        <w:rPr>
          <w:rFonts w:ascii="Arial" w:hAnsi="Arial" w:cs="Arial"/>
          <w:bCs/>
          <w:sz w:val="24"/>
          <w:szCs w:val="24"/>
        </w:rPr>
        <w:t>Decreto Nº 437/16, de 29/12/2016 (Decreto de presupuesto 2017)</w:t>
      </w:r>
      <w:r w:rsidRPr="00100FEE">
        <w:rPr>
          <w:rFonts w:ascii="Arial" w:hAnsi="Arial" w:cs="Arial"/>
          <w:sz w:val="24"/>
          <w:szCs w:val="24"/>
          <w:lang w:val="es-CO"/>
        </w:rPr>
        <w:t>.</w:t>
      </w:r>
    </w:p>
    <w:p w:rsidR="00384886" w:rsidRPr="00100FEE" w:rsidRDefault="00384886" w:rsidP="00384886">
      <w:pPr>
        <w:pStyle w:val="Prrafodelista"/>
        <w:numPr>
          <w:ilvl w:val="0"/>
          <w:numId w:val="5"/>
        </w:numPr>
        <w:autoSpaceDE w:val="0"/>
        <w:autoSpaceDN w:val="0"/>
        <w:adjustRightInd w:val="0"/>
        <w:spacing w:line="360" w:lineRule="auto"/>
        <w:jc w:val="both"/>
        <w:rPr>
          <w:rFonts w:ascii="Arial" w:hAnsi="Arial" w:cs="Arial"/>
          <w:sz w:val="24"/>
          <w:szCs w:val="24"/>
          <w:lang w:val="es-CO"/>
        </w:rPr>
      </w:pPr>
      <w:r w:rsidRPr="00100FEE">
        <w:rPr>
          <w:rFonts w:ascii="Arial" w:hAnsi="Arial" w:cs="Arial"/>
          <w:sz w:val="24"/>
          <w:szCs w:val="24"/>
          <w:lang w:val="es-CO"/>
        </w:rPr>
        <w:t>Artículo 20 del TOCAF e Inexistencia de norma legal habilitante.</w:t>
      </w:r>
    </w:p>
    <w:p w:rsidR="00384886" w:rsidRPr="00100FEE" w:rsidRDefault="00384886" w:rsidP="00384886">
      <w:pPr>
        <w:pStyle w:val="Prrafodelista"/>
        <w:numPr>
          <w:ilvl w:val="0"/>
          <w:numId w:val="5"/>
        </w:numPr>
        <w:autoSpaceDE w:val="0"/>
        <w:autoSpaceDN w:val="0"/>
        <w:adjustRightInd w:val="0"/>
        <w:spacing w:line="360" w:lineRule="auto"/>
        <w:jc w:val="both"/>
        <w:rPr>
          <w:rFonts w:ascii="Arial" w:hAnsi="Arial" w:cs="Arial"/>
          <w:sz w:val="24"/>
          <w:szCs w:val="24"/>
          <w:lang w:val="es-CO"/>
        </w:rPr>
      </w:pPr>
      <w:r w:rsidRPr="00100FEE">
        <w:rPr>
          <w:rFonts w:ascii="Arial" w:hAnsi="Arial" w:cs="Arial"/>
          <w:sz w:val="24"/>
          <w:szCs w:val="24"/>
          <w:lang w:val="es-CO"/>
        </w:rPr>
        <w:t>Artículos 33 y 43 del TOCAF Procedimiento de Contratación y Fraccionamiento del gasto).</w:t>
      </w:r>
    </w:p>
    <w:p w:rsidR="00384886" w:rsidRPr="00100FEE" w:rsidRDefault="00384886" w:rsidP="00384886">
      <w:pPr>
        <w:pStyle w:val="Prrafodelista"/>
        <w:numPr>
          <w:ilvl w:val="0"/>
          <w:numId w:val="5"/>
        </w:numPr>
        <w:autoSpaceDE w:val="0"/>
        <w:autoSpaceDN w:val="0"/>
        <w:adjustRightInd w:val="0"/>
        <w:spacing w:line="360" w:lineRule="auto"/>
        <w:jc w:val="both"/>
        <w:rPr>
          <w:rFonts w:ascii="Arial" w:hAnsi="Arial" w:cs="Arial"/>
          <w:sz w:val="24"/>
          <w:szCs w:val="24"/>
          <w:lang w:val="es-CO"/>
        </w:rPr>
      </w:pPr>
      <w:r w:rsidRPr="00100FEE">
        <w:rPr>
          <w:rFonts w:ascii="Arial" w:hAnsi="Arial" w:cs="Arial"/>
          <w:sz w:val="24"/>
          <w:szCs w:val="24"/>
          <w:lang w:val="es-CO"/>
        </w:rPr>
        <w:t xml:space="preserve">Numeral 1° del Artículo 128 del TOCAF y Numeral 2, Literal f) de la Ordenanza N° 75 </w:t>
      </w:r>
      <w:r w:rsidRPr="00100FEE">
        <w:rPr>
          <w:rFonts w:ascii="Arial" w:hAnsi="Arial" w:cs="Arial"/>
          <w:sz w:val="24"/>
          <w:szCs w:val="24"/>
          <w:lang w:val="es-ES" w:eastAsia="es-ES"/>
        </w:rPr>
        <w:t>del Tribunal de Cuentas.</w:t>
      </w:r>
    </w:p>
    <w:p w:rsidR="00384886" w:rsidRPr="00190889" w:rsidRDefault="00384886" w:rsidP="00912A37">
      <w:pPr>
        <w:spacing w:after="0" w:line="360" w:lineRule="auto"/>
        <w:rPr>
          <w:rFonts w:ascii="Times New Roman" w:eastAsia="Times New Roman" w:hAnsi="Times New Roman"/>
          <w:color w:val="FF0000"/>
          <w:szCs w:val="24"/>
          <w:lang w:val="es-ES_tradnl" w:eastAsia="es-ES"/>
        </w:rPr>
      </w:pPr>
    </w:p>
    <w:p w:rsidR="00384886" w:rsidRPr="00477B1A" w:rsidRDefault="00384886" w:rsidP="00912A37">
      <w:pPr>
        <w:spacing w:after="0" w:line="360" w:lineRule="auto"/>
        <w:rPr>
          <w:rFonts w:eastAsia="Times New Roman" w:cs="Arial"/>
          <w:b/>
          <w:szCs w:val="24"/>
          <w:lang w:val="es-ES" w:eastAsia="es-ES"/>
        </w:rPr>
      </w:pPr>
      <w:r w:rsidRPr="00477B1A">
        <w:rPr>
          <w:rFonts w:eastAsia="Times New Roman" w:cs="Arial"/>
          <w:b/>
          <w:szCs w:val="24"/>
          <w:lang w:val="es-ES" w:eastAsia="es-ES"/>
        </w:rPr>
        <w:t>Bases para la Opinión sin salvedades</w:t>
      </w:r>
    </w:p>
    <w:p w:rsidR="00384886" w:rsidRPr="00477B1A" w:rsidRDefault="00384886" w:rsidP="00912A37">
      <w:pPr>
        <w:spacing w:after="0" w:line="360" w:lineRule="auto"/>
        <w:rPr>
          <w:rFonts w:eastAsia="Times New Roman"/>
          <w:szCs w:val="20"/>
          <w:lang w:eastAsia="es-ES"/>
        </w:rPr>
      </w:pPr>
      <w:r w:rsidRPr="00477B1A">
        <w:rPr>
          <w:rFonts w:eastAsia="Times New Roman"/>
          <w:szCs w:val="20"/>
          <w:lang w:eastAsia="es-ES"/>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477B1A">
        <w:rPr>
          <w:rFonts w:eastAsia="Times New Roman"/>
          <w:i/>
          <w:szCs w:val="20"/>
          <w:lang w:eastAsia="es-ES"/>
        </w:rPr>
        <w:t>Responsabilidad del Tribunal de Cuentas por la auditoría del Estado de Ejecución Presupuestal</w:t>
      </w:r>
      <w:r w:rsidRPr="00477B1A">
        <w:rPr>
          <w:rFonts w:eastAsia="Times New Roman"/>
          <w:szCs w:val="20"/>
          <w:lang w:eastAsia="es-ES"/>
        </w:rPr>
        <w:t xml:space="preserve">. Este Tribunal es independiente de </w:t>
      </w:r>
      <w:r>
        <w:rPr>
          <w:rFonts w:eastAsia="Times New Roman"/>
          <w:szCs w:val="20"/>
          <w:lang w:eastAsia="es-ES"/>
        </w:rPr>
        <w:t>ANCAP</w:t>
      </w:r>
      <w:r w:rsidRPr="00477B1A">
        <w:rPr>
          <w:rFonts w:eastAsia="Times New Roman"/>
          <w:szCs w:val="20"/>
          <w:lang w:eastAsia="es-ES"/>
        </w:rPr>
        <w:t xml:space="preserve"> y ha cumplido con las disposiciones de su Código de Ética, elaborado en concordancia con el Código de Ética de la INTOSAI. Se considera que la evidencia de auditoría obtenida </w:t>
      </w:r>
      <w:r>
        <w:rPr>
          <w:rFonts w:eastAsia="Times New Roman"/>
          <w:szCs w:val="20"/>
          <w:lang w:eastAsia="es-ES"/>
        </w:rPr>
        <w:t>brinda una base</w:t>
      </w:r>
      <w:r w:rsidRPr="00477B1A">
        <w:rPr>
          <w:rFonts w:eastAsia="Times New Roman"/>
          <w:szCs w:val="20"/>
          <w:lang w:eastAsia="es-ES"/>
        </w:rPr>
        <w:t xml:space="preserve"> suficiente y apropiada para sustentar la opinión.</w:t>
      </w:r>
    </w:p>
    <w:p w:rsidR="00384886" w:rsidRPr="00190889" w:rsidRDefault="00384886" w:rsidP="00912A37">
      <w:pPr>
        <w:spacing w:after="0" w:line="360" w:lineRule="auto"/>
        <w:rPr>
          <w:rFonts w:eastAsia="Times New Roman"/>
          <w:color w:val="FF0000"/>
          <w:szCs w:val="20"/>
          <w:lang w:eastAsia="es-ES"/>
        </w:rPr>
      </w:pPr>
    </w:p>
    <w:p w:rsidR="00384886" w:rsidRPr="00477B1A" w:rsidRDefault="00384886" w:rsidP="00912A37">
      <w:pPr>
        <w:spacing w:after="0" w:line="360" w:lineRule="auto"/>
        <w:rPr>
          <w:rFonts w:eastAsia="Times New Roman" w:cs="Arial"/>
          <w:b/>
          <w:szCs w:val="24"/>
          <w:lang w:val="es-ES" w:eastAsia="es-ES"/>
        </w:rPr>
      </w:pPr>
      <w:r w:rsidRPr="00477B1A">
        <w:rPr>
          <w:rFonts w:eastAsia="Times New Roman" w:cs="Arial"/>
          <w:b/>
          <w:szCs w:val="24"/>
          <w:lang w:val="es-ES" w:eastAsia="es-ES"/>
        </w:rPr>
        <w:t>Responsabilidad del Directorio en relación con el Estado de Ejecución Presupuestal</w:t>
      </w:r>
    </w:p>
    <w:p w:rsidR="00384886" w:rsidRPr="00477B1A" w:rsidRDefault="00384886" w:rsidP="00912A37">
      <w:pPr>
        <w:spacing w:after="0" w:line="360" w:lineRule="auto"/>
        <w:rPr>
          <w:rFonts w:eastAsia="Times New Roman"/>
          <w:szCs w:val="20"/>
          <w:lang w:val="es-ES" w:eastAsia="es-ES"/>
        </w:rPr>
      </w:pPr>
      <w:r w:rsidRPr="00477B1A">
        <w:rPr>
          <w:rFonts w:eastAsia="Times New Roman"/>
          <w:szCs w:val="20"/>
          <w:lang w:val="es-ES" w:eastAsia="es-ES"/>
        </w:rPr>
        <w:t xml:space="preserve">El Directorio de ANCAP es responsable por la preparación y presentación razonable de dicho estado, de acuerdo con las disposiciones legales vigentes, las normas y criterios establecidos en el TOCAF, en la Ordenanza N° 75 del Tribunal de Cuentas, </w:t>
      </w:r>
      <w:r w:rsidRPr="00477B1A">
        <w:rPr>
          <w:rFonts w:eastAsia="Times New Roman"/>
          <w:szCs w:val="24"/>
          <w:lang w:val="es-ES" w:eastAsia="es-ES"/>
        </w:rPr>
        <w:t>en el Decreto aprobatorio del Presupuesto del Ejercicio 2017,</w:t>
      </w:r>
      <w:r w:rsidRPr="00477B1A">
        <w:rPr>
          <w:rFonts w:eastAsia="Times New Roman"/>
          <w:szCs w:val="20"/>
          <w:lang w:val="es-ES" w:eastAsia="es-ES"/>
        </w:rPr>
        <w:t xml:space="preserve"> y del control interno que la administración de la entidad consideró necesario para permitir la preparación del Estado de Ejecución Presupuestal libre de errores significativos, ya sea debido a fraude o error.</w:t>
      </w:r>
    </w:p>
    <w:p w:rsidR="00384886" w:rsidRPr="00477B1A" w:rsidRDefault="00384886" w:rsidP="00912A37">
      <w:pPr>
        <w:spacing w:after="0" w:line="360" w:lineRule="auto"/>
        <w:rPr>
          <w:rFonts w:eastAsia="Times New Roman"/>
          <w:szCs w:val="20"/>
          <w:lang w:val="es-ES" w:eastAsia="es-ES"/>
        </w:rPr>
      </w:pPr>
      <w:r w:rsidRPr="00477B1A">
        <w:rPr>
          <w:rFonts w:eastAsia="Times New Roman"/>
          <w:szCs w:val="20"/>
          <w:lang w:val="es-ES" w:eastAsia="es-ES"/>
        </w:rPr>
        <w:t>El Directorio es responsable de supervisar el proceso de preparación del Estado de Ejecución Presupuestal de ANCAP.</w:t>
      </w:r>
    </w:p>
    <w:p w:rsidR="00384886" w:rsidRPr="00190889" w:rsidRDefault="00384886" w:rsidP="00912A37">
      <w:pPr>
        <w:spacing w:after="0" w:line="360" w:lineRule="auto"/>
        <w:rPr>
          <w:rFonts w:eastAsia="Times New Roman"/>
          <w:color w:val="FF0000"/>
          <w:szCs w:val="20"/>
          <w:lang w:val="es-ES" w:eastAsia="es-ES"/>
        </w:rPr>
      </w:pPr>
    </w:p>
    <w:p w:rsidR="00384886" w:rsidRPr="00477B1A" w:rsidRDefault="00384886" w:rsidP="00912A37">
      <w:pPr>
        <w:spacing w:after="0" w:line="360" w:lineRule="auto"/>
        <w:rPr>
          <w:rFonts w:eastAsia="Times New Roman" w:cs="Arial"/>
          <w:b/>
          <w:szCs w:val="24"/>
          <w:lang w:val="es-ES" w:eastAsia="es-ES"/>
        </w:rPr>
      </w:pPr>
      <w:r w:rsidRPr="00477B1A">
        <w:rPr>
          <w:rFonts w:eastAsia="Times New Roman" w:cs="Arial"/>
          <w:b/>
          <w:szCs w:val="24"/>
          <w:lang w:val="es-ES" w:eastAsia="es-ES"/>
        </w:rPr>
        <w:t>Responsabilidad del Tribunal de Cuentas por la auditoría del Estado de Ejecución Presupuestal</w:t>
      </w:r>
    </w:p>
    <w:p w:rsidR="00384886" w:rsidRPr="00477B1A" w:rsidRDefault="00384886" w:rsidP="00912A37">
      <w:pPr>
        <w:spacing w:after="0" w:line="360" w:lineRule="auto"/>
        <w:rPr>
          <w:rFonts w:eastAsia="Times New Roman" w:cs="Arial"/>
          <w:szCs w:val="24"/>
          <w:lang w:val="es-ES" w:eastAsia="es-ES"/>
        </w:rPr>
      </w:pPr>
      <w:r w:rsidRPr="00477B1A">
        <w:rPr>
          <w:rFonts w:eastAsia="Times New Roman" w:cs="Arial"/>
          <w:szCs w:val="24"/>
          <w:lang w:val="es-ES" w:eastAsia="es-ES"/>
        </w:rPr>
        <w:t>El objetivo de la auditoría consiste en obtener una seguridad razonable acerca de que el Estado de Ejecución Presupuestal en su conjunto esté libre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384886" w:rsidRPr="00477B1A" w:rsidRDefault="00384886" w:rsidP="00912A37">
      <w:pPr>
        <w:spacing w:after="0" w:line="360" w:lineRule="auto"/>
        <w:rPr>
          <w:rFonts w:eastAsia="Times New Roman" w:cs="Arial"/>
          <w:szCs w:val="24"/>
          <w:lang w:val="es-ES" w:eastAsia="es-ES"/>
        </w:rPr>
      </w:pPr>
      <w:r w:rsidRPr="00477B1A">
        <w:rPr>
          <w:rFonts w:eastAsia="Times New Roman" w:cs="Arial"/>
          <w:szCs w:val="24"/>
          <w:lang w:val="es-ES" w:eastAsia="es-ES"/>
        </w:rPr>
        <w:t xml:space="preserve">Como parte de una auditoría de acuerdo con las ISSAI referidas en la sección </w:t>
      </w:r>
      <w:r w:rsidRPr="00477B1A">
        <w:rPr>
          <w:rFonts w:eastAsia="Times New Roman" w:cs="Arial"/>
          <w:i/>
          <w:szCs w:val="24"/>
          <w:lang w:val="es-ES" w:eastAsia="es-ES"/>
        </w:rPr>
        <w:t>Bases para la Opinión sin salvedades</w:t>
      </w:r>
      <w:r w:rsidRPr="00477B1A">
        <w:rPr>
          <w:rFonts w:eastAsia="Times New Roman" w:cs="Arial"/>
          <w:szCs w:val="24"/>
          <w:lang w:val="es-ES" w:eastAsia="es-ES"/>
        </w:rPr>
        <w:t>, el Tribunal de Cuentas aplica su juicio profesional y mantiene el escepticismo profesional durante el proceso de auditoría. Asimismo:</w:t>
      </w:r>
    </w:p>
    <w:p w:rsidR="00384886" w:rsidRPr="00477B1A" w:rsidRDefault="00384886" w:rsidP="00384886">
      <w:pPr>
        <w:numPr>
          <w:ilvl w:val="0"/>
          <w:numId w:val="2"/>
        </w:numPr>
        <w:spacing w:after="0" w:line="360" w:lineRule="auto"/>
        <w:contextualSpacing/>
        <w:rPr>
          <w:rFonts w:eastAsia="Times New Roman" w:cs="Arial"/>
          <w:szCs w:val="24"/>
          <w:lang w:eastAsia="es-UY"/>
        </w:rPr>
      </w:pPr>
      <w:r w:rsidRPr="00477B1A">
        <w:rPr>
          <w:rFonts w:eastAsia="Times New Roman" w:cs="Arial"/>
          <w:szCs w:val="24"/>
          <w:lang w:eastAsia="es-UY"/>
        </w:rPr>
        <w:t xml:space="preserve">Identifica y evalúa el riesgo de que existan errores significativos en </w:t>
      </w:r>
      <w:r w:rsidRPr="00477B1A">
        <w:rPr>
          <w:rFonts w:eastAsia="Times New Roman" w:cs="Arial"/>
          <w:lang w:eastAsia="es-UY"/>
        </w:rPr>
        <w:t>el Estado de Ejecución Presupuestal</w:t>
      </w:r>
      <w:r w:rsidRPr="00477B1A">
        <w:rPr>
          <w:rFonts w:eastAsia="Times New Roman" w:cs="Arial"/>
          <w:szCs w:val="24"/>
          <w:lang w:eastAsia="es-UY"/>
        </w:rPr>
        <w:t>,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100FEE">
        <w:rPr>
          <w:rFonts w:eastAsia="Times New Roman" w:cs="Arial"/>
          <w:szCs w:val="24"/>
          <w:lang w:eastAsia="es-UY"/>
        </w:rPr>
        <w:t>artamientos de control interno.</w:t>
      </w:r>
    </w:p>
    <w:p w:rsidR="00384886" w:rsidRPr="00477B1A" w:rsidRDefault="00384886" w:rsidP="00384886">
      <w:pPr>
        <w:numPr>
          <w:ilvl w:val="0"/>
          <w:numId w:val="2"/>
        </w:numPr>
        <w:spacing w:after="0" w:line="360" w:lineRule="auto"/>
        <w:contextualSpacing/>
        <w:rPr>
          <w:rFonts w:eastAsia="Times New Roman" w:cs="Arial"/>
          <w:szCs w:val="24"/>
          <w:lang w:eastAsia="es-UY"/>
        </w:rPr>
      </w:pPr>
      <w:r w:rsidRPr="00477B1A">
        <w:rPr>
          <w:rFonts w:eastAsia="Times New Roman" w:cs="Arial"/>
          <w:szCs w:val="24"/>
          <w:lang w:eastAsia="es-UY"/>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384886" w:rsidRPr="00190889" w:rsidRDefault="00384886" w:rsidP="00912A37">
      <w:pPr>
        <w:contextualSpacing/>
        <w:rPr>
          <w:rFonts w:eastAsia="Times New Roman" w:cs="Arial"/>
          <w:color w:val="FF0000"/>
          <w:szCs w:val="24"/>
          <w:lang w:eastAsia="es-UY"/>
        </w:rPr>
      </w:pPr>
    </w:p>
    <w:p w:rsidR="00384886" w:rsidRPr="00477B1A" w:rsidRDefault="00384886" w:rsidP="00912A37">
      <w:pPr>
        <w:spacing w:after="0" w:line="360" w:lineRule="auto"/>
        <w:contextualSpacing/>
        <w:rPr>
          <w:rFonts w:eastAsia="Times New Roman" w:cs="Arial"/>
          <w:szCs w:val="24"/>
          <w:lang w:eastAsia="es-UY"/>
        </w:rPr>
      </w:pPr>
      <w:r w:rsidRPr="00477B1A">
        <w:rPr>
          <w:rFonts w:eastAsia="Times New Roman" w:cs="Arial"/>
          <w:szCs w:val="24"/>
          <w:lang w:eastAsia="es-UY"/>
        </w:rPr>
        <w:t>El Tribunal de Cuentas se comunicó con el Directorio del Organismo</w:t>
      </w:r>
      <w:r w:rsidRPr="00477B1A">
        <w:rPr>
          <w:rFonts w:eastAsia="Times New Roman" w:cs="Arial"/>
          <w:sz w:val="18"/>
          <w:szCs w:val="18"/>
          <w:lang w:eastAsia="es-UY"/>
        </w:rPr>
        <w:t>,</w:t>
      </w:r>
      <w:r w:rsidRPr="00477B1A">
        <w:rPr>
          <w:rFonts w:eastAsia="Times New Roman" w:cs="Arial"/>
          <w:szCs w:val="24"/>
          <w:lang w:eastAsia="es-UY"/>
        </w:rPr>
        <w:t xml:space="preserve"> en relación, entre otros asuntos</w:t>
      </w:r>
      <w:r w:rsidRPr="00E959F2">
        <w:rPr>
          <w:rFonts w:eastAsia="Times New Roman" w:cs="Arial"/>
          <w:szCs w:val="24"/>
          <w:lang w:eastAsia="es-UY"/>
        </w:rPr>
        <w:t>, al alcance y oportunidad de los procedimientos de auditoría</w:t>
      </w:r>
      <w:r>
        <w:rPr>
          <w:rFonts w:eastAsia="Times New Roman" w:cs="Arial"/>
          <w:szCs w:val="24"/>
          <w:lang w:eastAsia="es-UY"/>
        </w:rPr>
        <w:t>,</w:t>
      </w:r>
      <w:r w:rsidRPr="00477B1A">
        <w:rPr>
          <w:rFonts w:eastAsia="Times New Roman" w:cs="Arial"/>
          <w:szCs w:val="24"/>
          <w:lang w:eastAsia="es-UY"/>
        </w:rPr>
        <w:t xml:space="preserve"> los hallazgos significativos de auditoría incluidos, en caso de corresponder, y las deficiencias significativas en el control interno que se identificaron en </w:t>
      </w:r>
      <w:r w:rsidR="00100FEE">
        <w:rPr>
          <w:rFonts w:eastAsia="Times New Roman" w:cs="Arial"/>
          <w:szCs w:val="24"/>
          <w:lang w:eastAsia="es-UY"/>
        </w:rPr>
        <w:t>el transcurso de la auditoría.</w:t>
      </w:r>
    </w:p>
    <w:p w:rsidR="00384886" w:rsidRPr="009F226C" w:rsidRDefault="00384886" w:rsidP="00912A37">
      <w:pPr>
        <w:spacing w:after="0" w:line="360" w:lineRule="auto"/>
        <w:rPr>
          <w:rFonts w:eastAsia="Times New Roman" w:cs="Arial"/>
          <w:b/>
          <w:color w:val="FF0000"/>
          <w:szCs w:val="24"/>
          <w:lang w:eastAsia="es-ES"/>
        </w:rPr>
      </w:pPr>
    </w:p>
    <w:p w:rsidR="00384886" w:rsidRPr="00477B1A" w:rsidRDefault="00384886" w:rsidP="00912A37">
      <w:pPr>
        <w:spacing w:after="0" w:line="360" w:lineRule="auto"/>
        <w:rPr>
          <w:rFonts w:eastAsia="Times New Roman" w:cs="Arial"/>
          <w:b/>
          <w:szCs w:val="24"/>
          <w:lang w:val="es-ES" w:eastAsia="es-ES"/>
        </w:rPr>
      </w:pPr>
      <w:r w:rsidRPr="00477B1A">
        <w:rPr>
          <w:rFonts w:eastAsia="Times New Roman" w:cs="Arial"/>
          <w:b/>
          <w:szCs w:val="24"/>
          <w:lang w:val="es-ES" w:eastAsia="es-ES"/>
        </w:rPr>
        <w:t>Informe de cumplimiento de la normativa vigente</w:t>
      </w:r>
    </w:p>
    <w:p w:rsidR="00384886" w:rsidRPr="00477B1A" w:rsidRDefault="00384886" w:rsidP="00912A37">
      <w:pPr>
        <w:spacing w:after="0" w:line="360" w:lineRule="auto"/>
        <w:rPr>
          <w:rFonts w:eastAsia="Times New Roman" w:cs="Arial"/>
          <w:szCs w:val="24"/>
          <w:lang w:val="es-ES" w:eastAsia="es-ES"/>
        </w:rPr>
      </w:pPr>
      <w:r w:rsidRPr="00477B1A">
        <w:rPr>
          <w:rFonts w:eastAsia="Times New Roman" w:cs="Arial"/>
          <w:szCs w:val="24"/>
          <w:lang w:val="es-ES" w:eastAsia="es-ES"/>
        </w:rPr>
        <w:t xml:space="preserve">Respecto a los incumplimientos mencionados en el párrafo </w:t>
      </w:r>
      <w:r w:rsidRPr="00477B1A">
        <w:rPr>
          <w:rFonts w:eastAsia="Times New Roman" w:cs="Arial"/>
          <w:i/>
          <w:szCs w:val="24"/>
          <w:lang w:val="es-ES" w:eastAsia="es-ES"/>
        </w:rPr>
        <w:t xml:space="preserve">Opinión respecto al cumplimiento de la normativa legal aplicable </w:t>
      </w:r>
      <w:r w:rsidRPr="00477B1A">
        <w:rPr>
          <w:rFonts w:eastAsia="Times New Roman" w:cs="Arial"/>
          <w:szCs w:val="24"/>
          <w:lang w:val="es-ES" w:eastAsia="es-ES"/>
        </w:rPr>
        <w:t>co</w:t>
      </w:r>
      <w:r w:rsidR="00100FEE">
        <w:rPr>
          <w:rFonts w:eastAsia="Times New Roman" w:cs="Arial"/>
          <w:szCs w:val="24"/>
          <w:lang w:val="es-ES" w:eastAsia="es-ES"/>
        </w:rPr>
        <w:t>rresponde señalar lo siguiente:</w:t>
      </w:r>
    </w:p>
    <w:p w:rsidR="00384886" w:rsidRPr="00100FEE" w:rsidRDefault="00384886" w:rsidP="00384886">
      <w:pPr>
        <w:pStyle w:val="Prrafodelista"/>
        <w:numPr>
          <w:ilvl w:val="0"/>
          <w:numId w:val="7"/>
        </w:numPr>
        <w:tabs>
          <w:tab w:val="left" w:pos="1134"/>
          <w:tab w:val="right" w:pos="5387"/>
          <w:tab w:val="right" w:pos="8222"/>
        </w:tabs>
        <w:spacing w:after="0" w:line="360" w:lineRule="auto"/>
        <w:jc w:val="both"/>
        <w:rPr>
          <w:rFonts w:ascii="Arial" w:hAnsi="Arial" w:cs="Arial"/>
          <w:b/>
          <w:sz w:val="24"/>
          <w:szCs w:val="24"/>
          <w:lang w:val="es-ES" w:eastAsia="es-ES"/>
        </w:rPr>
      </w:pPr>
      <w:r w:rsidRPr="00100FEE">
        <w:rPr>
          <w:rFonts w:ascii="Arial" w:hAnsi="Arial" w:cs="Arial"/>
          <w:b/>
          <w:sz w:val="24"/>
          <w:szCs w:val="24"/>
          <w:lang w:val="es-ES" w:eastAsia="es-ES"/>
        </w:rPr>
        <w:t>Artículo 211 Literal B) Constitución de la República, Artículo 87 del TOCAF y Artículo 17 de la Ordenanza Nº64 del Tribunal de Cuentas</w:t>
      </w:r>
    </w:p>
    <w:p w:rsidR="00384886" w:rsidRPr="00A21FB3" w:rsidRDefault="00384886" w:rsidP="00D034C9">
      <w:pPr>
        <w:tabs>
          <w:tab w:val="left" w:pos="709"/>
          <w:tab w:val="right" w:pos="5387"/>
          <w:tab w:val="right" w:pos="8222"/>
        </w:tabs>
        <w:spacing w:after="0" w:line="360" w:lineRule="auto"/>
        <w:ind w:left="709"/>
        <w:contextualSpacing/>
        <w:rPr>
          <w:rFonts w:cs="Arial"/>
          <w:szCs w:val="24"/>
        </w:rPr>
      </w:pPr>
      <w:r w:rsidRPr="00A21FB3">
        <w:rPr>
          <w:rFonts w:cs="Arial"/>
          <w:szCs w:val="24"/>
        </w:rPr>
        <w:t xml:space="preserve">Se verificó que el Organismo efectuó pagos sin la previa intervención del Contador Delegado, contraviniendo lo dispuesto en </w:t>
      </w:r>
      <w:r>
        <w:rPr>
          <w:rFonts w:cs="Arial"/>
          <w:szCs w:val="24"/>
        </w:rPr>
        <w:t xml:space="preserve">el Artículo 211 Literal </w:t>
      </w:r>
      <w:r w:rsidRPr="00A21FB3">
        <w:rPr>
          <w:rFonts w:cs="Arial"/>
          <w:szCs w:val="24"/>
        </w:rPr>
        <w:t xml:space="preserve">B) de la Constitución de la República, el Artículo 87 del TOCAF y el Artículo 17 de la Ordenanza </w:t>
      </w:r>
      <w:r>
        <w:rPr>
          <w:rFonts w:cs="Arial"/>
          <w:szCs w:val="24"/>
        </w:rPr>
        <w:t>64</w:t>
      </w:r>
      <w:r w:rsidRPr="00A21FB3">
        <w:rPr>
          <w:rFonts w:cs="Arial"/>
          <w:szCs w:val="24"/>
        </w:rPr>
        <w:t xml:space="preserve"> </w:t>
      </w:r>
      <w:r w:rsidRPr="00A21FB3">
        <w:rPr>
          <w:rFonts w:cs="Arial"/>
          <w:szCs w:val="24"/>
          <w:lang w:val="es-ES" w:eastAsia="es-ES"/>
        </w:rPr>
        <w:t>del Tribunal de Cuentas</w:t>
      </w:r>
      <w:r w:rsidR="00100FEE">
        <w:rPr>
          <w:rFonts w:cs="Arial"/>
          <w:szCs w:val="24"/>
        </w:rPr>
        <w:t>.</w:t>
      </w:r>
    </w:p>
    <w:p w:rsidR="00384886" w:rsidRPr="00100FEE" w:rsidRDefault="00384886" w:rsidP="00384886">
      <w:pPr>
        <w:pStyle w:val="Prrafodelista"/>
        <w:numPr>
          <w:ilvl w:val="0"/>
          <w:numId w:val="7"/>
        </w:numPr>
        <w:tabs>
          <w:tab w:val="left" w:pos="1134"/>
          <w:tab w:val="right" w:pos="5387"/>
          <w:tab w:val="right" w:pos="8222"/>
        </w:tabs>
        <w:spacing w:after="0" w:line="360" w:lineRule="auto"/>
        <w:jc w:val="both"/>
        <w:rPr>
          <w:rFonts w:ascii="Arial" w:hAnsi="Arial" w:cs="Arial"/>
          <w:b/>
          <w:sz w:val="24"/>
          <w:szCs w:val="24"/>
          <w:lang w:val="es-ES" w:eastAsia="es-ES"/>
        </w:rPr>
      </w:pPr>
      <w:r w:rsidRPr="00100FEE">
        <w:rPr>
          <w:rFonts w:ascii="Arial" w:hAnsi="Arial" w:cs="Arial"/>
          <w:b/>
          <w:sz w:val="24"/>
          <w:szCs w:val="24"/>
          <w:lang w:val="es-ES" w:eastAsia="es-ES"/>
        </w:rPr>
        <w:t>Ley N° 5.350 de 17/11/1915, Convenio N° 30 de la Organización Internacional del Trabajo (OIT).</w:t>
      </w:r>
    </w:p>
    <w:p w:rsidR="00384886" w:rsidRDefault="00384886" w:rsidP="00786F09">
      <w:pPr>
        <w:tabs>
          <w:tab w:val="left" w:pos="709"/>
          <w:tab w:val="right" w:pos="5387"/>
          <w:tab w:val="right" w:pos="8222"/>
        </w:tabs>
        <w:spacing w:after="0" w:line="360" w:lineRule="auto"/>
        <w:ind w:left="709"/>
        <w:contextualSpacing/>
        <w:rPr>
          <w:rFonts w:cs="Arial"/>
          <w:szCs w:val="24"/>
        </w:rPr>
      </w:pPr>
      <w:r w:rsidRPr="00D81FE3">
        <w:rPr>
          <w:rFonts w:cs="Arial"/>
          <w:szCs w:val="24"/>
        </w:rPr>
        <w:t>El Ente no d</w:t>
      </w:r>
      <w:r>
        <w:rPr>
          <w:rFonts w:cs="Arial"/>
          <w:szCs w:val="24"/>
        </w:rPr>
        <w:t>io cumplimiento con el</w:t>
      </w:r>
      <w:r w:rsidRPr="00D81FE3">
        <w:rPr>
          <w:rFonts w:cs="Arial"/>
          <w:szCs w:val="24"/>
        </w:rPr>
        <w:t xml:space="preserve"> régimen general en materia de horario de trabajo de su personal, al superar los topes previstos de horas extras por día o por semana</w:t>
      </w:r>
      <w:r w:rsidR="00100FEE">
        <w:rPr>
          <w:rFonts w:cs="Arial"/>
          <w:szCs w:val="24"/>
        </w:rPr>
        <w:t>.</w:t>
      </w:r>
    </w:p>
    <w:p w:rsidR="00384886" w:rsidRDefault="00384886" w:rsidP="00786F09">
      <w:pPr>
        <w:tabs>
          <w:tab w:val="left" w:pos="709"/>
          <w:tab w:val="right" w:pos="5387"/>
          <w:tab w:val="right" w:pos="8222"/>
        </w:tabs>
        <w:spacing w:after="0" w:line="360" w:lineRule="auto"/>
        <w:ind w:left="709"/>
        <w:contextualSpacing/>
        <w:rPr>
          <w:rFonts w:cs="Arial"/>
          <w:szCs w:val="24"/>
        </w:rPr>
      </w:pPr>
    </w:p>
    <w:p w:rsidR="00384886" w:rsidRPr="00100FEE" w:rsidRDefault="00384886" w:rsidP="00384886">
      <w:pPr>
        <w:pStyle w:val="Prrafodelista"/>
        <w:numPr>
          <w:ilvl w:val="0"/>
          <w:numId w:val="7"/>
        </w:numPr>
        <w:tabs>
          <w:tab w:val="left" w:pos="1134"/>
          <w:tab w:val="right" w:pos="5387"/>
          <w:tab w:val="right" w:pos="8222"/>
        </w:tabs>
        <w:spacing w:after="0" w:line="360" w:lineRule="auto"/>
        <w:jc w:val="both"/>
        <w:rPr>
          <w:rFonts w:ascii="Arial" w:hAnsi="Arial" w:cs="Arial"/>
          <w:b/>
          <w:sz w:val="24"/>
          <w:szCs w:val="24"/>
          <w:lang w:val="es-ES" w:eastAsia="es-ES"/>
        </w:rPr>
      </w:pPr>
      <w:r w:rsidRPr="00100FEE">
        <w:rPr>
          <w:rFonts w:ascii="Arial" w:hAnsi="Arial" w:cs="Arial"/>
          <w:b/>
          <w:sz w:val="24"/>
          <w:szCs w:val="24"/>
          <w:lang w:val="es-ES" w:eastAsia="es-ES"/>
        </w:rPr>
        <w:t>Artículo 4 de la Ley N° 16.462, Artículo 16 de la Ley N° 18.996 (Retribución d</w:t>
      </w:r>
      <w:r w:rsidR="00100FEE">
        <w:rPr>
          <w:rFonts w:ascii="Arial" w:hAnsi="Arial" w:cs="Arial"/>
          <w:b/>
          <w:sz w:val="24"/>
          <w:szCs w:val="24"/>
          <w:lang w:val="es-ES" w:eastAsia="es-ES"/>
        </w:rPr>
        <w:t>e los miembros del Directorio)</w:t>
      </w:r>
    </w:p>
    <w:p w:rsidR="00384886" w:rsidRPr="00100FEE" w:rsidRDefault="00384886" w:rsidP="00786F09">
      <w:pPr>
        <w:pStyle w:val="Prrafodelista"/>
        <w:tabs>
          <w:tab w:val="left" w:pos="1134"/>
          <w:tab w:val="right" w:pos="5387"/>
          <w:tab w:val="right" w:pos="8222"/>
        </w:tabs>
        <w:spacing w:after="0" w:line="360" w:lineRule="auto"/>
        <w:jc w:val="both"/>
        <w:rPr>
          <w:rFonts w:ascii="Arial" w:hAnsi="Arial" w:cs="Arial"/>
          <w:sz w:val="24"/>
          <w:szCs w:val="24"/>
          <w:lang w:val="es-ES" w:eastAsia="es-ES"/>
        </w:rPr>
      </w:pPr>
      <w:r w:rsidRPr="00100FEE">
        <w:rPr>
          <w:rFonts w:ascii="Arial" w:hAnsi="Arial" w:cs="Arial"/>
          <w:sz w:val="24"/>
          <w:szCs w:val="24"/>
          <w:lang w:val="es-ES" w:eastAsia="es-ES"/>
        </w:rPr>
        <w:t>Se constató que las retribuciones de los Directores del Ente que perciben su remuneración en el mismo, superaron en $ 11.069 el tope mensual por integrante establecido en las normativas referidas.</w:t>
      </w:r>
    </w:p>
    <w:p w:rsidR="00384886" w:rsidRPr="00100FEE" w:rsidRDefault="00384886" w:rsidP="00384886">
      <w:pPr>
        <w:pStyle w:val="Prrafodelista"/>
        <w:numPr>
          <w:ilvl w:val="0"/>
          <w:numId w:val="7"/>
        </w:numPr>
        <w:tabs>
          <w:tab w:val="left" w:pos="1134"/>
          <w:tab w:val="right" w:pos="5387"/>
          <w:tab w:val="right" w:pos="8222"/>
        </w:tabs>
        <w:spacing w:after="0" w:line="360" w:lineRule="auto"/>
        <w:jc w:val="both"/>
        <w:rPr>
          <w:rFonts w:ascii="Arial" w:hAnsi="Arial" w:cs="Arial"/>
          <w:b/>
          <w:sz w:val="24"/>
          <w:szCs w:val="24"/>
          <w:lang w:val="es-ES" w:eastAsia="es-ES"/>
        </w:rPr>
      </w:pPr>
      <w:r w:rsidRPr="00100FEE">
        <w:rPr>
          <w:rFonts w:ascii="Arial" w:hAnsi="Arial" w:cs="Arial"/>
          <w:b/>
          <w:sz w:val="24"/>
          <w:szCs w:val="24"/>
          <w:lang w:val="es-ES" w:eastAsia="es-ES"/>
        </w:rPr>
        <w:t>Artículo 23 de la Ley N°17.556 y Artículo 16 de la Ley N° 18.996 (Personal de confianza)</w:t>
      </w:r>
    </w:p>
    <w:p w:rsidR="00384886" w:rsidRPr="00D81FE3" w:rsidRDefault="00384886" w:rsidP="00A022DB">
      <w:pPr>
        <w:tabs>
          <w:tab w:val="left" w:pos="709"/>
          <w:tab w:val="right" w:pos="5387"/>
          <w:tab w:val="right" w:pos="8222"/>
        </w:tabs>
        <w:spacing w:after="0" w:line="360" w:lineRule="auto"/>
        <w:ind w:left="709"/>
        <w:contextualSpacing/>
        <w:rPr>
          <w:rFonts w:cs="Arial"/>
          <w:szCs w:val="24"/>
        </w:rPr>
      </w:pPr>
      <w:r w:rsidRPr="00D81FE3">
        <w:rPr>
          <w:rFonts w:cs="Arial"/>
          <w:szCs w:val="24"/>
        </w:rPr>
        <w:t>El total de pagos al personal de confianza de cada Director exced</w:t>
      </w:r>
      <w:r>
        <w:rPr>
          <w:rFonts w:cs="Arial"/>
          <w:szCs w:val="24"/>
        </w:rPr>
        <w:t>ió</w:t>
      </w:r>
      <w:r w:rsidRPr="00D81FE3">
        <w:rPr>
          <w:rFonts w:cs="Arial"/>
          <w:szCs w:val="24"/>
        </w:rPr>
        <w:t xml:space="preserve"> el tope previsto en </w:t>
      </w:r>
      <w:r>
        <w:rPr>
          <w:rFonts w:cs="Arial"/>
          <w:szCs w:val="24"/>
        </w:rPr>
        <w:t>los</w:t>
      </w:r>
      <w:r w:rsidRPr="00D81FE3">
        <w:rPr>
          <w:rFonts w:cs="Arial"/>
          <w:szCs w:val="24"/>
        </w:rPr>
        <w:t xml:space="preserve"> artículo</w:t>
      </w:r>
      <w:r>
        <w:rPr>
          <w:rFonts w:cs="Arial"/>
          <w:szCs w:val="24"/>
        </w:rPr>
        <w:t>s</w:t>
      </w:r>
      <w:r w:rsidRPr="00D81FE3">
        <w:rPr>
          <w:rFonts w:cs="Arial"/>
          <w:szCs w:val="24"/>
        </w:rPr>
        <w:t xml:space="preserve"> mencionado</w:t>
      </w:r>
      <w:r>
        <w:rPr>
          <w:rFonts w:cs="Arial"/>
          <w:szCs w:val="24"/>
        </w:rPr>
        <w:t>s</w:t>
      </w:r>
      <w:r w:rsidRPr="00D81FE3">
        <w:rPr>
          <w:rFonts w:cs="Arial"/>
          <w:szCs w:val="24"/>
        </w:rPr>
        <w:t>. Las personas designadas para desempeñar los cargos percib</w:t>
      </w:r>
      <w:r>
        <w:rPr>
          <w:rFonts w:cs="Arial"/>
          <w:szCs w:val="24"/>
        </w:rPr>
        <w:t>i</w:t>
      </w:r>
      <w:r w:rsidRPr="00D81FE3">
        <w:rPr>
          <w:rFonts w:cs="Arial"/>
          <w:szCs w:val="24"/>
        </w:rPr>
        <w:t>e</w:t>
      </w:r>
      <w:r>
        <w:rPr>
          <w:rFonts w:cs="Arial"/>
          <w:szCs w:val="24"/>
        </w:rPr>
        <w:t>ro</w:t>
      </w:r>
      <w:r w:rsidRPr="00D81FE3">
        <w:rPr>
          <w:rFonts w:cs="Arial"/>
          <w:szCs w:val="24"/>
        </w:rPr>
        <w:t>n partidas adicionales a las previstas</w:t>
      </w:r>
      <w:r>
        <w:rPr>
          <w:rFonts w:cs="Arial"/>
          <w:szCs w:val="24"/>
        </w:rPr>
        <w:t>,</w:t>
      </w:r>
      <w:r w:rsidRPr="00D81FE3">
        <w:rPr>
          <w:rFonts w:cs="Arial"/>
          <w:szCs w:val="24"/>
        </w:rPr>
        <w:t xml:space="preserve"> en </w:t>
      </w:r>
      <w:r>
        <w:rPr>
          <w:rFonts w:cs="Arial"/>
          <w:szCs w:val="24"/>
        </w:rPr>
        <w:t xml:space="preserve">incumplimiento de </w:t>
      </w:r>
      <w:r w:rsidRPr="00D81FE3">
        <w:rPr>
          <w:rFonts w:cs="Arial"/>
          <w:szCs w:val="24"/>
        </w:rPr>
        <w:t xml:space="preserve">la normativa </w:t>
      </w:r>
      <w:r>
        <w:rPr>
          <w:rFonts w:cs="Arial"/>
          <w:szCs w:val="24"/>
        </w:rPr>
        <w:t>citada. En el Ejercicio 2017, dichas partidas adicionales totalizaron aproximadamente $ 800.000</w:t>
      </w:r>
      <w:r w:rsidRPr="00D81FE3">
        <w:rPr>
          <w:rFonts w:cs="Arial"/>
          <w:szCs w:val="24"/>
        </w:rPr>
        <w:t>.</w:t>
      </w:r>
    </w:p>
    <w:p w:rsidR="00384886" w:rsidRPr="00100FEE" w:rsidRDefault="00384886" w:rsidP="00384886">
      <w:pPr>
        <w:pStyle w:val="Prrafodelista"/>
        <w:numPr>
          <w:ilvl w:val="0"/>
          <w:numId w:val="7"/>
        </w:numPr>
        <w:tabs>
          <w:tab w:val="left" w:pos="1134"/>
          <w:tab w:val="right" w:pos="5387"/>
          <w:tab w:val="right" w:pos="8222"/>
        </w:tabs>
        <w:spacing w:after="0" w:line="360" w:lineRule="auto"/>
        <w:jc w:val="both"/>
        <w:rPr>
          <w:rFonts w:ascii="Arial" w:hAnsi="Arial" w:cs="Arial"/>
          <w:b/>
          <w:sz w:val="24"/>
          <w:szCs w:val="24"/>
          <w:lang w:val="es-ES" w:eastAsia="es-ES"/>
        </w:rPr>
      </w:pPr>
      <w:r w:rsidRPr="00100FEE">
        <w:rPr>
          <w:rFonts w:ascii="Arial" w:hAnsi="Arial" w:cs="Arial"/>
          <w:b/>
          <w:sz w:val="24"/>
          <w:szCs w:val="24"/>
          <w:lang w:val="es-ES" w:eastAsia="es-ES"/>
        </w:rPr>
        <w:t>Artículo 267 de la Ley 18.834 de 17/11/2018 (Autorización del Poder Ejecutivo para contratar financiamiento)</w:t>
      </w:r>
    </w:p>
    <w:p w:rsidR="00384886" w:rsidRPr="00100FEE" w:rsidRDefault="00384886" w:rsidP="005D42CD">
      <w:pPr>
        <w:pStyle w:val="Prrafodelista"/>
        <w:tabs>
          <w:tab w:val="left" w:pos="1134"/>
          <w:tab w:val="right" w:pos="5387"/>
          <w:tab w:val="right" w:pos="8222"/>
        </w:tabs>
        <w:spacing w:after="0" w:line="360" w:lineRule="auto"/>
        <w:ind w:left="644"/>
        <w:jc w:val="both"/>
        <w:rPr>
          <w:rFonts w:ascii="Arial" w:hAnsi="Arial" w:cs="Arial"/>
          <w:sz w:val="24"/>
          <w:szCs w:val="24"/>
          <w:lang w:val="es-ES" w:eastAsia="es-ES"/>
        </w:rPr>
      </w:pPr>
      <w:r w:rsidRPr="00100FEE">
        <w:rPr>
          <w:rFonts w:ascii="Arial" w:hAnsi="Arial" w:cs="Arial"/>
          <w:sz w:val="24"/>
          <w:szCs w:val="24"/>
          <w:lang w:val="es-ES_tradnl"/>
        </w:rPr>
        <w:t>Las fianzas solidarias suscritas oportunamente por el Ente para la financiación de la construcción de la Planta de Etanol de ALUR S.A. superaron el importe autorizado por Resolución del Poder Ejecutivo de 24 de abril de 2013, de U$S 107:000.000. Al 31/12/2017 el saldo de la deuda avalada asciende a U$S 140:855.875.</w:t>
      </w:r>
    </w:p>
    <w:p w:rsidR="00384886" w:rsidRPr="00100FEE" w:rsidRDefault="00384886" w:rsidP="00384886">
      <w:pPr>
        <w:pStyle w:val="Prrafodelista"/>
        <w:numPr>
          <w:ilvl w:val="0"/>
          <w:numId w:val="7"/>
        </w:numPr>
        <w:tabs>
          <w:tab w:val="left" w:pos="1134"/>
          <w:tab w:val="right" w:pos="5387"/>
          <w:tab w:val="right" w:pos="8222"/>
        </w:tabs>
        <w:spacing w:after="0" w:line="360" w:lineRule="auto"/>
        <w:jc w:val="both"/>
        <w:rPr>
          <w:rFonts w:ascii="Arial" w:hAnsi="Arial" w:cs="Arial"/>
          <w:b/>
          <w:sz w:val="24"/>
          <w:szCs w:val="24"/>
          <w:lang w:val="es-ES" w:eastAsia="es-ES"/>
        </w:rPr>
      </w:pPr>
      <w:r w:rsidRPr="00100FEE">
        <w:rPr>
          <w:rFonts w:ascii="Arial" w:hAnsi="Arial" w:cs="Arial"/>
          <w:b/>
          <w:sz w:val="24"/>
          <w:szCs w:val="24"/>
          <w:lang w:val="es-ES" w:eastAsia="es-ES"/>
        </w:rPr>
        <w:t>Artículo 51 de la Ley 18.719 de 27/12/2010 (Régimen de pasantes y becarios)</w:t>
      </w:r>
    </w:p>
    <w:p w:rsidR="00384886" w:rsidRPr="00100FEE" w:rsidRDefault="00384886" w:rsidP="000617D9">
      <w:pPr>
        <w:pStyle w:val="Prrafodelista"/>
        <w:tabs>
          <w:tab w:val="left" w:pos="1134"/>
          <w:tab w:val="right" w:pos="5387"/>
          <w:tab w:val="right" w:pos="8222"/>
        </w:tabs>
        <w:spacing w:after="0" w:line="360" w:lineRule="auto"/>
        <w:ind w:left="644"/>
        <w:jc w:val="both"/>
        <w:rPr>
          <w:rFonts w:ascii="Arial" w:hAnsi="Arial" w:cs="Arial"/>
          <w:sz w:val="24"/>
          <w:szCs w:val="24"/>
          <w:lang w:val="es-ES" w:eastAsia="es-ES"/>
        </w:rPr>
      </w:pPr>
      <w:r w:rsidRPr="00100FEE">
        <w:rPr>
          <w:rFonts w:ascii="Arial" w:hAnsi="Arial" w:cs="Arial"/>
          <w:sz w:val="24"/>
          <w:szCs w:val="24"/>
          <w:lang w:val="es-ES" w:eastAsia="es-ES"/>
        </w:rPr>
        <w:t>Se constató que se pagaron partidas adicionales a las previstas en la normativa citada a becarios de convenios "Yo Estudio y Trabajo" e "INAU-SIRPA", y que no se documentó la contratación de los 3 “pasantes universitarios a notariado” que mantienen vínculo con ANCAP, de acuerdo con lo previsto legalmente.</w:t>
      </w:r>
    </w:p>
    <w:p w:rsidR="00384886" w:rsidRPr="00100FEE" w:rsidRDefault="00384886" w:rsidP="000617D9">
      <w:pPr>
        <w:pStyle w:val="Prrafodelista"/>
        <w:tabs>
          <w:tab w:val="left" w:pos="1134"/>
          <w:tab w:val="right" w:pos="5387"/>
          <w:tab w:val="right" w:pos="8222"/>
        </w:tabs>
        <w:spacing w:after="0" w:line="360" w:lineRule="auto"/>
        <w:ind w:left="644"/>
        <w:jc w:val="both"/>
        <w:rPr>
          <w:rFonts w:ascii="Arial" w:hAnsi="Arial" w:cs="Arial"/>
          <w:sz w:val="24"/>
          <w:szCs w:val="24"/>
          <w:lang w:val="es-ES" w:eastAsia="es-ES"/>
        </w:rPr>
      </w:pPr>
    </w:p>
    <w:p w:rsidR="00384886" w:rsidRPr="00100FEE" w:rsidRDefault="00384886" w:rsidP="000617D9">
      <w:pPr>
        <w:pStyle w:val="Prrafodelista"/>
        <w:tabs>
          <w:tab w:val="left" w:pos="1134"/>
          <w:tab w:val="right" w:pos="5387"/>
          <w:tab w:val="right" w:pos="8222"/>
        </w:tabs>
        <w:spacing w:after="0" w:line="360" w:lineRule="auto"/>
        <w:ind w:left="644"/>
        <w:jc w:val="both"/>
        <w:rPr>
          <w:rFonts w:ascii="Arial" w:hAnsi="Arial" w:cs="Arial"/>
          <w:sz w:val="24"/>
          <w:szCs w:val="24"/>
          <w:lang w:val="es-ES" w:eastAsia="es-ES"/>
        </w:rPr>
      </w:pPr>
    </w:p>
    <w:p w:rsidR="00384886" w:rsidRPr="00100FEE" w:rsidRDefault="00384886" w:rsidP="000617D9">
      <w:pPr>
        <w:pStyle w:val="Prrafodelista"/>
        <w:tabs>
          <w:tab w:val="left" w:pos="1134"/>
          <w:tab w:val="right" w:pos="5387"/>
          <w:tab w:val="right" w:pos="8222"/>
        </w:tabs>
        <w:spacing w:after="0" w:line="360" w:lineRule="auto"/>
        <w:ind w:left="644"/>
        <w:jc w:val="both"/>
        <w:rPr>
          <w:rFonts w:ascii="Arial" w:hAnsi="Arial" w:cs="Arial"/>
          <w:sz w:val="24"/>
          <w:szCs w:val="24"/>
          <w:lang w:val="es-ES" w:eastAsia="es-ES"/>
        </w:rPr>
      </w:pPr>
    </w:p>
    <w:p w:rsidR="00384886" w:rsidRPr="00100FEE" w:rsidRDefault="00384886" w:rsidP="00384886">
      <w:pPr>
        <w:pStyle w:val="Prrafodelista"/>
        <w:numPr>
          <w:ilvl w:val="0"/>
          <w:numId w:val="7"/>
        </w:numPr>
        <w:tabs>
          <w:tab w:val="left" w:pos="1134"/>
          <w:tab w:val="right" w:pos="5387"/>
          <w:tab w:val="right" w:pos="8222"/>
        </w:tabs>
        <w:spacing w:after="0" w:line="360" w:lineRule="auto"/>
        <w:jc w:val="both"/>
        <w:rPr>
          <w:rFonts w:ascii="Arial" w:hAnsi="Arial" w:cs="Arial"/>
          <w:sz w:val="24"/>
          <w:szCs w:val="24"/>
          <w:lang w:val="es-ES" w:eastAsia="es-ES"/>
        </w:rPr>
      </w:pPr>
      <w:r w:rsidRPr="00100FEE">
        <w:rPr>
          <w:rFonts w:ascii="Arial" w:hAnsi="Arial" w:cs="Arial"/>
          <w:b/>
          <w:sz w:val="24"/>
          <w:szCs w:val="24"/>
          <w:lang w:val="es-ES" w:eastAsia="es-ES"/>
        </w:rPr>
        <w:t>Artículo 765 de la Ley 19.355 de 19/12/15 (Tope de horas extras)</w:t>
      </w:r>
    </w:p>
    <w:p w:rsidR="00384886" w:rsidRPr="00100FEE" w:rsidRDefault="00384886" w:rsidP="0095445E">
      <w:pPr>
        <w:pStyle w:val="Prrafodelista"/>
        <w:tabs>
          <w:tab w:val="left" w:pos="1134"/>
          <w:tab w:val="right" w:pos="5387"/>
          <w:tab w:val="right" w:pos="8222"/>
        </w:tabs>
        <w:spacing w:after="0" w:line="360" w:lineRule="auto"/>
        <w:ind w:left="644"/>
        <w:jc w:val="both"/>
        <w:rPr>
          <w:rFonts w:ascii="Arial" w:hAnsi="Arial" w:cs="Arial"/>
          <w:sz w:val="24"/>
          <w:szCs w:val="24"/>
          <w:lang w:val="es-ES" w:eastAsia="es-ES"/>
        </w:rPr>
      </w:pPr>
      <w:r w:rsidRPr="00100FEE">
        <w:rPr>
          <w:rFonts w:ascii="Arial" w:hAnsi="Arial" w:cs="Arial"/>
          <w:sz w:val="24"/>
          <w:szCs w:val="24"/>
          <w:lang w:val="es-ES" w:eastAsia="es-ES"/>
        </w:rPr>
        <w:t>Los importes imputados por concepto de horas extras exceden el tope del 5% de las Remuneraciones Básicas al Personal. En el Ejercicio 2017 el gasto en dicho concepto ascendió al 7.67%.</w:t>
      </w:r>
    </w:p>
    <w:p w:rsidR="00384886" w:rsidRPr="00100FEE" w:rsidRDefault="00384886" w:rsidP="00384886">
      <w:pPr>
        <w:pStyle w:val="Prrafodelista"/>
        <w:numPr>
          <w:ilvl w:val="0"/>
          <w:numId w:val="7"/>
        </w:numPr>
        <w:tabs>
          <w:tab w:val="left" w:pos="1134"/>
          <w:tab w:val="right" w:pos="5387"/>
          <w:tab w:val="right" w:pos="8222"/>
        </w:tabs>
        <w:spacing w:after="0" w:line="360" w:lineRule="auto"/>
        <w:jc w:val="both"/>
        <w:rPr>
          <w:rFonts w:ascii="Arial" w:hAnsi="Arial" w:cs="Arial"/>
          <w:b/>
          <w:sz w:val="24"/>
          <w:szCs w:val="24"/>
          <w:lang w:val="es-ES" w:eastAsia="es-ES"/>
        </w:rPr>
      </w:pPr>
      <w:r w:rsidRPr="00100FEE">
        <w:rPr>
          <w:rFonts w:ascii="Arial" w:hAnsi="Arial" w:cs="Arial"/>
          <w:b/>
          <w:sz w:val="24"/>
          <w:szCs w:val="24"/>
          <w:lang w:val="es-ES" w:eastAsia="es-ES"/>
        </w:rPr>
        <w:t>Decreto Nº 437/16 de 29/12/2016 (Decreto aprobatorio del Presu</w:t>
      </w:r>
      <w:r w:rsidRPr="00100FEE">
        <w:rPr>
          <w:rFonts w:ascii="Arial" w:hAnsi="Arial" w:cs="Arial"/>
          <w:b/>
          <w:sz w:val="24"/>
          <w:szCs w:val="24"/>
          <w:lang w:val="es-ES" w:eastAsia="es-ES"/>
        </w:rPr>
        <w:softHyphen/>
        <w:t>puesto 2017)</w:t>
      </w:r>
    </w:p>
    <w:p w:rsidR="00384886" w:rsidRPr="00100FEE" w:rsidRDefault="00384886" w:rsidP="00384886">
      <w:pPr>
        <w:pStyle w:val="Prrafodelista"/>
        <w:numPr>
          <w:ilvl w:val="0"/>
          <w:numId w:val="6"/>
        </w:numPr>
        <w:tabs>
          <w:tab w:val="left" w:pos="1134"/>
          <w:tab w:val="right" w:pos="5387"/>
          <w:tab w:val="right" w:pos="8222"/>
        </w:tabs>
        <w:spacing w:after="0" w:line="360" w:lineRule="auto"/>
        <w:jc w:val="both"/>
        <w:rPr>
          <w:rFonts w:ascii="Arial" w:hAnsi="Arial" w:cs="Arial"/>
          <w:sz w:val="24"/>
          <w:szCs w:val="24"/>
          <w:lang w:val="es-ES" w:eastAsia="es-ES"/>
        </w:rPr>
      </w:pPr>
      <w:r w:rsidRPr="00100FEE">
        <w:rPr>
          <w:rFonts w:ascii="Arial" w:hAnsi="Arial" w:cs="Arial"/>
          <w:sz w:val="24"/>
          <w:szCs w:val="24"/>
          <w:lang w:val="es-ES" w:eastAsia="es-ES"/>
        </w:rPr>
        <w:t>Artículos 1° y 4°</w:t>
      </w:r>
    </w:p>
    <w:p w:rsidR="00384886" w:rsidRPr="00D81FE3" w:rsidRDefault="00384886" w:rsidP="00E752B2">
      <w:pPr>
        <w:tabs>
          <w:tab w:val="left" w:pos="1134"/>
          <w:tab w:val="right" w:pos="5387"/>
          <w:tab w:val="right" w:pos="8222"/>
        </w:tabs>
        <w:spacing w:after="0" w:line="360" w:lineRule="auto"/>
        <w:ind w:left="644"/>
        <w:rPr>
          <w:rFonts w:eastAsia="Times New Roman" w:cs="Arial"/>
          <w:szCs w:val="24"/>
          <w:lang w:val="es-ES" w:eastAsia="es-ES"/>
        </w:rPr>
      </w:pPr>
      <w:r w:rsidRPr="00D81FE3">
        <w:rPr>
          <w:rFonts w:eastAsia="Times New Roman" w:cs="Arial"/>
          <w:szCs w:val="24"/>
          <w:lang w:val="es-ES" w:eastAsia="es-ES"/>
        </w:rPr>
        <w:t>El Estado de Ejecución</w:t>
      </w:r>
      <w:r>
        <w:rPr>
          <w:rFonts w:eastAsia="Times New Roman" w:cs="Arial"/>
          <w:szCs w:val="24"/>
          <w:lang w:val="es-ES" w:eastAsia="es-ES"/>
        </w:rPr>
        <w:t xml:space="preserve"> Presupuestal presentado </w:t>
      </w:r>
      <w:r w:rsidRPr="00D81FE3">
        <w:rPr>
          <w:rFonts w:eastAsia="Times New Roman" w:cs="Arial"/>
          <w:szCs w:val="24"/>
          <w:lang w:val="es-ES" w:eastAsia="es-ES"/>
        </w:rPr>
        <w:t xml:space="preserve">no expone la misma </w:t>
      </w:r>
      <w:r>
        <w:rPr>
          <w:rFonts w:eastAsia="Times New Roman" w:cs="Arial"/>
          <w:szCs w:val="24"/>
          <w:lang w:val="es-ES" w:eastAsia="es-ES"/>
        </w:rPr>
        <w:t xml:space="preserve">apertura de grupos, subgrupos </w:t>
      </w:r>
      <w:r>
        <w:rPr>
          <w:rFonts w:cs="Arial"/>
          <w:szCs w:val="24"/>
        </w:rPr>
        <w:t>y en el E</w:t>
      </w:r>
      <w:r w:rsidRPr="00F6422B">
        <w:rPr>
          <w:rFonts w:cs="Arial"/>
          <w:szCs w:val="24"/>
        </w:rPr>
        <w:t>jercicio</w:t>
      </w:r>
      <w:r>
        <w:rPr>
          <w:rFonts w:cs="Arial"/>
          <w:szCs w:val="24"/>
        </w:rPr>
        <w:t xml:space="preserve"> </w:t>
      </w:r>
      <w:r w:rsidRPr="00F6422B">
        <w:rPr>
          <w:rFonts w:cs="Arial"/>
          <w:szCs w:val="24"/>
        </w:rPr>
        <w:t>2016 de</w:t>
      </w:r>
      <w:r>
        <w:rPr>
          <w:rFonts w:cs="Arial"/>
          <w:szCs w:val="24"/>
        </w:rPr>
        <w:t xml:space="preserve"> </w:t>
      </w:r>
      <w:r w:rsidRPr="00D81FE3">
        <w:rPr>
          <w:rFonts w:eastAsia="Times New Roman" w:cs="Arial"/>
          <w:szCs w:val="24"/>
          <w:lang w:val="es-ES" w:eastAsia="es-ES"/>
        </w:rPr>
        <w:t>renglones dispuesta en el Decreto N° 437/16 de 29/12/2016</w:t>
      </w:r>
      <w:r>
        <w:rPr>
          <w:rFonts w:eastAsia="Times New Roman" w:cs="Arial"/>
          <w:szCs w:val="24"/>
          <w:lang w:val="es-ES" w:eastAsia="es-ES"/>
        </w:rPr>
        <w:t>,</w:t>
      </w:r>
      <w:r w:rsidRPr="00D81FE3">
        <w:rPr>
          <w:rFonts w:eastAsia="Times New Roman" w:cs="Arial"/>
          <w:szCs w:val="24"/>
          <w:lang w:val="es-ES" w:eastAsia="es-ES"/>
        </w:rPr>
        <w:t xml:space="preserve"> aprobatorio de las asignaciones presupuestales para los diferentes grupos, subgrupos y renglones.</w:t>
      </w:r>
    </w:p>
    <w:p w:rsidR="00384886" w:rsidRPr="00100FEE" w:rsidRDefault="00100FEE" w:rsidP="00384886">
      <w:pPr>
        <w:pStyle w:val="Prrafodelista"/>
        <w:numPr>
          <w:ilvl w:val="0"/>
          <w:numId w:val="6"/>
        </w:numPr>
        <w:tabs>
          <w:tab w:val="left" w:pos="1134"/>
          <w:tab w:val="right" w:pos="5387"/>
          <w:tab w:val="right" w:pos="8222"/>
        </w:tabs>
        <w:spacing w:after="0" w:line="360" w:lineRule="auto"/>
        <w:jc w:val="both"/>
        <w:rPr>
          <w:rFonts w:ascii="Arial" w:hAnsi="Arial" w:cs="Arial"/>
          <w:sz w:val="24"/>
          <w:szCs w:val="24"/>
          <w:lang w:val="es-ES" w:eastAsia="es-ES"/>
        </w:rPr>
      </w:pPr>
      <w:r w:rsidRPr="00100FEE">
        <w:rPr>
          <w:rFonts w:ascii="Arial" w:hAnsi="Arial" w:cs="Arial"/>
          <w:sz w:val="24"/>
          <w:szCs w:val="24"/>
          <w:lang w:val="es-ES" w:eastAsia="es-ES"/>
        </w:rPr>
        <w:t>Artículo 1°</w:t>
      </w:r>
    </w:p>
    <w:p w:rsidR="00384886" w:rsidRPr="00D81FE3" w:rsidRDefault="00384886" w:rsidP="00361045">
      <w:pPr>
        <w:spacing w:line="360" w:lineRule="auto"/>
        <w:ind w:left="709"/>
        <w:rPr>
          <w:rFonts w:eastAsia="Times New Roman" w:cs="Arial"/>
          <w:szCs w:val="24"/>
          <w:lang w:val="es-ES" w:eastAsia="es-ES"/>
        </w:rPr>
      </w:pPr>
      <w:r w:rsidRPr="00D81FE3">
        <w:rPr>
          <w:rFonts w:eastAsia="Times New Roman" w:cs="Arial"/>
          <w:szCs w:val="24"/>
          <w:lang w:val="es-ES" w:eastAsia="es-ES"/>
        </w:rPr>
        <w:t>Se comprometieron gastos de funcionamiento y de inversiones sin que exista crédito disponible en varios Grupos y Subgrupos del Presupuesto de Compras</w:t>
      </w:r>
      <w:r>
        <w:rPr>
          <w:rFonts w:eastAsia="Times New Roman" w:cs="Arial"/>
          <w:szCs w:val="24"/>
          <w:lang w:val="es-ES" w:eastAsia="es-ES"/>
        </w:rPr>
        <w:t xml:space="preserve"> por un importe de $</w:t>
      </w:r>
      <w:r>
        <w:rPr>
          <w:rFonts w:eastAsia="Times New Roman" w:cs="Arial"/>
          <w:color w:val="000000"/>
          <w:szCs w:val="24"/>
          <w:lang w:eastAsia="es-UY"/>
        </w:rPr>
        <w:t xml:space="preserve"> 3.400:202.483.</w:t>
      </w:r>
    </w:p>
    <w:p w:rsidR="00384886" w:rsidRPr="00100FEE" w:rsidRDefault="00384886" w:rsidP="00384886">
      <w:pPr>
        <w:pStyle w:val="Prrafodelista"/>
        <w:numPr>
          <w:ilvl w:val="0"/>
          <w:numId w:val="6"/>
        </w:numPr>
        <w:tabs>
          <w:tab w:val="left" w:pos="1134"/>
          <w:tab w:val="right" w:pos="5387"/>
          <w:tab w:val="right" w:pos="8222"/>
        </w:tabs>
        <w:spacing w:after="0" w:line="360" w:lineRule="auto"/>
        <w:jc w:val="both"/>
        <w:rPr>
          <w:rFonts w:ascii="Arial" w:hAnsi="Arial" w:cs="Arial"/>
          <w:sz w:val="24"/>
          <w:szCs w:val="24"/>
          <w:lang w:val="es-ES" w:eastAsia="es-ES"/>
        </w:rPr>
      </w:pPr>
      <w:r w:rsidRPr="00100FEE">
        <w:rPr>
          <w:rFonts w:ascii="Arial" w:hAnsi="Arial" w:cs="Arial"/>
          <w:sz w:val="24"/>
          <w:szCs w:val="24"/>
          <w:lang w:val="es-ES" w:eastAsia="es-ES"/>
        </w:rPr>
        <w:t>Artículo 10°</w:t>
      </w:r>
    </w:p>
    <w:p w:rsidR="00384886" w:rsidRDefault="00384886" w:rsidP="00E752B2">
      <w:pPr>
        <w:tabs>
          <w:tab w:val="left" w:pos="1134"/>
          <w:tab w:val="right" w:pos="5387"/>
          <w:tab w:val="right" w:pos="8222"/>
        </w:tabs>
        <w:spacing w:after="0" w:line="360" w:lineRule="auto"/>
        <w:ind w:left="644"/>
        <w:rPr>
          <w:rFonts w:eastAsia="Times New Roman" w:cs="Arial"/>
          <w:szCs w:val="24"/>
          <w:lang w:val="es-ES" w:eastAsia="es-ES"/>
        </w:rPr>
      </w:pPr>
      <w:r w:rsidRPr="00D81FE3">
        <w:rPr>
          <w:rFonts w:eastAsia="Times New Roman" w:cs="Arial"/>
          <w:szCs w:val="24"/>
          <w:lang w:val="es-ES" w:eastAsia="es-ES"/>
        </w:rPr>
        <w:t>En relación al Sistema de Retribución Variable</w:t>
      </w:r>
      <w:r>
        <w:rPr>
          <w:rFonts w:eastAsia="Times New Roman" w:cs="Arial"/>
          <w:szCs w:val="24"/>
          <w:lang w:val="es-ES" w:eastAsia="es-ES"/>
        </w:rPr>
        <w:t>,</w:t>
      </w:r>
      <w:r w:rsidRPr="00D81FE3">
        <w:rPr>
          <w:rFonts w:eastAsia="Times New Roman" w:cs="Arial"/>
          <w:szCs w:val="24"/>
          <w:lang w:val="es-ES" w:eastAsia="es-ES"/>
        </w:rPr>
        <w:t xml:space="preserve"> no se cumplió con lo dispuesto en cuanto a la comu</w:t>
      </w:r>
      <w:r>
        <w:rPr>
          <w:rFonts w:eastAsia="Times New Roman" w:cs="Arial"/>
          <w:szCs w:val="24"/>
          <w:lang w:val="es-ES" w:eastAsia="es-ES"/>
        </w:rPr>
        <w:t>nicación al Tribunal de Cuentas</w:t>
      </w:r>
      <w:r w:rsidRPr="00D81FE3">
        <w:rPr>
          <w:rFonts w:eastAsia="Times New Roman" w:cs="Arial"/>
          <w:szCs w:val="24"/>
          <w:lang w:val="es-ES" w:eastAsia="es-ES"/>
        </w:rPr>
        <w:t xml:space="preserve"> de las revisiones anuales de dicho sistema.</w:t>
      </w:r>
    </w:p>
    <w:p w:rsidR="00384886" w:rsidRPr="00100FEE" w:rsidRDefault="00384886" w:rsidP="00384886">
      <w:pPr>
        <w:pStyle w:val="Prrafodelista"/>
        <w:numPr>
          <w:ilvl w:val="0"/>
          <w:numId w:val="7"/>
        </w:numPr>
        <w:tabs>
          <w:tab w:val="left" w:pos="1134"/>
          <w:tab w:val="right" w:pos="5387"/>
          <w:tab w:val="right" w:pos="8222"/>
        </w:tabs>
        <w:spacing w:after="0" w:line="360" w:lineRule="auto"/>
        <w:jc w:val="both"/>
        <w:rPr>
          <w:rFonts w:ascii="Arial" w:hAnsi="Arial" w:cs="Arial"/>
          <w:b/>
          <w:sz w:val="24"/>
          <w:szCs w:val="24"/>
          <w:lang w:val="es-ES" w:eastAsia="es-ES"/>
        </w:rPr>
      </w:pPr>
      <w:r w:rsidRPr="00100FEE">
        <w:rPr>
          <w:rFonts w:ascii="Arial" w:hAnsi="Arial" w:cs="Arial"/>
          <w:b/>
          <w:sz w:val="24"/>
          <w:szCs w:val="24"/>
          <w:lang w:val="es-ES" w:eastAsia="es-ES"/>
        </w:rPr>
        <w:t>Inexistencia de norma legal habilitante y Artículo 20 del TOCAF</w:t>
      </w:r>
    </w:p>
    <w:p w:rsidR="00384886" w:rsidRDefault="00384886" w:rsidP="00702CA0">
      <w:pPr>
        <w:tabs>
          <w:tab w:val="left" w:pos="1134"/>
          <w:tab w:val="right" w:pos="5387"/>
          <w:tab w:val="right" w:pos="8222"/>
        </w:tabs>
        <w:spacing w:after="0" w:line="360" w:lineRule="auto"/>
        <w:ind w:left="644"/>
        <w:rPr>
          <w:rFonts w:eastAsia="Times New Roman" w:cs="Arial"/>
          <w:szCs w:val="24"/>
          <w:lang w:val="es-ES" w:eastAsia="es-ES"/>
        </w:rPr>
      </w:pPr>
      <w:r>
        <w:rPr>
          <w:rFonts w:eastAsia="Times New Roman" w:cs="Arial"/>
          <w:szCs w:val="24"/>
          <w:lang w:val="es-ES" w:eastAsia="es-ES"/>
        </w:rPr>
        <w:t>Durante el E</w:t>
      </w:r>
      <w:r w:rsidRPr="00D81FE3">
        <w:rPr>
          <w:rFonts w:eastAsia="Times New Roman" w:cs="Arial"/>
          <w:szCs w:val="24"/>
          <w:lang w:val="es-ES" w:eastAsia="es-ES"/>
        </w:rPr>
        <w:t>jercicio 2017 un funcionario de ANCAP  prestó funciones en la empresa vinculada DUCSA</w:t>
      </w:r>
      <w:r>
        <w:rPr>
          <w:rFonts w:eastAsia="Times New Roman" w:cs="Arial"/>
          <w:szCs w:val="24"/>
          <w:lang w:val="es-ES" w:eastAsia="es-ES"/>
        </w:rPr>
        <w:t>,</w:t>
      </w:r>
      <w:r w:rsidRPr="00D81FE3">
        <w:rPr>
          <w:rFonts w:eastAsia="Times New Roman" w:cs="Arial"/>
          <w:szCs w:val="24"/>
          <w:lang w:val="es-ES" w:eastAsia="es-ES"/>
        </w:rPr>
        <w:t xml:space="preserve"> sin existencia de norma legal habilitante. </w:t>
      </w:r>
      <w:r>
        <w:rPr>
          <w:rFonts w:eastAsia="Times New Roman" w:cs="Arial"/>
          <w:szCs w:val="24"/>
          <w:lang w:val="es-ES" w:eastAsia="es-ES"/>
        </w:rPr>
        <w:t>Por lo tanto, las retribuciones personales pagadas a dicho funcionario no corresponden a la efectiva prestación de servicios en el Ente, conforme con lo dispuesto en el Numeral 1 del Artículo 20 del TOCAF.</w:t>
      </w:r>
    </w:p>
    <w:p w:rsidR="00384886" w:rsidRDefault="00384886" w:rsidP="00702CA0">
      <w:pPr>
        <w:tabs>
          <w:tab w:val="left" w:pos="1134"/>
          <w:tab w:val="right" w:pos="5387"/>
          <w:tab w:val="right" w:pos="8222"/>
        </w:tabs>
        <w:spacing w:after="0" w:line="360" w:lineRule="auto"/>
        <w:ind w:left="644"/>
        <w:rPr>
          <w:rFonts w:eastAsia="Times New Roman" w:cs="Arial"/>
          <w:szCs w:val="24"/>
          <w:lang w:val="es-ES" w:eastAsia="es-ES"/>
        </w:rPr>
      </w:pPr>
    </w:p>
    <w:p w:rsidR="00100FEE" w:rsidRDefault="00100FEE" w:rsidP="00702CA0">
      <w:pPr>
        <w:tabs>
          <w:tab w:val="left" w:pos="1134"/>
          <w:tab w:val="right" w:pos="5387"/>
          <w:tab w:val="right" w:pos="8222"/>
        </w:tabs>
        <w:spacing w:after="0" w:line="360" w:lineRule="auto"/>
        <w:ind w:left="644"/>
        <w:rPr>
          <w:rFonts w:eastAsia="Times New Roman" w:cs="Arial"/>
          <w:szCs w:val="24"/>
          <w:lang w:val="es-ES" w:eastAsia="es-ES"/>
        </w:rPr>
      </w:pPr>
    </w:p>
    <w:p w:rsidR="00384886" w:rsidRPr="00100FEE" w:rsidRDefault="00384886" w:rsidP="00384886">
      <w:pPr>
        <w:pStyle w:val="Prrafodelista"/>
        <w:numPr>
          <w:ilvl w:val="0"/>
          <w:numId w:val="7"/>
        </w:numPr>
        <w:tabs>
          <w:tab w:val="left" w:pos="851"/>
          <w:tab w:val="right" w:pos="5387"/>
          <w:tab w:val="right" w:pos="8222"/>
        </w:tabs>
        <w:spacing w:after="0" w:line="360" w:lineRule="auto"/>
        <w:jc w:val="both"/>
        <w:rPr>
          <w:rFonts w:ascii="Arial" w:hAnsi="Arial" w:cs="Arial"/>
          <w:b/>
          <w:sz w:val="24"/>
          <w:szCs w:val="24"/>
          <w:lang w:val="es-ES" w:eastAsia="es-ES"/>
        </w:rPr>
      </w:pPr>
      <w:r w:rsidRPr="00100FEE">
        <w:rPr>
          <w:rFonts w:ascii="Arial" w:hAnsi="Arial" w:cs="Arial"/>
          <w:b/>
          <w:sz w:val="24"/>
          <w:szCs w:val="24"/>
          <w:lang w:val="es-ES" w:eastAsia="es-ES"/>
        </w:rPr>
        <w:t>Artículos 33 y 43 del TOCAF (Procedimiento de contratación y Fraccionamiento del gasto)</w:t>
      </w:r>
    </w:p>
    <w:p w:rsidR="00384886" w:rsidRDefault="00384886" w:rsidP="00D4128A">
      <w:pPr>
        <w:tabs>
          <w:tab w:val="left" w:pos="1134"/>
          <w:tab w:val="right" w:pos="5387"/>
          <w:tab w:val="right" w:pos="8222"/>
        </w:tabs>
        <w:spacing w:after="0" w:line="360" w:lineRule="auto"/>
        <w:ind w:left="644"/>
        <w:rPr>
          <w:rFonts w:eastAsia="Times New Roman" w:cs="Arial"/>
          <w:szCs w:val="24"/>
          <w:lang w:val="es-ES" w:eastAsia="es-ES"/>
        </w:rPr>
      </w:pPr>
      <w:r>
        <w:rPr>
          <w:rFonts w:eastAsia="Times New Roman" w:cs="Arial"/>
          <w:szCs w:val="24"/>
          <w:lang w:val="es-ES" w:eastAsia="es-ES"/>
        </w:rPr>
        <w:t xml:space="preserve">Del </w:t>
      </w:r>
      <w:proofErr w:type="spellStart"/>
      <w:r>
        <w:rPr>
          <w:rFonts w:eastAsia="Times New Roman" w:cs="Arial"/>
          <w:szCs w:val="24"/>
          <w:lang w:val="es-ES" w:eastAsia="es-ES"/>
        </w:rPr>
        <w:t>analisis</w:t>
      </w:r>
      <w:proofErr w:type="spellEnd"/>
      <w:r>
        <w:rPr>
          <w:rFonts w:eastAsia="Times New Roman" w:cs="Arial"/>
          <w:szCs w:val="24"/>
          <w:lang w:val="es-ES" w:eastAsia="es-ES"/>
        </w:rPr>
        <w:t xml:space="preserve"> efectuado, se constataron </w:t>
      </w:r>
      <w:r w:rsidRPr="005F58F5">
        <w:rPr>
          <w:rFonts w:eastAsia="Times New Roman" w:cs="Arial"/>
          <w:szCs w:val="24"/>
          <w:lang w:val="es-ES" w:eastAsia="es-ES"/>
        </w:rPr>
        <w:t xml:space="preserve">compras directas </w:t>
      </w:r>
      <w:r>
        <w:rPr>
          <w:rFonts w:eastAsia="Times New Roman" w:cs="Arial"/>
          <w:szCs w:val="24"/>
          <w:lang w:val="es-ES" w:eastAsia="es-ES"/>
        </w:rPr>
        <w:t xml:space="preserve">a un </w:t>
      </w:r>
      <w:r w:rsidRPr="005F58F5">
        <w:rPr>
          <w:rFonts w:eastAsia="Times New Roman" w:cs="Arial"/>
          <w:szCs w:val="24"/>
          <w:lang w:val="es-ES" w:eastAsia="es-ES"/>
        </w:rPr>
        <w:t>mismo proveedor</w:t>
      </w:r>
      <w:r>
        <w:rPr>
          <w:rFonts w:eastAsia="Times New Roman" w:cs="Arial"/>
          <w:szCs w:val="24"/>
          <w:lang w:val="es-ES" w:eastAsia="es-ES"/>
        </w:rPr>
        <w:t xml:space="preserve">, por conceptos similares, por importes que oscilan entre $2:000.000 y $ 6:000.000 </w:t>
      </w:r>
      <w:r w:rsidRPr="005F58F5">
        <w:rPr>
          <w:rFonts w:eastAsia="Times New Roman" w:cs="Arial"/>
          <w:szCs w:val="24"/>
          <w:lang w:val="es-ES" w:eastAsia="es-ES"/>
        </w:rPr>
        <w:t>superando el monto previsto para dicho procedimiento, constatándose fraccionamiento en las compras sin que se deje constancia del fundamento del mismo, incumpliendo con lo dispuesto en la normativa mencionada</w:t>
      </w:r>
      <w:r w:rsidR="00877320">
        <w:rPr>
          <w:rFonts w:eastAsia="Times New Roman" w:cs="Arial"/>
          <w:szCs w:val="24"/>
          <w:lang w:val="es-ES" w:eastAsia="es-ES"/>
        </w:rPr>
        <w:t>.</w:t>
      </w:r>
    </w:p>
    <w:p w:rsidR="00384886" w:rsidRDefault="00384886" w:rsidP="00D4128A">
      <w:pPr>
        <w:tabs>
          <w:tab w:val="left" w:pos="1134"/>
          <w:tab w:val="right" w:pos="5387"/>
          <w:tab w:val="right" w:pos="8222"/>
        </w:tabs>
        <w:spacing w:after="0" w:line="360" w:lineRule="auto"/>
        <w:ind w:left="644"/>
        <w:rPr>
          <w:rFonts w:eastAsia="Times New Roman" w:cs="Arial"/>
          <w:szCs w:val="24"/>
          <w:lang w:val="es-ES" w:eastAsia="es-ES"/>
        </w:rPr>
      </w:pPr>
    </w:p>
    <w:p w:rsidR="00384886" w:rsidRPr="00100FEE" w:rsidRDefault="00384886" w:rsidP="00384886">
      <w:pPr>
        <w:pStyle w:val="Prrafodelista"/>
        <w:numPr>
          <w:ilvl w:val="0"/>
          <w:numId w:val="7"/>
        </w:numPr>
        <w:tabs>
          <w:tab w:val="left" w:pos="851"/>
          <w:tab w:val="right" w:pos="5387"/>
          <w:tab w:val="right" w:pos="8222"/>
        </w:tabs>
        <w:spacing w:after="0" w:line="360" w:lineRule="auto"/>
        <w:jc w:val="both"/>
        <w:rPr>
          <w:rFonts w:ascii="Arial" w:hAnsi="Arial" w:cs="Arial"/>
          <w:b/>
          <w:sz w:val="24"/>
          <w:szCs w:val="24"/>
          <w:lang w:val="es-ES" w:eastAsia="es-ES"/>
        </w:rPr>
      </w:pPr>
      <w:r w:rsidRPr="00100FEE">
        <w:rPr>
          <w:rFonts w:ascii="Arial" w:hAnsi="Arial" w:cs="Arial"/>
          <w:b/>
          <w:sz w:val="24"/>
          <w:szCs w:val="24"/>
          <w:lang w:val="es-ES" w:eastAsia="es-ES"/>
        </w:rPr>
        <w:t>Numeral 1° del Artículo 128 del TOCAF y Numeral 2 Literal f) de la Ordenanza N°</w:t>
      </w:r>
      <w:r w:rsidR="00100FEE">
        <w:rPr>
          <w:rFonts w:ascii="Arial" w:hAnsi="Arial" w:cs="Arial"/>
          <w:b/>
          <w:sz w:val="24"/>
          <w:szCs w:val="24"/>
          <w:lang w:val="es-ES" w:eastAsia="es-ES"/>
        </w:rPr>
        <w:t xml:space="preserve"> 75</w:t>
      </w:r>
    </w:p>
    <w:p w:rsidR="00384886" w:rsidRPr="00730C7F" w:rsidRDefault="00384886" w:rsidP="002A74C2">
      <w:pPr>
        <w:tabs>
          <w:tab w:val="left" w:pos="1134"/>
          <w:tab w:val="right" w:pos="5387"/>
          <w:tab w:val="right" w:pos="8222"/>
        </w:tabs>
        <w:spacing w:after="0" w:line="360" w:lineRule="auto"/>
        <w:ind w:left="644"/>
        <w:rPr>
          <w:rFonts w:eastAsia="Times New Roman"/>
          <w:szCs w:val="24"/>
          <w:lang w:val="es-ES_tradnl" w:eastAsia="es-ES"/>
        </w:rPr>
      </w:pPr>
      <w:r>
        <w:rPr>
          <w:rFonts w:eastAsia="Times New Roman" w:cs="Arial"/>
          <w:szCs w:val="24"/>
          <w:lang w:val="es-ES" w:eastAsia="es-ES"/>
        </w:rPr>
        <w:t>N</w:t>
      </w:r>
      <w:r w:rsidRPr="00462512">
        <w:rPr>
          <w:rFonts w:eastAsia="Times New Roman" w:cs="Arial"/>
          <w:szCs w:val="24"/>
          <w:lang w:val="es-ES" w:eastAsia="es-ES"/>
        </w:rPr>
        <w:t>o fueron incluidos los estados demostrativos que debe contener el Balance de Ejecución Presupuestal</w:t>
      </w:r>
      <w:r>
        <w:rPr>
          <w:rFonts w:eastAsia="Times New Roman" w:cs="Arial"/>
          <w:szCs w:val="24"/>
          <w:lang w:val="es-ES" w:eastAsia="es-ES"/>
        </w:rPr>
        <w:t xml:space="preserve">, relacionados con el </w:t>
      </w:r>
      <w:r w:rsidRPr="00462512">
        <w:rPr>
          <w:rFonts w:eastAsia="Times New Roman" w:cs="Arial"/>
          <w:szCs w:val="24"/>
          <w:lang w:val="es-ES" w:eastAsia="es-ES"/>
        </w:rPr>
        <w:t>grado de cumplimiento de los objetivos y metas progr</w:t>
      </w:r>
      <w:r>
        <w:rPr>
          <w:rFonts w:eastAsia="Times New Roman" w:cs="Arial"/>
          <w:szCs w:val="24"/>
          <w:lang w:val="es-ES" w:eastAsia="es-ES"/>
        </w:rPr>
        <w:t>amadas, indicando los previstos,</w:t>
      </w:r>
      <w:r w:rsidRPr="00462512">
        <w:rPr>
          <w:rFonts w:eastAsia="Times New Roman" w:cs="Arial"/>
          <w:szCs w:val="24"/>
          <w:lang w:val="es-ES" w:eastAsia="es-ES"/>
        </w:rPr>
        <w:t xml:space="preserve"> los a</w:t>
      </w:r>
      <w:r>
        <w:rPr>
          <w:rFonts w:eastAsia="Times New Roman" w:cs="Arial"/>
          <w:szCs w:val="24"/>
          <w:lang w:val="es-ES" w:eastAsia="es-ES"/>
        </w:rPr>
        <w:t xml:space="preserve">lcanzados y su costo resultante. Asimismo, no </w:t>
      </w:r>
      <w:r w:rsidRPr="00462512">
        <w:rPr>
          <w:rFonts w:eastAsia="Times New Roman" w:cs="Arial"/>
          <w:szCs w:val="24"/>
          <w:lang w:val="es-ES" w:eastAsia="es-ES"/>
        </w:rPr>
        <w:t>se informan los compromisos referidos a</w:t>
      </w:r>
      <w:r>
        <w:rPr>
          <w:rFonts w:eastAsia="Times New Roman" w:cs="Arial"/>
          <w:szCs w:val="24"/>
          <w:lang w:val="es-ES" w:eastAsia="es-ES"/>
        </w:rPr>
        <w:t xml:space="preserve"> los</w:t>
      </w:r>
      <w:r w:rsidRPr="00462512">
        <w:rPr>
          <w:rFonts w:eastAsia="Times New Roman" w:cs="Arial"/>
          <w:szCs w:val="24"/>
          <w:lang w:val="es-ES" w:eastAsia="es-ES"/>
        </w:rPr>
        <w:t xml:space="preserve"> gastos de inversión co</w:t>
      </w:r>
      <w:r>
        <w:rPr>
          <w:rFonts w:eastAsia="Times New Roman" w:cs="Arial"/>
          <w:szCs w:val="24"/>
          <w:lang w:val="es-ES" w:eastAsia="es-ES"/>
        </w:rPr>
        <w:t>ntraídos y no ejecutados en el E</w:t>
      </w:r>
      <w:r w:rsidRPr="00462512">
        <w:rPr>
          <w:rFonts w:eastAsia="Times New Roman" w:cs="Arial"/>
          <w:szCs w:val="24"/>
          <w:lang w:val="es-ES" w:eastAsia="es-ES"/>
        </w:rPr>
        <w:t xml:space="preserve">jercicio, </w:t>
      </w:r>
      <w:r>
        <w:rPr>
          <w:rFonts w:eastAsia="Times New Roman" w:cs="Arial"/>
          <w:szCs w:val="24"/>
          <w:lang w:val="es-ES" w:eastAsia="es-ES"/>
        </w:rPr>
        <w:t>con indicación de</w:t>
      </w:r>
      <w:r w:rsidRPr="00462512">
        <w:rPr>
          <w:rFonts w:eastAsia="Times New Roman" w:cs="Arial"/>
          <w:szCs w:val="24"/>
          <w:lang w:val="es-ES" w:eastAsia="es-ES"/>
        </w:rPr>
        <w:t xml:space="preserve"> l</w:t>
      </w:r>
      <w:r>
        <w:rPr>
          <w:rFonts w:eastAsia="Times New Roman" w:cs="Arial"/>
          <w:szCs w:val="24"/>
          <w:lang w:val="es-ES" w:eastAsia="es-ES"/>
        </w:rPr>
        <w:t>os que tienen créditos para el E</w:t>
      </w:r>
      <w:r w:rsidRPr="00462512">
        <w:rPr>
          <w:rFonts w:eastAsia="Times New Roman" w:cs="Arial"/>
          <w:szCs w:val="24"/>
          <w:lang w:val="es-ES" w:eastAsia="es-ES"/>
        </w:rPr>
        <w:t>jercicio siguiente y aquellos que no teni</w:t>
      </w:r>
      <w:r w:rsidR="00100FEE">
        <w:rPr>
          <w:rFonts w:eastAsia="Times New Roman" w:cs="Arial"/>
          <w:szCs w:val="24"/>
          <w:lang w:val="es-ES" w:eastAsia="es-ES"/>
        </w:rPr>
        <w:t>éndolo deban ser reprogramados.</w:t>
      </w:r>
    </w:p>
    <w:p w:rsidR="00384886" w:rsidRDefault="00384886" w:rsidP="00912A37">
      <w:pPr>
        <w:spacing w:after="120" w:line="360" w:lineRule="auto"/>
        <w:ind w:left="426"/>
        <w:jc w:val="right"/>
        <w:rPr>
          <w:rFonts w:eastAsia="Times New Roman"/>
          <w:szCs w:val="24"/>
          <w:lang w:val="es-ES_tradnl" w:eastAsia="es-ES"/>
        </w:rPr>
      </w:pPr>
      <w:r w:rsidRPr="00730C7F">
        <w:rPr>
          <w:rFonts w:eastAsia="Times New Roman"/>
          <w:szCs w:val="24"/>
          <w:lang w:val="es-ES_tradnl" w:eastAsia="es-ES"/>
        </w:rPr>
        <w:t>Montevideo, 18 de enero de 2019</w:t>
      </w:r>
    </w:p>
    <w:p w:rsidR="00384886" w:rsidRDefault="00384886" w:rsidP="00912A37">
      <w:pPr>
        <w:spacing w:after="120" w:line="360" w:lineRule="auto"/>
        <w:ind w:left="426"/>
        <w:jc w:val="right"/>
        <w:rPr>
          <w:rFonts w:eastAsia="Times New Roman"/>
          <w:szCs w:val="24"/>
          <w:lang w:val="es-ES_tradnl" w:eastAsia="es-ES"/>
        </w:rPr>
      </w:pPr>
    </w:p>
    <w:p w:rsidR="00384886" w:rsidRDefault="00384886" w:rsidP="00912A37">
      <w:pPr>
        <w:spacing w:after="120" w:line="360" w:lineRule="auto"/>
        <w:ind w:left="426"/>
        <w:jc w:val="right"/>
        <w:rPr>
          <w:rFonts w:eastAsia="Times New Roman"/>
          <w:szCs w:val="24"/>
          <w:lang w:val="es-ES_tradnl" w:eastAsia="es-ES"/>
        </w:rPr>
      </w:pPr>
    </w:p>
    <w:p w:rsidR="00384886" w:rsidRPr="00730C7F" w:rsidRDefault="00384886" w:rsidP="002A74C2">
      <w:pPr>
        <w:spacing w:after="120" w:line="360" w:lineRule="auto"/>
        <w:ind w:left="426" w:hanging="710"/>
        <w:rPr>
          <w:rFonts w:eastAsia="Times New Roman"/>
          <w:szCs w:val="24"/>
          <w:lang w:val="es-ES_tradnl" w:eastAsia="es-ES"/>
        </w:rPr>
      </w:pPr>
      <w:proofErr w:type="gramStart"/>
      <w:r>
        <w:rPr>
          <w:rFonts w:eastAsia="Times New Roman"/>
          <w:szCs w:val="24"/>
          <w:lang w:val="es-ES_tradnl" w:eastAsia="es-ES"/>
        </w:rPr>
        <w:t>dc</w:t>
      </w:r>
      <w:proofErr w:type="gramEnd"/>
    </w:p>
    <w:p w:rsidR="00384886" w:rsidRPr="00730C7F" w:rsidRDefault="00384886">
      <w:pPr>
        <w:spacing w:after="120" w:line="360" w:lineRule="auto"/>
        <w:ind w:left="426"/>
        <w:jc w:val="right"/>
        <w:rPr>
          <w:rFonts w:eastAsia="Times New Roman"/>
          <w:szCs w:val="24"/>
          <w:lang w:val="es-ES_tradnl" w:eastAsia="es-ES"/>
        </w:rPr>
      </w:pPr>
    </w:p>
    <w:p w:rsidR="00384886" w:rsidRDefault="00384886" w:rsidP="003D610E">
      <w:pPr>
        <w:ind w:hanging="426"/>
      </w:pPr>
    </w:p>
    <w:p w:rsidR="00384886" w:rsidRDefault="00384886" w:rsidP="003D610E">
      <w:pPr>
        <w:ind w:hanging="426"/>
      </w:pPr>
    </w:p>
    <w:p w:rsidR="00384886" w:rsidRDefault="00384886" w:rsidP="003D610E">
      <w:pPr>
        <w:ind w:hanging="426"/>
      </w:pPr>
    </w:p>
    <w:p w:rsidR="00384886" w:rsidRPr="000B3B77" w:rsidRDefault="00384886" w:rsidP="00912A37">
      <w:pPr>
        <w:keepNext/>
        <w:spacing w:after="0" w:line="360" w:lineRule="auto"/>
        <w:jc w:val="center"/>
        <w:outlineLvl w:val="0"/>
        <w:rPr>
          <w:rFonts w:eastAsia="Times New Roman"/>
          <w:b/>
          <w:bCs/>
          <w:szCs w:val="24"/>
          <w:lang w:val="es-ES" w:eastAsia="es-ES"/>
        </w:rPr>
      </w:pPr>
      <w:r w:rsidRPr="000B3B77">
        <w:rPr>
          <w:rFonts w:eastAsia="Times New Roman"/>
          <w:b/>
          <w:bCs/>
          <w:szCs w:val="24"/>
          <w:lang w:val="es-ES" w:eastAsia="es-ES"/>
        </w:rPr>
        <w:t>INFORME A LA ADMINISTRACIÓN</w:t>
      </w:r>
    </w:p>
    <w:p w:rsidR="00384886" w:rsidRPr="000B3B77" w:rsidRDefault="00384886" w:rsidP="00912A37">
      <w:pPr>
        <w:spacing w:after="0" w:line="360" w:lineRule="auto"/>
        <w:rPr>
          <w:rFonts w:eastAsia="Times New Roman"/>
          <w:szCs w:val="20"/>
          <w:lang w:val="es-ES" w:eastAsia="es-ES"/>
        </w:rPr>
      </w:pPr>
    </w:p>
    <w:p w:rsidR="00384886" w:rsidRPr="000B3B77" w:rsidRDefault="00384886" w:rsidP="00912A37">
      <w:pPr>
        <w:spacing w:after="0" w:line="360" w:lineRule="auto"/>
        <w:rPr>
          <w:rFonts w:eastAsia="Times New Roman"/>
          <w:szCs w:val="20"/>
          <w:lang w:val="es-ES" w:eastAsia="es-ES"/>
        </w:rPr>
      </w:pPr>
      <w:r w:rsidRPr="000B3B77">
        <w:rPr>
          <w:rFonts w:eastAsia="Times New Roman"/>
          <w:szCs w:val="20"/>
          <w:lang w:val="es-ES" w:eastAsia="es-ES"/>
        </w:rPr>
        <w:t>El Tribunal de Cuentas ha examinado los Estados Financieros Consolidados e Individuales y el Estado de Ejecución Presupuestal de la Administración Nacio</w:t>
      </w:r>
      <w:r>
        <w:rPr>
          <w:rFonts w:eastAsia="Times New Roman"/>
          <w:szCs w:val="20"/>
          <w:lang w:val="es-ES" w:eastAsia="es-ES"/>
        </w:rPr>
        <w:softHyphen/>
      </w:r>
      <w:r w:rsidRPr="000B3B77">
        <w:rPr>
          <w:rFonts w:eastAsia="Times New Roman"/>
          <w:szCs w:val="20"/>
          <w:lang w:val="es-ES" w:eastAsia="es-ES"/>
        </w:rPr>
        <w:t xml:space="preserve">nal de Combustibles, Alcohol y Portland (ANCAP), </w:t>
      </w:r>
      <w:r>
        <w:rPr>
          <w:rFonts w:eastAsia="Times New Roman"/>
          <w:szCs w:val="20"/>
          <w:lang w:val="es-ES" w:eastAsia="es-ES"/>
        </w:rPr>
        <w:t>por el E</w:t>
      </w:r>
      <w:r w:rsidRPr="000B3B77">
        <w:rPr>
          <w:rFonts w:eastAsia="Times New Roman"/>
          <w:szCs w:val="20"/>
          <w:lang w:val="es-ES" w:eastAsia="es-ES"/>
        </w:rPr>
        <w:t>jercicio finalizado el 31 de diciembre de 2017 y ha emitido los dictámenes correspondientes.</w:t>
      </w:r>
    </w:p>
    <w:p w:rsidR="00384886" w:rsidRPr="000B3B77" w:rsidRDefault="00384886" w:rsidP="00912A37">
      <w:pPr>
        <w:spacing w:after="0" w:line="360" w:lineRule="auto"/>
        <w:rPr>
          <w:rFonts w:eastAsia="Times New Roman" w:cs="Arial"/>
          <w:szCs w:val="20"/>
          <w:lang w:val="es-ES" w:eastAsia="es-ES"/>
        </w:rPr>
      </w:pPr>
      <w:r w:rsidRPr="000B3B77">
        <w:rPr>
          <w:rFonts w:eastAsia="Times New Roman" w:cs="Arial"/>
          <w:szCs w:val="20"/>
          <w:lang w:val="es-ES" w:eastAsia="es-ES"/>
        </w:rPr>
        <w:t>Este informe contiene consideraciones relativas a la evaluación de control interno. Se incluyen además, comentarios que se ha entendido pertinente exponer</w:t>
      </w:r>
      <w:r>
        <w:rPr>
          <w:rFonts w:eastAsia="Times New Roman" w:cs="Arial"/>
          <w:szCs w:val="20"/>
          <w:lang w:val="es-ES" w:eastAsia="es-ES"/>
        </w:rPr>
        <w:t>,</w:t>
      </w:r>
      <w:r w:rsidRPr="000B3B77">
        <w:rPr>
          <w:rFonts w:eastAsia="Times New Roman" w:cs="Arial"/>
          <w:szCs w:val="20"/>
          <w:lang w:val="es-ES" w:eastAsia="es-ES"/>
        </w:rPr>
        <w:t xml:space="preserve"> relacionados a la situación de determinados capítulos y rubros de los estados examinados y a </w:t>
      </w:r>
      <w:r>
        <w:rPr>
          <w:rFonts w:eastAsia="Times New Roman" w:cs="Arial"/>
          <w:szCs w:val="20"/>
          <w:lang w:val="es-ES" w:eastAsia="es-ES"/>
        </w:rPr>
        <w:t xml:space="preserve">las </w:t>
      </w:r>
      <w:r w:rsidRPr="000B3B77">
        <w:rPr>
          <w:rFonts w:eastAsia="Times New Roman" w:cs="Arial"/>
          <w:szCs w:val="20"/>
          <w:lang w:val="es-ES" w:eastAsia="es-ES"/>
        </w:rPr>
        <w:t>disposiciones legales vigentes.</w:t>
      </w:r>
    </w:p>
    <w:p w:rsidR="00384886" w:rsidRPr="000B3B77" w:rsidRDefault="00384886" w:rsidP="00912A37">
      <w:pPr>
        <w:spacing w:after="0" w:line="360" w:lineRule="auto"/>
        <w:rPr>
          <w:rFonts w:eastAsia="Times New Roman"/>
          <w:szCs w:val="20"/>
          <w:lang w:val="es-ES" w:eastAsia="es-ES"/>
        </w:rPr>
      </w:pPr>
      <w:r w:rsidRPr="000B3B77">
        <w:rPr>
          <w:rFonts w:eastAsia="Times New Roman"/>
          <w:szCs w:val="20"/>
          <w:lang w:val="es-ES" w:eastAsia="es-ES"/>
        </w:rPr>
        <w:t>También se agrega</w:t>
      </w:r>
      <w:r>
        <w:rPr>
          <w:rFonts w:eastAsia="Times New Roman"/>
          <w:szCs w:val="20"/>
          <w:lang w:val="es-ES" w:eastAsia="es-ES"/>
        </w:rPr>
        <w:t>n</w:t>
      </w:r>
      <w:r w:rsidRPr="000B3B77">
        <w:rPr>
          <w:rFonts w:eastAsia="Times New Roman"/>
          <w:szCs w:val="20"/>
          <w:lang w:val="es-ES" w:eastAsia="es-ES"/>
        </w:rPr>
        <w:t xml:space="preserve"> las principales recomendaciones que </w:t>
      </w:r>
      <w:proofErr w:type="gramStart"/>
      <w:r w:rsidRPr="000B3B77">
        <w:rPr>
          <w:rFonts w:eastAsia="Times New Roman"/>
          <w:szCs w:val="20"/>
          <w:lang w:val="es-ES" w:eastAsia="es-ES"/>
        </w:rPr>
        <w:t>deberá</w:t>
      </w:r>
      <w:proofErr w:type="gramEnd"/>
      <w:r w:rsidRPr="000B3B77">
        <w:rPr>
          <w:rFonts w:eastAsia="Times New Roman"/>
          <w:szCs w:val="20"/>
          <w:lang w:val="es-ES" w:eastAsia="es-ES"/>
        </w:rPr>
        <w:t xml:space="preserve"> atender el Organismo y una evaluación del cumplimiento de las recomendaciones efectuadas en el </w:t>
      </w:r>
      <w:r>
        <w:rPr>
          <w:rFonts w:eastAsia="Times New Roman"/>
          <w:szCs w:val="20"/>
          <w:lang w:val="es-ES" w:eastAsia="es-ES"/>
        </w:rPr>
        <w:t>i</w:t>
      </w:r>
      <w:r w:rsidRPr="000B3B77">
        <w:rPr>
          <w:rFonts w:eastAsia="Times New Roman"/>
          <w:szCs w:val="20"/>
          <w:lang w:val="es-ES" w:eastAsia="es-ES"/>
        </w:rPr>
        <w:t xml:space="preserve">nforme de </w:t>
      </w:r>
      <w:r>
        <w:rPr>
          <w:rFonts w:eastAsia="Times New Roman"/>
          <w:szCs w:val="20"/>
          <w:lang w:val="es-ES" w:eastAsia="es-ES"/>
        </w:rPr>
        <w:t>auditoría del E</w:t>
      </w:r>
      <w:r w:rsidRPr="000B3B77">
        <w:rPr>
          <w:rFonts w:eastAsia="Times New Roman"/>
          <w:szCs w:val="20"/>
          <w:lang w:val="es-ES" w:eastAsia="es-ES"/>
        </w:rPr>
        <w:t>jercicio anterior.</w:t>
      </w:r>
    </w:p>
    <w:p w:rsidR="00384886" w:rsidRPr="001C0961" w:rsidRDefault="00384886" w:rsidP="00912A37">
      <w:pPr>
        <w:spacing w:after="0" w:line="360" w:lineRule="auto"/>
        <w:rPr>
          <w:rFonts w:eastAsia="Times New Roman"/>
          <w:color w:val="FF0000"/>
          <w:szCs w:val="20"/>
          <w:lang w:val="es-ES" w:eastAsia="es-ES"/>
        </w:rPr>
      </w:pPr>
    </w:p>
    <w:p w:rsidR="00384886" w:rsidRPr="000B3B77" w:rsidRDefault="00384886" w:rsidP="00384886">
      <w:pPr>
        <w:numPr>
          <w:ilvl w:val="0"/>
          <w:numId w:val="8"/>
        </w:numPr>
        <w:tabs>
          <w:tab w:val="num" w:pos="405"/>
        </w:tabs>
        <w:spacing w:after="0" w:line="360" w:lineRule="auto"/>
        <w:ind w:hanging="720"/>
        <w:rPr>
          <w:rFonts w:eastAsia="Times New Roman" w:cs="Arial"/>
          <w:b/>
          <w:szCs w:val="24"/>
          <w:lang w:val="es-ES" w:eastAsia="es-ES"/>
        </w:rPr>
      </w:pPr>
      <w:r w:rsidRPr="000B3B77">
        <w:rPr>
          <w:rFonts w:eastAsia="Times New Roman" w:cs="Arial"/>
          <w:b/>
          <w:szCs w:val="24"/>
          <w:lang w:val="es-ES" w:eastAsia="es-ES"/>
        </w:rPr>
        <w:t>Presentación de los estados financieros</w:t>
      </w:r>
    </w:p>
    <w:p w:rsidR="00384886" w:rsidRPr="000B3B77" w:rsidRDefault="00384886" w:rsidP="00912A37">
      <w:pPr>
        <w:spacing w:after="0" w:line="360" w:lineRule="auto"/>
        <w:rPr>
          <w:rFonts w:eastAsia="Times New Roman" w:cs="Arial"/>
          <w:spacing w:val="-3"/>
          <w:szCs w:val="24"/>
          <w:lang w:val="es-ES_tradnl" w:eastAsia="es-ES"/>
        </w:rPr>
      </w:pPr>
      <w:r w:rsidRPr="000B3B77">
        <w:rPr>
          <w:rFonts w:eastAsia="Times New Roman" w:cs="Arial"/>
          <w:bCs/>
          <w:szCs w:val="24"/>
          <w:lang w:val="es-ES" w:eastAsia="es-ES"/>
        </w:rPr>
        <w:t xml:space="preserve">Los </w:t>
      </w:r>
      <w:r>
        <w:rPr>
          <w:rFonts w:eastAsia="Times New Roman" w:cs="Arial"/>
          <w:bCs/>
          <w:szCs w:val="24"/>
          <w:lang w:val="es-ES" w:eastAsia="es-ES"/>
        </w:rPr>
        <w:t>E</w:t>
      </w:r>
      <w:r w:rsidRPr="000B3B77">
        <w:rPr>
          <w:rFonts w:eastAsia="Times New Roman" w:cs="Arial"/>
          <w:bCs/>
          <w:szCs w:val="24"/>
          <w:lang w:val="es-ES" w:eastAsia="es-ES"/>
        </w:rPr>
        <w:t xml:space="preserve">stados </w:t>
      </w:r>
      <w:r>
        <w:rPr>
          <w:rFonts w:eastAsia="Times New Roman" w:cs="Arial"/>
          <w:bCs/>
          <w:szCs w:val="24"/>
          <w:lang w:val="es-ES" w:eastAsia="es-ES"/>
        </w:rPr>
        <w:t>F</w:t>
      </w:r>
      <w:r w:rsidRPr="000B3B77">
        <w:rPr>
          <w:rFonts w:eastAsia="Times New Roman" w:cs="Arial"/>
          <w:bCs/>
          <w:szCs w:val="24"/>
          <w:lang w:val="es-ES" w:eastAsia="es-ES"/>
        </w:rPr>
        <w:t xml:space="preserve">inancieros </w:t>
      </w:r>
      <w:r>
        <w:rPr>
          <w:rFonts w:eastAsia="Times New Roman" w:cs="Arial"/>
          <w:bCs/>
          <w:szCs w:val="24"/>
          <w:lang w:val="es-ES" w:eastAsia="es-ES"/>
        </w:rPr>
        <w:t>C</w:t>
      </w:r>
      <w:r w:rsidRPr="000B3B77">
        <w:rPr>
          <w:rFonts w:eastAsia="Times New Roman" w:cs="Arial"/>
          <w:bCs/>
          <w:szCs w:val="24"/>
          <w:lang w:val="es-ES" w:eastAsia="es-ES"/>
        </w:rPr>
        <w:t xml:space="preserve">onsolidados e </w:t>
      </w:r>
      <w:r>
        <w:rPr>
          <w:rFonts w:eastAsia="Times New Roman" w:cs="Arial"/>
          <w:bCs/>
          <w:szCs w:val="24"/>
          <w:lang w:val="es-ES" w:eastAsia="es-ES"/>
        </w:rPr>
        <w:t>I</w:t>
      </w:r>
      <w:r w:rsidRPr="000B3B77">
        <w:rPr>
          <w:rFonts w:eastAsia="Times New Roman" w:cs="Arial"/>
          <w:bCs/>
          <w:szCs w:val="24"/>
          <w:lang w:val="es-ES" w:eastAsia="es-ES"/>
        </w:rPr>
        <w:t>ndividuales de ANCAP correspon</w:t>
      </w:r>
      <w:r>
        <w:rPr>
          <w:rFonts w:eastAsia="Times New Roman" w:cs="Arial"/>
          <w:bCs/>
          <w:szCs w:val="24"/>
          <w:lang w:val="es-ES" w:eastAsia="es-ES"/>
        </w:rPr>
        <w:softHyphen/>
      </w:r>
      <w:r w:rsidRPr="000B3B77">
        <w:rPr>
          <w:rFonts w:eastAsia="Times New Roman" w:cs="Arial"/>
          <w:bCs/>
          <w:szCs w:val="24"/>
          <w:lang w:val="es-ES" w:eastAsia="es-ES"/>
        </w:rPr>
        <w:t>dient</w:t>
      </w:r>
      <w:r>
        <w:rPr>
          <w:rFonts w:eastAsia="Times New Roman" w:cs="Arial"/>
          <w:bCs/>
          <w:szCs w:val="24"/>
          <w:lang w:val="es-ES" w:eastAsia="es-ES"/>
        </w:rPr>
        <w:t>es al E</w:t>
      </w:r>
      <w:r w:rsidRPr="000B3B77">
        <w:rPr>
          <w:rFonts w:eastAsia="Times New Roman" w:cs="Arial"/>
          <w:bCs/>
          <w:szCs w:val="24"/>
          <w:lang w:val="es-ES" w:eastAsia="es-ES"/>
        </w:rPr>
        <w:t xml:space="preserve">jercicio finalizado el 31 de diciembre de 2017, fueron aprobados por </w:t>
      </w:r>
      <w:r w:rsidRPr="000B3B77">
        <w:rPr>
          <w:rFonts w:eastAsia="Times New Roman" w:cs="Arial"/>
          <w:spacing w:val="-3"/>
          <w:szCs w:val="24"/>
          <w:lang w:val="es-ES_tradnl" w:eastAsia="es-ES"/>
        </w:rPr>
        <w:t>Resolución de Directorio N° 235/3/2018</w:t>
      </w:r>
      <w:r>
        <w:rPr>
          <w:rFonts w:eastAsia="Times New Roman" w:cs="Arial"/>
          <w:spacing w:val="-3"/>
          <w:szCs w:val="24"/>
          <w:lang w:val="es-ES_tradnl" w:eastAsia="es-ES"/>
        </w:rPr>
        <w:t>,</w:t>
      </w:r>
      <w:r w:rsidRPr="000B3B77">
        <w:rPr>
          <w:rFonts w:eastAsia="Times New Roman" w:cs="Arial"/>
          <w:spacing w:val="-3"/>
          <w:szCs w:val="24"/>
          <w:lang w:val="es-ES_tradnl" w:eastAsia="es-ES"/>
        </w:rPr>
        <w:t xml:space="preserve"> de fecha 21/03/2018 y remitidos para su examen a este Tribunal con fecha 23/03/2018.</w:t>
      </w:r>
    </w:p>
    <w:p w:rsidR="00384886" w:rsidRPr="000B3B77" w:rsidRDefault="00384886" w:rsidP="00912A37">
      <w:pPr>
        <w:spacing w:after="0" w:line="360" w:lineRule="auto"/>
        <w:rPr>
          <w:rFonts w:eastAsia="Times New Roman" w:cs="Arial"/>
          <w:spacing w:val="-3"/>
          <w:szCs w:val="24"/>
          <w:lang w:val="es-ES_tradnl" w:eastAsia="es-ES"/>
        </w:rPr>
      </w:pPr>
      <w:r w:rsidRPr="000B3B77">
        <w:rPr>
          <w:rFonts w:eastAsia="Times New Roman" w:cs="Arial"/>
          <w:spacing w:val="-3"/>
          <w:szCs w:val="24"/>
          <w:lang w:val="es-ES_tradnl" w:eastAsia="es-ES"/>
        </w:rPr>
        <w:t>Dichos e</w:t>
      </w:r>
      <w:r>
        <w:rPr>
          <w:rFonts w:eastAsia="Times New Roman" w:cs="Arial"/>
          <w:spacing w:val="-3"/>
          <w:szCs w:val="24"/>
          <w:lang w:val="es-ES_tradnl" w:eastAsia="es-ES"/>
        </w:rPr>
        <w:t>stados se presentan de acuerdo con</w:t>
      </w:r>
      <w:r w:rsidRPr="000B3B77">
        <w:rPr>
          <w:rFonts w:eastAsia="Times New Roman" w:cs="Arial"/>
          <w:spacing w:val="-3"/>
          <w:szCs w:val="24"/>
          <w:lang w:val="es-ES_tradnl" w:eastAsia="es-ES"/>
        </w:rPr>
        <w:t xml:space="preserve"> las normas contables adecuadas en Uruguay, a los criterios establecidos por la Ordenanza N° 89 y a la Resolución de fecha 25/06/09 del Tribunal de Cuentas, relativa a la remisión de los estados financieros consolidados.</w:t>
      </w:r>
    </w:p>
    <w:p w:rsidR="00384886" w:rsidRPr="000B3B77" w:rsidRDefault="00384886" w:rsidP="00912A37">
      <w:pPr>
        <w:spacing w:after="0" w:line="360" w:lineRule="auto"/>
        <w:rPr>
          <w:rFonts w:eastAsia="Times New Roman" w:cs="Arial"/>
          <w:spacing w:val="-3"/>
          <w:szCs w:val="24"/>
          <w:lang w:val="es-ES_tradnl" w:eastAsia="es-ES"/>
        </w:rPr>
      </w:pPr>
      <w:r w:rsidRPr="000B3B77">
        <w:rPr>
          <w:rFonts w:eastAsia="Times New Roman" w:cs="Arial"/>
          <w:spacing w:val="-3"/>
          <w:szCs w:val="24"/>
          <w:lang w:val="es-ES_tradnl" w:eastAsia="es-ES"/>
        </w:rPr>
        <w:t xml:space="preserve">Los estados financieros de ANCAP fueron consolidados al 31/12/2017 con los correspondientes a CABA S.A., </w:t>
      </w:r>
      <w:r>
        <w:rPr>
          <w:rFonts w:eastAsia="Times New Roman" w:cs="Arial"/>
          <w:spacing w:val="-3"/>
          <w:szCs w:val="24"/>
          <w:lang w:val="es-ES_tradnl" w:eastAsia="es-ES"/>
        </w:rPr>
        <w:t xml:space="preserve">PETROURUGUAY S.A., </w:t>
      </w:r>
      <w:r w:rsidRPr="000B3B77">
        <w:rPr>
          <w:rFonts w:eastAsia="Times New Roman" w:cs="Arial"/>
          <w:spacing w:val="-3"/>
          <w:szCs w:val="24"/>
          <w:lang w:val="es-ES_tradnl" w:eastAsia="es-ES"/>
        </w:rPr>
        <w:t>PAMACOR S.A</w:t>
      </w:r>
      <w:r>
        <w:rPr>
          <w:rFonts w:eastAsia="Times New Roman" w:cs="Arial"/>
          <w:spacing w:val="-3"/>
          <w:szCs w:val="24"/>
          <w:lang w:val="es-ES_tradnl" w:eastAsia="es-ES"/>
        </w:rPr>
        <w:t>.</w:t>
      </w:r>
      <w:r w:rsidRPr="000B3B77">
        <w:rPr>
          <w:rFonts w:eastAsia="Times New Roman" w:cs="Arial"/>
          <w:spacing w:val="-3"/>
          <w:szCs w:val="24"/>
          <w:lang w:val="es-ES_tradnl" w:eastAsia="es-ES"/>
        </w:rPr>
        <w:t>, DUCSA, ALUR S.A., CEMENTOS DEL PLATA S.A., ANCSOL S.A. Y ATS S.A.</w:t>
      </w:r>
    </w:p>
    <w:p w:rsidR="00384886" w:rsidRPr="001D22C3" w:rsidRDefault="00384886" w:rsidP="00912A37">
      <w:pPr>
        <w:spacing w:after="0" w:line="360" w:lineRule="auto"/>
        <w:rPr>
          <w:rFonts w:eastAsia="Times New Roman"/>
          <w:szCs w:val="24"/>
          <w:lang w:val="es-ES" w:eastAsia="es-ES"/>
        </w:rPr>
      </w:pPr>
      <w:r w:rsidRPr="001D22C3">
        <w:rPr>
          <w:rFonts w:eastAsia="Times New Roman"/>
          <w:szCs w:val="24"/>
          <w:lang w:val="es-ES" w:eastAsia="es-ES"/>
        </w:rPr>
        <w:t>El Estado de Ejecución Presupuestal de ANCAP</w:t>
      </w:r>
      <w:r>
        <w:rPr>
          <w:rFonts w:eastAsia="Times New Roman"/>
          <w:szCs w:val="24"/>
          <w:lang w:val="es-ES" w:eastAsia="es-ES"/>
        </w:rPr>
        <w:t xml:space="preserve"> correspondiente al E</w:t>
      </w:r>
      <w:r w:rsidRPr="001D22C3">
        <w:rPr>
          <w:rFonts w:eastAsia="Times New Roman"/>
          <w:szCs w:val="24"/>
          <w:lang w:val="es-ES" w:eastAsia="es-ES"/>
        </w:rPr>
        <w:t>jercicio finalizado el 31 de diciembre de 2017, fue aprobado por Resolución de  Directorio N° 230/3/2018</w:t>
      </w:r>
      <w:r>
        <w:rPr>
          <w:rFonts w:eastAsia="Times New Roman"/>
          <w:szCs w:val="24"/>
          <w:lang w:val="es-ES" w:eastAsia="es-ES"/>
        </w:rPr>
        <w:t>,</w:t>
      </w:r>
      <w:r w:rsidRPr="001D22C3">
        <w:rPr>
          <w:rFonts w:eastAsia="Times New Roman"/>
          <w:szCs w:val="24"/>
          <w:lang w:val="es-ES" w:eastAsia="es-ES"/>
        </w:rPr>
        <w:t xml:space="preserve"> de fecha 19/03/2018 y remitido para su examen a este Tribunal con fecha 22/03/18. Dicho</w:t>
      </w:r>
      <w:r>
        <w:rPr>
          <w:rFonts w:eastAsia="Times New Roman"/>
          <w:szCs w:val="24"/>
          <w:lang w:val="es-ES" w:eastAsia="es-ES"/>
        </w:rPr>
        <w:t xml:space="preserve"> estado se presenta de acuerdo con</w:t>
      </w:r>
      <w:r w:rsidRPr="001D22C3">
        <w:rPr>
          <w:rFonts w:eastAsia="Times New Roman"/>
          <w:szCs w:val="24"/>
          <w:lang w:val="es-ES" w:eastAsia="es-ES"/>
        </w:rPr>
        <w:t xml:space="preserve"> los criterios establecidos en el TOCAF, en el Decreto aprobatorio del Presupuesto del Ejercicio 2017 y </w:t>
      </w:r>
      <w:r>
        <w:rPr>
          <w:rFonts w:eastAsia="Times New Roman"/>
          <w:szCs w:val="24"/>
          <w:lang w:val="es-ES" w:eastAsia="es-ES"/>
        </w:rPr>
        <w:t>en</w:t>
      </w:r>
      <w:r w:rsidRPr="001D22C3">
        <w:rPr>
          <w:rFonts w:eastAsia="Times New Roman"/>
          <w:szCs w:val="24"/>
          <w:lang w:val="es-ES" w:eastAsia="es-ES"/>
        </w:rPr>
        <w:t xml:space="preserve"> la Ordenanza N°</w:t>
      </w:r>
      <w:r>
        <w:rPr>
          <w:rFonts w:eastAsia="Times New Roman"/>
          <w:szCs w:val="24"/>
          <w:lang w:val="es-ES" w:eastAsia="es-ES"/>
        </w:rPr>
        <w:t xml:space="preserve"> </w:t>
      </w:r>
      <w:r w:rsidRPr="001D22C3">
        <w:rPr>
          <w:rFonts w:eastAsia="Times New Roman"/>
          <w:szCs w:val="24"/>
          <w:lang w:val="es-ES" w:eastAsia="es-ES"/>
        </w:rPr>
        <w:t>75 del Tribunal de Cuentas de fecha 16/09/1998.</w:t>
      </w:r>
    </w:p>
    <w:p w:rsidR="00384886" w:rsidRDefault="00384886" w:rsidP="00912A37">
      <w:pPr>
        <w:spacing w:after="0" w:line="360" w:lineRule="auto"/>
        <w:contextualSpacing/>
        <w:rPr>
          <w:rFonts w:eastAsia="Times New Roman" w:cs="Arial"/>
          <w:color w:val="FF0000"/>
          <w:szCs w:val="24"/>
          <w:lang w:val="es-ES_tradnl" w:eastAsia="es-ES"/>
        </w:rPr>
      </w:pPr>
    </w:p>
    <w:p w:rsidR="00384886" w:rsidRDefault="00384886" w:rsidP="00384886">
      <w:pPr>
        <w:numPr>
          <w:ilvl w:val="0"/>
          <w:numId w:val="8"/>
        </w:numPr>
        <w:tabs>
          <w:tab w:val="num" w:pos="426"/>
        </w:tabs>
        <w:spacing w:after="0" w:line="360" w:lineRule="auto"/>
        <w:ind w:hanging="720"/>
        <w:rPr>
          <w:rFonts w:eastAsia="Times New Roman"/>
          <w:b/>
          <w:snapToGrid w:val="0"/>
          <w:szCs w:val="24"/>
          <w:lang w:val="es-ES" w:eastAsia="es-ES"/>
        </w:rPr>
      </w:pPr>
      <w:r>
        <w:rPr>
          <w:rFonts w:eastAsia="Times New Roman"/>
          <w:b/>
          <w:snapToGrid w:val="0"/>
          <w:szCs w:val="24"/>
          <w:lang w:val="es-ES" w:eastAsia="es-ES"/>
        </w:rPr>
        <w:t>Motivos que originan las salvedades en el Dictamen de los Estados Financieros</w:t>
      </w:r>
    </w:p>
    <w:p w:rsidR="00384886" w:rsidRPr="00AA7CF3" w:rsidRDefault="00384886" w:rsidP="001E7976">
      <w:pPr>
        <w:spacing w:after="0" w:line="360" w:lineRule="auto"/>
        <w:rPr>
          <w:rFonts w:eastAsia="Times New Roman"/>
          <w:snapToGrid w:val="0"/>
          <w:szCs w:val="24"/>
          <w:lang w:val="es-ES" w:eastAsia="es-ES"/>
        </w:rPr>
      </w:pPr>
      <w:r>
        <w:rPr>
          <w:rFonts w:eastAsia="Times New Roman"/>
          <w:snapToGrid w:val="0"/>
          <w:szCs w:val="24"/>
          <w:lang w:val="es-ES" w:eastAsia="es-ES"/>
        </w:rPr>
        <w:t>Se mantienen las situaciones constatadas en los Ejercicios anteriores en cuanto a que:</w:t>
      </w:r>
    </w:p>
    <w:p w:rsidR="00384886" w:rsidRPr="00AA7CF3" w:rsidRDefault="00384886" w:rsidP="00AA7CF3">
      <w:pPr>
        <w:spacing w:after="0" w:line="360" w:lineRule="auto"/>
        <w:ind w:left="720"/>
        <w:rPr>
          <w:rFonts w:eastAsia="Times New Roman"/>
          <w:snapToGrid w:val="0"/>
          <w:szCs w:val="24"/>
          <w:lang w:val="es-ES" w:eastAsia="es-ES"/>
        </w:rPr>
      </w:pPr>
      <w:r w:rsidRPr="00A951DA">
        <w:rPr>
          <w:rFonts w:eastAsia="Times New Roman"/>
          <w:b/>
          <w:snapToGrid w:val="0"/>
          <w:szCs w:val="24"/>
          <w:lang w:val="es-ES" w:eastAsia="es-ES"/>
        </w:rPr>
        <w:t>2.1</w:t>
      </w:r>
      <w:r w:rsidRPr="00AA7CF3">
        <w:rPr>
          <w:rFonts w:eastAsia="Times New Roman"/>
          <w:snapToGrid w:val="0"/>
          <w:szCs w:val="24"/>
          <w:lang w:val="es-ES" w:eastAsia="es-ES"/>
        </w:rPr>
        <w:t xml:space="preserve"> La empresa ANCSOL S.A., de la cual ANCAP es propietaria d</w:t>
      </w:r>
      <w:r>
        <w:rPr>
          <w:rFonts w:eastAsia="Times New Roman"/>
          <w:snapToGrid w:val="0"/>
          <w:szCs w:val="24"/>
          <w:lang w:val="es-ES" w:eastAsia="es-ES"/>
        </w:rPr>
        <w:t xml:space="preserve">el 100% del paquete accionario, </w:t>
      </w:r>
      <w:r w:rsidRPr="00AA7CF3">
        <w:rPr>
          <w:rFonts w:eastAsia="Times New Roman"/>
          <w:snapToGrid w:val="0"/>
          <w:szCs w:val="24"/>
          <w:lang w:val="es-ES" w:eastAsia="es-ES"/>
        </w:rPr>
        <w:t>present</w:t>
      </w:r>
      <w:r>
        <w:rPr>
          <w:rFonts w:eastAsia="Times New Roman"/>
          <w:snapToGrid w:val="0"/>
          <w:szCs w:val="24"/>
          <w:lang w:val="es-ES" w:eastAsia="es-ES"/>
        </w:rPr>
        <w:t>ó</w:t>
      </w:r>
      <w:r w:rsidRPr="00AA7CF3">
        <w:rPr>
          <w:rFonts w:eastAsia="Times New Roman"/>
          <w:snapToGrid w:val="0"/>
          <w:szCs w:val="24"/>
          <w:lang w:val="es-ES" w:eastAsia="es-ES"/>
        </w:rPr>
        <w:t xml:space="preserve"> al 31/12/2017 un índice EBITDA (beneficio antes de intereses, impuestos, depreciaciones y amortizacio</w:t>
      </w:r>
      <w:r>
        <w:rPr>
          <w:rFonts w:eastAsia="Times New Roman"/>
          <w:snapToGrid w:val="0"/>
          <w:szCs w:val="24"/>
          <w:lang w:val="es-ES" w:eastAsia="es-ES"/>
        </w:rPr>
        <w:softHyphen/>
      </w:r>
      <w:r w:rsidRPr="00AA7CF3">
        <w:rPr>
          <w:rFonts w:eastAsia="Times New Roman"/>
          <w:snapToGrid w:val="0"/>
          <w:szCs w:val="24"/>
          <w:lang w:val="es-ES" w:eastAsia="es-ES"/>
        </w:rPr>
        <w:t>nes) negativo</w:t>
      </w:r>
      <w:r>
        <w:rPr>
          <w:rFonts w:eastAsia="Times New Roman"/>
          <w:snapToGrid w:val="0"/>
          <w:szCs w:val="24"/>
          <w:lang w:val="es-ES" w:eastAsia="es-ES"/>
        </w:rPr>
        <w:t>, de $ 75:</w:t>
      </w:r>
      <w:r w:rsidRPr="00AA7CF3">
        <w:rPr>
          <w:rFonts w:eastAsia="Times New Roman"/>
          <w:snapToGrid w:val="0"/>
          <w:szCs w:val="24"/>
          <w:lang w:val="es-ES" w:eastAsia="es-ES"/>
        </w:rPr>
        <w:t xml:space="preserve">165.673. La empresa </w:t>
      </w:r>
      <w:r>
        <w:rPr>
          <w:rFonts w:eastAsia="Times New Roman"/>
          <w:snapToGrid w:val="0"/>
          <w:szCs w:val="24"/>
          <w:lang w:val="es-ES" w:eastAsia="es-ES"/>
        </w:rPr>
        <w:t>configura</w:t>
      </w:r>
      <w:r w:rsidRPr="00AA7CF3">
        <w:rPr>
          <w:rFonts w:eastAsia="Times New Roman"/>
          <w:snapToGrid w:val="0"/>
          <w:szCs w:val="24"/>
          <w:lang w:val="es-ES" w:eastAsia="es-ES"/>
        </w:rPr>
        <w:t xml:space="preserve"> causal de disolución </w:t>
      </w:r>
      <w:r>
        <w:rPr>
          <w:rFonts w:eastAsia="Times New Roman"/>
          <w:snapToGrid w:val="0"/>
          <w:szCs w:val="24"/>
          <w:lang w:val="es-ES" w:eastAsia="es-ES"/>
        </w:rPr>
        <w:t xml:space="preserve">de acuerdo con lo </w:t>
      </w:r>
      <w:r w:rsidRPr="00AA7CF3">
        <w:rPr>
          <w:rFonts w:eastAsia="Times New Roman"/>
          <w:snapToGrid w:val="0"/>
          <w:szCs w:val="24"/>
          <w:lang w:val="es-ES" w:eastAsia="es-ES"/>
        </w:rPr>
        <w:t>previst</w:t>
      </w:r>
      <w:r>
        <w:rPr>
          <w:rFonts w:eastAsia="Times New Roman"/>
          <w:snapToGrid w:val="0"/>
          <w:szCs w:val="24"/>
          <w:lang w:val="es-ES" w:eastAsia="es-ES"/>
        </w:rPr>
        <w:t>o</w:t>
      </w:r>
      <w:r w:rsidRPr="00AA7CF3">
        <w:rPr>
          <w:rFonts w:eastAsia="Times New Roman"/>
          <w:snapToGrid w:val="0"/>
          <w:szCs w:val="24"/>
          <w:lang w:val="es-ES" w:eastAsia="es-ES"/>
        </w:rPr>
        <w:t xml:space="preserve"> por</w:t>
      </w:r>
      <w:r>
        <w:rPr>
          <w:rFonts w:eastAsia="Times New Roman"/>
          <w:snapToGrid w:val="0"/>
          <w:szCs w:val="24"/>
          <w:lang w:val="es-ES" w:eastAsia="es-ES"/>
        </w:rPr>
        <w:t xml:space="preserve"> la</w:t>
      </w:r>
      <w:r w:rsidRPr="00AA7CF3">
        <w:rPr>
          <w:rFonts w:eastAsia="Times New Roman"/>
          <w:snapToGrid w:val="0"/>
          <w:szCs w:val="24"/>
          <w:lang w:val="es-ES" w:eastAsia="es-ES"/>
        </w:rPr>
        <w:t xml:space="preserve"> Ley N°</w:t>
      </w:r>
      <w:r>
        <w:rPr>
          <w:rFonts w:eastAsia="Times New Roman"/>
          <w:snapToGrid w:val="0"/>
          <w:szCs w:val="24"/>
          <w:lang w:val="es-ES" w:eastAsia="es-ES"/>
        </w:rPr>
        <w:t xml:space="preserve"> </w:t>
      </w:r>
      <w:r w:rsidRPr="00AA7CF3">
        <w:rPr>
          <w:rFonts w:eastAsia="Times New Roman"/>
          <w:snapToGrid w:val="0"/>
          <w:szCs w:val="24"/>
          <w:lang w:val="es-ES" w:eastAsia="es-ES"/>
        </w:rPr>
        <w:t xml:space="preserve">16.060. </w:t>
      </w:r>
      <w:r w:rsidRPr="00AB4265">
        <w:rPr>
          <w:rFonts w:eastAsia="Times New Roman"/>
          <w:snapToGrid w:val="0"/>
          <w:szCs w:val="24"/>
          <w:lang w:val="es-ES" w:eastAsia="es-ES"/>
        </w:rPr>
        <w:t xml:space="preserve">No se han expuesto en los Estados Financieros Consolidados </w:t>
      </w:r>
      <w:r>
        <w:rPr>
          <w:rFonts w:eastAsia="Times New Roman"/>
          <w:snapToGrid w:val="0"/>
          <w:szCs w:val="24"/>
          <w:lang w:val="es-ES" w:eastAsia="es-ES"/>
        </w:rPr>
        <w:t xml:space="preserve">e Individuales de ANCAP </w:t>
      </w:r>
      <w:r w:rsidRPr="00AB4265">
        <w:rPr>
          <w:rFonts w:eastAsia="Times New Roman"/>
          <w:snapToGrid w:val="0"/>
          <w:szCs w:val="24"/>
          <w:lang w:val="es-ES" w:eastAsia="es-ES"/>
        </w:rPr>
        <w:t>los efectos contables de estas situaciones.</w:t>
      </w:r>
    </w:p>
    <w:p w:rsidR="00384886" w:rsidRPr="00AA7CF3" w:rsidRDefault="00384886" w:rsidP="00AA7CF3">
      <w:pPr>
        <w:spacing w:after="0" w:line="360" w:lineRule="auto"/>
        <w:ind w:left="720"/>
        <w:rPr>
          <w:rFonts w:eastAsia="Times New Roman"/>
          <w:snapToGrid w:val="0"/>
          <w:szCs w:val="24"/>
          <w:lang w:val="es-ES" w:eastAsia="es-ES"/>
        </w:rPr>
      </w:pPr>
      <w:r w:rsidRPr="00AA7CF3">
        <w:rPr>
          <w:rFonts w:eastAsia="Times New Roman"/>
          <w:snapToGrid w:val="0"/>
          <w:szCs w:val="24"/>
          <w:lang w:val="es-ES" w:eastAsia="es-ES"/>
        </w:rPr>
        <w:t>Los auditores externos de ANCSOL S.A.</w:t>
      </w:r>
      <w:r>
        <w:rPr>
          <w:rFonts w:eastAsia="Times New Roman"/>
          <w:snapToGrid w:val="0"/>
          <w:szCs w:val="24"/>
          <w:lang w:val="es-ES" w:eastAsia="es-ES"/>
        </w:rPr>
        <w:t>,</w:t>
      </w:r>
      <w:r w:rsidRPr="00AA7CF3">
        <w:rPr>
          <w:rFonts w:eastAsia="Times New Roman"/>
          <w:snapToGrid w:val="0"/>
          <w:szCs w:val="24"/>
          <w:lang w:val="es-ES" w:eastAsia="es-ES"/>
        </w:rPr>
        <w:t xml:space="preserve"> se abstuvieron de emitir opinión sobre sus Estados Financieros debido a la situación financiera de su subsidiaria CARBOCLOR S.A., que con fecha 29/12/2016 solicitó la apertura de un concurso preventivo de acreedores, el cual ha finalizado, </w:t>
      </w:r>
      <w:r>
        <w:rPr>
          <w:rFonts w:eastAsia="Times New Roman"/>
          <w:snapToGrid w:val="0"/>
          <w:szCs w:val="24"/>
          <w:lang w:val="es-ES" w:eastAsia="es-ES"/>
        </w:rPr>
        <w:t>manteniéndose</w:t>
      </w:r>
      <w:r w:rsidRPr="00AA7CF3">
        <w:rPr>
          <w:rFonts w:eastAsia="Times New Roman"/>
          <w:snapToGrid w:val="0"/>
          <w:szCs w:val="24"/>
          <w:lang w:val="es-ES" w:eastAsia="es-ES"/>
        </w:rPr>
        <w:t xml:space="preserve"> pendiente a la fecha de emisión de los estados</w:t>
      </w:r>
      <w:r>
        <w:rPr>
          <w:rFonts w:eastAsia="Times New Roman"/>
          <w:snapToGrid w:val="0"/>
          <w:szCs w:val="24"/>
          <w:lang w:val="es-ES" w:eastAsia="es-ES"/>
        </w:rPr>
        <w:t>,</w:t>
      </w:r>
      <w:r w:rsidRPr="00AA7CF3">
        <w:rPr>
          <w:rFonts w:eastAsia="Times New Roman"/>
          <w:snapToGrid w:val="0"/>
          <w:szCs w:val="24"/>
          <w:lang w:val="es-ES" w:eastAsia="es-ES"/>
        </w:rPr>
        <w:t xml:space="preserve"> la determinación de los pasivos concursales y la presentación y tratamiento de la propuesta de</w:t>
      </w:r>
      <w:r>
        <w:rPr>
          <w:rFonts w:eastAsia="Times New Roman"/>
          <w:snapToGrid w:val="0"/>
          <w:szCs w:val="24"/>
          <w:lang w:val="es-ES" w:eastAsia="es-ES"/>
        </w:rPr>
        <w:t>l</w:t>
      </w:r>
      <w:r w:rsidRPr="00AA7CF3">
        <w:rPr>
          <w:rFonts w:eastAsia="Times New Roman"/>
          <w:snapToGrid w:val="0"/>
          <w:szCs w:val="24"/>
          <w:lang w:val="es-ES" w:eastAsia="es-ES"/>
        </w:rPr>
        <w:t xml:space="preserve"> acuerdo preventivo.</w:t>
      </w:r>
    </w:p>
    <w:p w:rsidR="00384886" w:rsidRPr="00AA7CF3" w:rsidRDefault="00384886" w:rsidP="00AA7CF3">
      <w:pPr>
        <w:spacing w:after="0" w:line="360" w:lineRule="auto"/>
        <w:ind w:left="720"/>
        <w:rPr>
          <w:rFonts w:eastAsia="Times New Roman"/>
          <w:snapToGrid w:val="0"/>
          <w:szCs w:val="24"/>
          <w:lang w:val="es-ES" w:eastAsia="es-ES"/>
        </w:rPr>
      </w:pPr>
    </w:p>
    <w:p w:rsidR="00384886" w:rsidRPr="00AA7CF3" w:rsidRDefault="00384886" w:rsidP="00AA7CF3">
      <w:pPr>
        <w:spacing w:after="0" w:line="360" w:lineRule="auto"/>
        <w:ind w:left="720"/>
        <w:rPr>
          <w:rFonts w:eastAsia="Times New Roman"/>
          <w:snapToGrid w:val="0"/>
          <w:szCs w:val="24"/>
          <w:lang w:val="es-ES" w:eastAsia="es-ES"/>
        </w:rPr>
      </w:pPr>
      <w:r w:rsidRPr="00A951DA">
        <w:rPr>
          <w:rFonts w:eastAsia="Times New Roman"/>
          <w:b/>
          <w:snapToGrid w:val="0"/>
          <w:szCs w:val="24"/>
          <w:lang w:val="es-ES" w:eastAsia="es-ES"/>
        </w:rPr>
        <w:t>2.2</w:t>
      </w:r>
      <w:r>
        <w:rPr>
          <w:rFonts w:eastAsia="Times New Roman"/>
          <w:snapToGrid w:val="0"/>
          <w:szCs w:val="24"/>
          <w:lang w:val="es-ES" w:eastAsia="es-ES"/>
        </w:rPr>
        <w:t xml:space="preserve"> </w:t>
      </w:r>
      <w:r w:rsidRPr="00AA7CF3">
        <w:rPr>
          <w:rFonts w:eastAsia="Times New Roman"/>
          <w:snapToGrid w:val="0"/>
          <w:szCs w:val="24"/>
          <w:lang w:val="es-ES" w:eastAsia="es-ES"/>
        </w:rPr>
        <w:t>La empresa CABA S.A., de la cual ANCAP es propietaria del 100% del paquete accionario, present</w:t>
      </w:r>
      <w:r>
        <w:rPr>
          <w:rFonts w:eastAsia="Times New Roman"/>
          <w:snapToGrid w:val="0"/>
          <w:szCs w:val="24"/>
          <w:lang w:val="es-ES" w:eastAsia="es-ES"/>
        </w:rPr>
        <w:t>ó</w:t>
      </w:r>
      <w:r w:rsidRPr="00AA7CF3">
        <w:rPr>
          <w:rFonts w:eastAsia="Times New Roman"/>
          <w:snapToGrid w:val="0"/>
          <w:szCs w:val="24"/>
          <w:lang w:val="es-ES" w:eastAsia="es-ES"/>
        </w:rPr>
        <w:t xml:space="preserve"> un r</w:t>
      </w:r>
      <w:r>
        <w:rPr>
          <w:rFonts w:eastAsia="Times New Roman"/>
          <w:snapToGrid w:val="0"/>
          <w:szCs w:val="24"/>
          <w:lang w:val="es-ES" w:eastAsia="es-ES"/>
        </w:rPr>
        <w:t>esultado negativo de $ 10:</w:t>
      </w:r>
      <w:r w:rsidRPr="00AA7CF3">
        <w:rPr>
          <w:rFonts w:eastAsia="Times New Roman"/>
          <w:snapToGrid w:val="0"/>
          <w:szCs w:val="24"/>
          <w:lang w:val="es-ES" w:eastAsia="es-ES"/>
        </w:rPr>
        <w:t>714.778. Este indicio de deterioro y los efectos contables del mismo no fueron evaluados por el Ente</w:t>
      </w:r>
      <w:r>
        <w:rPr>
          <w:rFonts w:eastAsia="Times New Roman"/>
          <w:snapToGrid w:val="0"/>
          <w:szCs w:val="24"/>
          <w:lang w:val="es-ES" w:eastAsia="es-ES"/>
        </w:rPr>
        <w:t>,</w:t>
      </w:r>
      <w:r w:rsidRPr="00AA7CF3">
        <w:rPr>
          <w:rFonts w:eastAsia="Times New Roman"/>
          <w:snapToGrid w:val="0"/>
          <w:szCs w:val="24"/>
          <w:lang w:val="es-ES" w:eastAsia="es-ES"/>
        </w:rPr>
        <w:t xml:space="preserve"> </w:t>
      </w:r>
      <w:r>
        <w:rPr>
          <w:rFonts w:eastAsia="Times New Roman"/>
          <w:snapToGrid w:val="0"/>
          <w:szCs w:val="24"/>
          <w:lang w:val="es-ES" w:eastAsia="es-ES"/>
        </w:rPr>
        <w:t xml:space="preserve">para su exposición </w:t>
      </w:r>
      <w:r w:rsidRPr="00AA7CF3">
        <w:rPr>
          <w:rFonts w:eastAsia="Times New Roman"/>
          <w:snapToGrid w:val="0"/>
          <w:szCs w:val="24"/>
          <w:lang w:val="es-ES" w:eastAsia="es-ES"/>
        </w:rPr>
        <w:t xml:space="preserve">en </w:t>
      </w:r>
      <w:r>
        <w:rPr>
          <w:rFonts w:eastAsia="Times New Roman"/>
          <w:snapToGrid w:val="0"/>
          <w:szCs w:val="24"/>
          <w:lang w:val="es-ES" w:eastAsia="es-ES"/>
        </w:rPr>
        <w:t>los</w:t>
      </w:r>
      <w:r w:rsidRPr="00AA7CF3">
        <w:rPr>
          <w:rFonts w:eastAsia="Times New Roman"/>
          <w:snapToGrid w:val="0"/>
          <w:szCs w:val="24"/>
          <w:lang w:val="es-ES" w:eastAsia="es-ES"/>
        </w:rPr>
        <w:t xml:space="preserve"> Estados Financieros Consolidados</w:t>
      </w:r>
      <w:r>
        <w:rPr>
          <w:rFonts w:eastAsia="Times New Roman"/>
          <w:snapToGrid w:val="0"/>
          <w:szCs w:val="24"/>
          <w:lang w:val="es-ES" w:eastAsia="es-ES"/>
        </w:rPr>
        <w:t xml:space="preserve"> e Individuales</w:t>
      </w:r>
      <w:r w:rsidRPr="00AA7CF3">
        <w:rPr>
          <w:rFonts w:eastAsia="Times New Roman"/>
          <w:snapToGrid w:val="0"/>
          <w:szCs w:val="24"/>
          <w:lang w:val="es-ES" w:eastAsia="es-ES"/>
        </w:rPr>
        <w:t>.</w:t>
      </w:r>
    </w:p>
    <w:p w:rsidR="00384886" w:rsidRPr="00AA7CF3" w:rsidRDefault="00384886" w:rsidP="00AA7CF3">
      <w:pPr>
        <w:spacing w:after="0" w:line="360" w:lineRule="auto"/>
        <w:ind w:left="720"/>
        <w:rPr>
          <w:rFonts w:eastAsia="Times New Roman"/>
          <w:snapToGrid w:val="0"/>
          <w:szCs w:val="24"/>
          <w:lang w:val="es-ES" w:eastAsia="es-ES"/>
        </w:rPr>
      </w:pPr>
      <w:r w:rsidRPr="00AA7CF3">
        <w:rPr>
          <w:rFonts w:eastAsia="Times New Roman"/>
          <w:snapToGrid w:val="0"/>
          <w:szCs w:val="24"/>
          <w:lang w:val="es-ES" w:eastAsia="es-ES"/>
        </w:rPr>
        <w:t>Según se expresa en la</w:t>
      </w:r>
      <w:r>
        <w:rPr>
          <w:rFonts w:eastAsia="Times New Roman"/>
          <w:snapToGrid w:val="0"/>
          <w:szCs w:val="24"/>
          <w:lang w:val="es-ES" w:eastAsia="es-ES"/>
        </w:rPr>
        <w:t>s</w:t>
      </w:r>
      <w:r w:rsidRPr="00AA7CF3">
        <w:rPr>
          <w:rFonts w:eastAsia="Times New Roman"/>
          <w:snapToGrid w:val="0"/>
          <w:szCs w:val="24"/>
          <w:lang w:val="es-ES" w:eastAsia="es-ES"/>
        </w:rPr>
        <w:t xml:space="preserve"> Nota</w:t>
      </w:r>
      <w:r>
        <w:rPr>
          <w:rFonts w:eastAsia="Times New Roman"/>
          <w:snapToGrid w:val="0"/>
          <w:szCs w:val="24"/>
          <w:lang w:val="es-ES" w:eastAsia="es-ES"/>
        </w:rPr>
        <w:t>s</w:t>
      </w:r>
      <w:r w:rsidRPr="00AA7CF3">
        <w:rPr>
          <w:rFonts w:eastAsia="Times New Roman"/>
          <w:snapToGrid w:val="0"/>
          <w:szCs w:val="24"/>
          <w:lang w:val="es-ES" w:eastAsia="es-ES"/>
        </w:rPr>
        <w:t xml:space="preserve"> 34.1 </w:t>
      </w:r>
      <w:r>
        <w:rPr>
          <w:rFonts w:eastAsia="Times New Roman"/>
          <w:snapToGrid w:val="0"/>
          <w:szCs w:val="24"/>
          <w:lang w:val="es-ES" w:eastAsia="es-ES"/>
        </w:rPr>
        <w:t xml:space="preserve">y 31.2 </w:t>
      </w:r>
      <w:r w:rsidRPr="00AA7CF3">
        <w:rPr>
          <w:rFonts w:eastAsia="Times New Roman"/>
          <w:snapToGrid w:val="0"/>
          <w:szCs w:val="24"/>
          <w:lang w:val="es-ES" w:eastAsia="es-ES"/>
        </w:rPr>
        <w:t>de los Estados Financieros Consolidados</w:t>
      </w:r>
      <w:r>
        <w:rPr>
          <w:rFonts w:eastAsia="Times New Roman"/>
          <w:snapToGrid w:val="0"/>
          <w:szCs w:val="24"/>
          <w:lang w:val="es-ES" w:eastAsia="es-ES"/>
        </w:rPr>
        <w:t xml:space="preserve"> e Individuales respectivamente</w:t>
      </w:r>
      <w:r w:rsidRPr="00AA7CF3">
        <w:rPr>
          <w:rFonts w:eastAsia="Times New Roman"/>
          <w:snapToGrid w:val="0"/>
          <w:szCs w:val="24"/>
          <w:lang w:val="es-ES" w:eastAsia="es-ES"/>
        </w:rPr>
        <w:t>, referente a “Hechos posteriores”, la</w:t>
      </w:r>
      <w:r>
        <w:rPr>
          <w:rFonts w:eastAsia="Times New Roman"/>
          <w:snapToGrid w:val="0"/>
          <w:szCs w:val="24"/>
          <w:lang w:val="es-ES" w:eastAsia="es-ES"/>
        </w:rPr>
        <w:t xml:space="preserve"> mencionada</w:t>
      </w:r>
      <w:r w:rsidRPr="00AA7CF3">
        <w:rPr>
          <w:rFonts w:eastAsia="Times New Roman"/>
          <w:snapToGrid w:val="0"/>
          <w:szCs w:val="24"/>
          <w:lang w:val="es-ES" w:eastAsia="es-ES"/>
        </w:rPr>
        <w:t xml:space="preserve"> empresa se encuentra en proceso de liquidación</w:t>
      </w:r>
      <w:r>
        <w:rPr>
          <w:rFonts w:eastAsia="Times New Roman"/>
          <w:snapToGrid w:val="0"/>
          <w:szCs w:val="24"/>
          <w:lang w:val="es-ES" w:eastAsia="es-ES"/>
        </w:rPr>
        <w:t xml:space="preserve">, </w:t>
      </w:r>
      <w:r w:rsidRPr="00AA7CF3">
        <w:rPr>
          <w:rFonts w:eastAsia="Times New Roman"/>
          <w:snapToGrid w:val="0"/>
          <w:szCs w:val="24"/>
          <w:lang w:val="es-ES" w:eastAsia="es-ES"/>
        </w:rPr>
        <w:t xml:space="preserve">situación </w:t>
      </w:r>
      <w:r>
        <w:rPr>
          <w:rFonts w:eastAsia="Times New Roman"/>
          <w:snapToGrid w:val="0"/>
          <w:szCs w:val="24"/>
          <w:lang w:val="es-ES" w:eastAsia="es-ES"/>
        </w:rPr>
        <w:t xml:space="preserve">que </w:t>
      </w:r>
      <w:r w:rsidRPr="00AA7CF3">
        <w:rPr>
          <w:rFonts w:eastAsia="Times New Roman"/>
          <w:snapToGrid w:val="0"/>
          <w:szCs w:val="24"/>
          <w:lang w:val="es-ES" w:eastAsia="es-ES"/>
        </w:rPr>
        <w:t xml:space="preserve">evidencia incertidumbre </w:t>
      </w:r>
      <w:r>
        <w:rPr>
          <w:rFonts w:eastAsia="Times New Roman"/>
          <w:snapToGrid w:val="0"/>
          <w:szCs w:val="24"/>
          <w:lang w:val="es-ES" w:eastAsia="es-ES"/>
        </w:rPr>
        <w:t>sobre el valor en libros de su</w:t>
      </w:r>
      <w:r w:rsidRPr="00AA7CF3">
        <w:rPr>
          <w:rFonts w:eastAsia="Times New Roman"/>
          <w:snapToGrid w:val="0"/>
          <w:szCs w:val="24"/>
          <w:lang w:val="es-ES" w:eastAsia="es-ES"/>
        </w:rPr>
        <w:t>s activos y pasivos</w:t>
      </w:r>
      <w:r>
        <w:rPr>
          <w:rFonts w:eastAsia="Times New Roman"/>
          <w:snapToGrid w:val="0"/>
          <w:szCs w:val="24"/>
          <w:lang w:val="es-ES" w:eastAsia="es-ES"/>
        </w:rPr>
        <w:t>.</w:t>
      </w:r>
      <w:r w:rsidRPr="00AA7CF3">
        <w:rPr>
          <w:rFonts w:eastAsia="Times New Roman"/>
          <w:snapToGrid w:val="0"/>
          <w:szCs w:val="24"/>
          <w:lang w:val="es-ES" w:eastAsia="es-ES"/>
        </w:rPr>
        <w:t xml:space="preserve"> El valor contable de la inversión no recoge eventuales ajustes en los Estados Financieros Consolidados </w:t>
      </w:r>
      <w:r>
        <w:rPr>
          <w:rFonts w:eastAsia="Times New Roman"/>
          <w:snapToGrid w:val="0"/>
          <w:szCs w:val="24"/>
          <w:lang w:val="es-ES" w:eastAsia="es-ES"/>
        </w:rPr>
        <w:t xml:space="preserve">e Individuales </w:t>
      </w:r>
      <w:r w:rsidRPr="00AA7CF3">
        <w:rPr>
          <w:rFonts w:eastAsia="Times New Roman"/>
          <w:snapToGrid w:val="0"/>
          <w:szCs w:val="24"/>
          <w:lang w:val="es-ES" w:eastAsia="es-ES"/>
        </w:rPr>
        <w:t xml:space="preserve">del Ente al 31/12/2017, </w:t>
      </w:r>
      <w:r>
        <w:rPr>
          <w:rFonts w:eastAsia="Times New Roman"/>
          <w:snapToGrid w:val="0"/>
          <w:szCs w:val="24"/>
          <w:lang w:val="es-ES" w:eastAsia="es-ES"/>
        </w:rPr>
        <w:t>derivados de</w:t>
      </w:r>
      <w:r w:rsidRPr="00AA7CF3">
        <w:rPr>
          <w:rFonts w:eastAsia="Times New Roman"/>
          <w:snapToGrid w:val="0"/>
          <w:szCs w:val="24"/>
          <w:lang w:val="es-ES" w:eastAsia="es-ES"/>
        </w:rPr>
        <w:t xml:space="preserve"> esta situación.</w:t>
      </w:r>
    </w:p>
    <w:p w:rsidR="00384886" w:rsidRPr="00AA7CF3" w:rsidRDefault="00384886" w:rsidP="00AA7CF3">
      <w:pPr>
        <w:spacing w:after="0" w:line="360" w:lineRule="auto"/>
        <w:ind w:left="720"/>
        <w:rPr>
          <w:rFonts w:eastAsia="Times New Roman"/>
          <w:snapToGrid w:val="0"/>
          <w:szCs w:val="24"/>
          <w:lang w:val="es-ES" w:eastAsia="es-ES"/>
        </w:rPr>
      </w:pPr>
    </w:p>
    <w:p w:rsidR="00384886" w:rsidRPr="002D56ED" w:rsidRDefault="00384886" w:rsidP="00AA7CF3">
      <w:pPr>
        <w:spacing w:after="0" w:line="360" w:lineRule="auto"/>
        <w:ind w:left="720"/>
        <w:rPr>
          <w:rFonts w:eastAsia="Times New Roman"/>
          <w:snapToGrid w:val="0"/>
          <w:szCs w:val="24"/>
          <w:lang w:val="es-ES" w:eastAsia="es-ES"/>
        </w:rPr>
      </w:pPr>
      <w:r w:rsidRPr="00A951DA">
        <w:rPr>
          <w:rFonts w:eastAsia="Times New Roman"/>
          <w:b/>
          <w:snapToGrid w:val="0"/>
          <w:szCs w:val="24"/>
          <w:lang w:val="es-ES" w:eastAsia="es-ES"/>
        </w:rPr>
        <w:t>2.</w:t>
      </w:r>
      <w:r>
        <w:rPr>
          <w:rFonts w:eastAsia="Times New Roman"/>
          <w:b/>
          <w:snapToGrid w:val="0"/>
          <w:szCs w:val="24"/>
          <w:lang w:val="es-ES" w:eastAsia="es-ES"/>
        </w:rPr>
        <w:t>3</w:t>
      </w:r>
      <w:r w:rsidRPr="00AA7CF3">
        <w:rPr>
          <w:rFonts w:eastAsia="Times New Roman"/>
          <w:snapToGrid w:val="0"/>
          <w:szCs w:val="24"/>
          <w:lang w:val="es-ES" w:eastAsia="es-ES"/>
        </w:rPr>
        <w:t xml:space="preserve"> La empresa CONECTA S.A., de la cual ANCAP es propietaria del 45% del paquete accionario, no cuenta con </w:t>
      </w:r>
      <w:r>
        <w:rPr>
          <w:rFonts w:eastAsia="Times New Roman"/>
          <w:snapToGrid w:val="0"/>
          <w:szCs w:val="24"/>
          <w:lang w:val="es-ES" w:eastAsia="es-ES"/>
        </w:rPr>
        <w:t>e</w:t>
      </w:r>
      <w:r w:rsidRPr="00AA7CF3">
        <w:rPr>
          <w:rFonts w:eastAsia="Times New Roman"/>
          <w:snapToGrid w:val="0"/>
          <w:szCs w:val="24"/>
          <w:lang w:val="es-ES" w:eastAsia="es-ES"/>
        </w:rPr>
        <w:t xml:space="preserve">stados </w:t>
      </w:r>
      <w:r>
        <w:rPr>
          <w:rFonts w:eastAsia="Times New Roman"/>
          <w:snapToGrid w:val="0"/>
          <w:szCs w:val="24"/>
          <w:lang w:val="es-ES" w:eastAsia="es-ES"/>
        </w:rPr>
        <w:t>f</w:t>
      </w:r>
      <w:r w:rsidRPr="00AA7CF3">
        <w:rPr>
          <w:rFonts w:eastAsia="Times New Roman"/>
          <w:snapToGrid w:val="0"/>
          <w:szCs w:val="24"/>
          <w:lang w:val="es-ES" w:eastAsia="es-ES"/>
        </w:rPr>
        <w:t xml:space="preserve">inancieros al 31/12/2017, por lo que no </w:t>
      </w:r>
      <w:r>
        <w:rPr>
          <w:rFonts w:eastAsia="Times New Roman"/>
          <w:snapToGrid w:val="0"/>
          <w:szCs w:val="24"/>
          <w:lang w:val="es-ES" w:eastAsia="es-ES"/>
        </w:rPr>
        <w:t>fue</w:t>
      </w:r>
      <w:r w:rsidRPr="00AA7CF3">
        <w:rPr>
          <w:rFonts w:eastAsia="Times New Roman"/>
          <w:snapToGrid w:val="0"/>
          <w:szCs w:val="24"/>
          <w:lang w:val="es-ES" w:eastAsia="es-ES"/>
        </w:rPr>
        <w:t xml:space="preserve"> posible obtener suficiente evidencia de auditoría del valor contable de esta </w:t>
      </w:r>
      <w:r w:rsidRPr="002D56ED">
        <w:rPr>
          <w:rFonts w:eastAsia="Times New Roman"/>
          <w:snapToGrid w:val="0"/>
          <w:szCs w:val="24"/>
          <w:lang w:val="es-ES" w:eastAsia="es-ES"/>
        </w:rPr>
        <w:t>inversión. Asimismo, la empresa requirió capitalizaciones para mantenerse operativa y se financia con el no pago de sus deudas comerciales. A partir de abril de 2017 el gas natural que comercializa CONECTA S.A. es provisto únicamente por ANCAP, por lo que, el no pago de sus deudas comerciales implicaría un financiamiento exclusivo de parte del Ente</w:t>
      </w:r>
      <w:r>
        <w:rPr>
          <w:rFonts w:eastAsia="Times New Roman"/>
          <w:i/>
          <w:snapToGrid w:val="0"/>
          <w:szCs w:val="24"/>
          <w:lang w:val="es-ES" w:eastAsia="es-ES"/>
        </w:rPr>
        <w:t>.</w:t>
      </w:r>
    </w:p>
    <w:p w:rsidR="00384886" w:rsidRPr="00AA7CF3" w:rsidRDefault="00384886" w:rsidP="00AA7CF3">
      <w:pPr>
        <w:spacing w:after="0" w:line="360" w:lineRule="auto"/>
        <w:ind w:left="720"/>
        <w:rPr>
          <w:rFonts w:eastAsia="Times New Roman"/>
          <w:snapToGrid w:val="0"/>
          <w:szCs w:val="24"/>
          <w:lang w:val="es-ES" w:eastAsia="es-ES"/>
        </w:rPr>
      </w:pPr>
      <w:r w:rsidRPr="00AA7CF3">
        <w:rPr>
          <w:rFonts w:eastAsia="Times New Roman"/>
          <w:snapToGrid w:val="0"/>
          <w:szCs w:val="24"/>
          <w:lang w:val="es-ES" w:eastAsia="es-ES"/>
        </w:rPr>
        <w:t>Los efectos contables de lo</w:t>
      </w:r>
      <w:r>
        <w:rPr>
          <w:rFonts w:eastAsia="Times New Roman"/>
          <w:snapToGrid w:val="0"/>
          <w:szCs w:val="24"/>
          <w:lang w:val="es-ES" w:eastAsia="es-ES"/>
        </w:rPr>
        <w:t>s aspectos</w:t>
      </w:r>
      <w:r w:rsidRPr="00AA7CF3">
        <w:rPr>
          <w:rFonts w:eastAsia="Times New Roman"/>
          <w:snapToGrid w:val="0"/>
          <w:szCs w:val="24"/>
          <w:lang w:val="es-ES" w:eastAsia="es-ES"/>
        </w:rPr>
        <w:t xml:space="preserve"> mencionado</w:t>
      </w:r>
      <w:r>
        <w:rPr>
          <w:rFonts w:eastAsia="Times New Roman"/>
          <w:snapToGrid w:val="0"/>
          <w:szCs w:val="24"/>
          <w:lang w:val="es-ES" w:eastAsia="es-ES"/>
        </w:rPr>
        <w:t>s</w:t>
      </w:r>
      <w:r w:rsidRPr="00AA7CF3">
        <w:rPr>
          <w:rFonts w:eastAsia="Times New Roman"/>
          <w:snapToGrid w:val="0"/>
          <w:szCs w:val="24"/>
          <w:lang w:val="es-ES" w:eastAsia="es-ES"/>
        </w:rPr>
        <w:t xml:space="preserve"> no fueron evaluados por ANCAP en sus Estados Financieros Consolidados </w:t>
      </w:r>
      <w:r>
        <w:rPr>
          <w:rFonts w:eastAsia="Times New Roman"/>
          <w:snapToGrid w:val="0"/>
          <w:szCs w:val="24"/>
          <w:lang w:val="es-ES" w:eastAsia="es-ES"/>
        </w:rPr>
        <w:t xml:space="preserve">e Individuales </w:t>
      </w:r>
      <w:r w:rsidRPr="00AA7CF3">
        <w:rPr>
          <w:rFonts w:eastAsia="Times New Roman"/>
          <w:snapToGrid w:val="0"/>
          <w:szCs w:val="24"/>
          <w:lang w:val="es-ES" w:eastAsia="es-ES"/>
        </w:rPr>
        <w:t>al 31/12/2017.</w:t>
      </w:r>
    </w:p>
    <w:p w:rsidR="00384886" w:rsidRPr="00AA7CF3" w:rsidRDefault="00384886" w:rsidP="00AA7CF3">
      <w:pPr>
        <w:spacing w:after="0" w:line="360" w:lineRule="auto"/>
        <w:ind w:left="720"/>
        <w:rPr>
          <w:rFonts w:eastAsia="Times New Roman"/>
          <w:snapToGrid w:val="0"/>
          <w:szCs w:val="24"/>
          <w:lang w:val="es-ES" w:eastAsia="es-ES"/>
        </w:rPr>
      </w:pPr>
    </w:p>
    <w:p w:rsidR="00384886" w:rsidRPr="00AA7CF3" w:rsidRDefault="00384886" w:rsidP="003E65BB">
      <w:pPr>
        <w:spacing w:after="0" w:line="360" w:lineRule="auto"/>
        <w:ind w:left="720"/>
        <w:rPr>
          <w:rFonts w:eastAsia="Times New Roman"/>
          <w:snapToGrid w:val="0"/>
          <w:szCs w:val="24"/>
          <w:lang w:val="es-ES" w:eastAsia="es-ES"/>
        </w:rPr>
      </w:pPr>
      <w:r>
        <w:rPr>
          <w:rFonts w:eastAsia="Times New Roman"/>
          <w:b/>
          <w:snapToGrid w:val="0"/>
          <w:szCs w:val="24"/>
          <w:lang w:val="es-ES" w:eastAsia="es-ES"/>
        </w:rPr>
        <w:t>2.4</w:t>
      </w:r>
      <w:r w:rsidRPr="00AA7CF3">
        <w:rPr>
          <w:rFonts w:eastAsia="Times New Roman"/>
          <w:snapToGrid w:val="0"/>
          <w:szCs w:val="24"/>
          <w:lang w:val="es-ES" w:eastAsia="es-ES"/>
        </w:rPr>
        <w:t xml:space="preserve"> UTE  y ANCAP mantienen un negocio conjunto en la empresa Gas Sayago S.A., ya que ambas comparten el control y la influencia en la toma de decisiones de políticas operativas y financieras de la sociedad.</w:t>
      </w:r>
    </w:p>
    <w:p w:rsidR="00384886" w:rsidRPr="00AA7CF3" w:rsidRDefault="00384886" w:rsidP="003E65BB">
      <w:pPr>
        <w:spacing w:after="0" w:line="360" w:lineRule="auto"/>
        <w:ind w:left="720"/>
        <w:rPr>
          <w:rFonts w:eastAsia="Times New Roman"/>
          <w:snapToGrid w:val="0"/>
          <w:szCs w:val="24"/>
          <w:lang w:val="es-ES" w:eastAsia="es-ES"/>
        </w:rPr>
      </w:pPr>
      <w:r>
        <w:rPr>
          <w:rFonts w:eastAsia="Times New Roman"/>
          <w:snapToGrid w:val="0"/>
          <w:szCs w:val="24"/>
          <w:lang w:val="es-ES" w:eastAsia="es-ES"/>
        </w:rPr>
        <w:t>Gas Sayago S.A., aun</w:t>
      </w:r>
      <w:r w:rsidRPr="00AA7CF3">
        <w:rPr>
          <w:rFonts w:eastAsia="Times New Roman"/>
          <w:snapToGrid w:val="0"/>
          <w:szCs w:val="24"/>
          <w:lang w:val="es-ES" w:eastAsia="es-ES"/>
        </w:rPr>
        <w:t xml:space="preserve"> reconocie</w:t>
      </w:r>
      <w:r>
        <w:rPr>
          <w:rFonts w:eastAsia="Times New Roman"/>
          <w:snapToGrid w:val="0"/>
          <w:szCs w:val="24"/>
          <w:lang w:val="es-ES" w:eastAsia="es-ES"/>
        </w:rPr>
        <w:t>ndo pérdidas por deterioro de $43:</w:t>
      </w:r>
      <w:r w:rsidRPr="00AA7CF3">
        <w:rPr>
          <w:rFonts w:eastAsia="Times New Roman"/>
          <w:snapToGrid w:val="0"/>
          <w:szCs w:val="24"/>
          <w:lang w:val="es-ES" w:eastAsia="es-ES"/>
        </w:rPr>
        <w:t xml:space="preserve">566.215, presentó un </w:t>
      </w:r>
      <w:r>
        <w:rPr>
          <w:rFonts w:eastAsia="Times New Roman"/>
          <w:snapToGrid w:val="0"/>
          <w:szCs w:val="24"/>
          <w:lang w:val="es-ES" w:eastAsia="es-ES"/>
        </w:rPr>
        <w:t>índice EBITDA negativo de $ 124:</w:t>
      </w:r>
      <w:r w:rsidRPr="00AA7CF3">
        <w:rPr>
          <w:rFonts w:eastAsia="Times New Roman"/>
          <w:snapToGrid w:val="0"/>
          <w:szCs w:val="24"/>
          <w:lang w:val="es-ES" w:eastAsia="es-ES"/>
        </w:rPr>
        <w:t xml:space="preserve">072.819, manteniendo indicios de deterioro cuyos efectos no fueron evaluados por el Ente en sus </w:t>
      </w:r>
      <w:r>
        <w:rPr>
          <w:rFonts w:eastAsia="Times New Roman"/>
          <w:snapToGrid w:val="0"/>
          <w:szCs w:val="24"/>
          <w:lang w:val="es-ES" w:eastAsia="es-ES"/>
        </w:rPr>
        <w:t>E</w:t>
      </w:r>
      <w:r w:rsidRPr="00AA7CF3">
        <w:rPr>
          <w:rFonts w:eastAsia="Times New Roman"/>
          <w:snapToGrid w:val="0"/>
          <w:szCs w:val="24"/>
          <w:lang w:val="es-ES" w:eastAsia="es-ES"/>
        </w:rPr>
        <w:t>stados Financieros Consolidados</w:t>
      </w:r>
      <w:r>
        <w:rPr>
          <w:rFonts w:eastAsia="Times New Roman"/>
          <w:snapToGrid w:val="0"/>
          <w:szCs w:val="24"/>
          <w:lang w:val="es-ES" w:eastAsia="es-ES"/>
        </w:rPr>
        <w:t xml:space="preserve"> e Individuales al 31/12/2017.</w:t>
      </w:r>
    </w:p>
    <w:p w:rsidR="00384886" w:rsidRDefault="00384886" w:rsidP="003E65BB">
      <w:pPr>
        <w:spacing w:after="0" w:line="360" w:lineRule="auto"/>
        <w:ind w:left="720"/>
        <w:rPr>
          <w:rFonts w:eastAsia="Times New Roman"/>
          <w:snapToGrid w:val="0"/>
          <w:szCs w:val="24"/>
          <w:lang w:val="es-ES" w:eastAsia="es-ES"/>
        </w:rPr>
      </w:pPr>
      <w:r>
        <w:rPr>
          <w:rFonts w:eastAsia="Times New Roman"/>
          <w:snapToGrid w:val="0"/>
          <w:szCs w:val="24"/>
          <w:lang w:val="es-ES" w:eastAsia="es-ES"/>
        </w:rPr>
        <w:t>Con relación a l</w:t>
      </w:r>
      <w:r w:rsidRPr="00AA7CF3">
        <w:rPr>
          <w:rFonts w:eastAsia="Times New Roman"/>
          <w:snapToGrid w:val="0"/>
          <w:szCs w:val="24"/>
          <w:lang w:val="es-ES" w:eastAsia="es-ES"/>
        </w:rPr>
        <w:t xml:space="preserve">a situación </w:t>
      </w:r>
      <w:r>
        <w:rPr>
          <w:rFonts w:eastAsia="Times New Roman"/>
          <w:snapToGrid w:val="0"/>
          <w:szCs w:val="24"/>
          <w:lang w:val="es-ES" w:eastAsia="es-ES"/>
        </w:rPr>
        <w:t xml:space="preserve">patrimonial </w:t>
      </w:r>
      <w:r w:rsidRPr="00AA7CF3">
        <w:rPr>
          <w:rFonts w:eastAsia="Times New Roman"/>
          <w:snapToGrid w:val="0"/>
          <w:szCs w:val="24"/>
          <w:lang w:val="es-ES" w:eastAsia="es-ES"/>
        </w:rPr>
        <w:t xml:space="preserve">de la empresa </w:t>
      </w:r>
      <w:r>
        <w:rPr>
          <w:rFonts w:eastAsia="Times New Roman"/>
          <w:snapToGrid w:val="0"/>
          <w:szCs w:val="24"/>
          <w:lang w:val="es-ES" w:eastAsia="es-ES"/>
        </w:rPr>
        <w:t>en nota a los Estados Financieros se establece que durante el Ejercicio 2017 se aprobaron dos reducciones de capital y que en marzo de 2018 se resolvió proponer a los accionistas la aplicación de lo previsto en el Artículo 293 de la Ley N° 16.060.</w:t>
      </w:r>
    </w:p>
    <w:p w:rsidR="00384886" w:rsidRPr="0006001A" w:rsidRDefault="00384886" w:rsidP="003E65BB">
      <w:pPr>
        <w:tabs>
          <w:tab w:val="left" w:pos="1701"/>
        </w:tabs>
        <w:spacing w:after="0" w:line="360" w:lineRule="auto"/>
        <w:ind w:left="709"/>
        <w:rPr>
          <w:rFonts w:cs="Arial"/>
          <w:szCs w:val="24"/>
        </w:rPr>
      </w:pPr>
      <w:r>
        <w:rPr>
          <w:rFonts w:cs="Arial"/>
          <w:szCs w:val="24"/>
        </w:rPr>
        <w:t>Por otra parte,</w:t>
      </w:r>
      <w:r w:rsidRPr="0006001A">
        <w:rPr>
          <w:rFonts w:cs="Arial"/>
          <w:szCs w:val="24"/>
        </w:rPr>
        <w:t xml:space="preserve"> en julio de 201</w:t>
      </w:r>
      <w:r>
        <w:rPr>
          <w:rFonts w:cs="Arial"/>
          <w:szCs w:val="24"/>
        </w:rPr>
        <w:t>8 el Directorio de ANCAP resolvió</w:t>
      </w:r>
      <w:r w:rsidRPr="0006001A">
        <w:rPr>
          <w:rFonts w:cs="Arial"/>
          <w:szCs w:val="24"/>
        </w:rPr>
        <w:t xml:space="preserve"> ofrecer las acciones de la compañía a la venta a través de un proceso competitivo a desarrollar por los ac</w:t>
      </w:r>
      <w:r>
        <w:rPr>
          <w:rFonts w:cs="Arial"/>
          <w:szCs w:val="24"/>
        </w:rPr>
        <w:t>cionistas, así como aprobar el Pliego de C</w:t>
      </w:r>
      <w:r w:rsidRPr="0006001A">
        <w:rPr>
          <w:rFonts w:cs="Arial"/>
          <w:szCs w:val="24"/>
        </w:rPr>
        <w:t>ondiciones de la Licitación Pública para dicha venta. Di</w:t>
      </w:r>
      <w:r>
        <w:rPr>
          <w:rFonts w:cs="Arial"/>
          <w:szCs w:val="24"/>
        </w:rPr>
        <w:t>cho proceso se está llevando a cabo</w:t>
      </w:r>
      <w:r w:rsidRPr="0006001A">
        <w:rPr>
          <w:rFonts w:cs="Arial"/>
          <w:szCs w:val="24"/>
        </w:rPr>
        <w:t xml:space="preserve"> en  2019</w:t>
      </w:r>
      <w:r>
        <w:rPr>
          <w:rFonts w:cs="Arial"/>
          <w:szCs w:val="24"/>
        </w:rPr>
        <w:t>, el mismo podría incidir en el valor</w:t>
      </w:r>
      <w:r w:rsidRPr="0006001A">
        <w:rPr>
          <w:rFonts w:cs="Arial"/>
          <w:szCs w:val="24"/>
        </w:rPr>
        <w:t xml:space="preserve"> de la inversión.</w:t>
      </w:r>
    </w:p>
    <w:p w:rsidR="00384886" w:rsidRDefault="00384886" w:rsidP="003E65BB">
      <w:pPr>
        <w:spacing w:after="0" w:line="360" w:lineRule="auto"/>
        <w:ind w:left="720"/>
        <w:rPr>
          <w:rFonts w:eastAsia="Times New Roman"/>
          <w:snapToGrid w:val="0"/>
          <w:szCs w:val="24"/>
          <w:lang w:val="es-ES" w:eastAsia="es-ES"/>
        </w:rPr>
      </w:pPr>
      <w:r w:rsidRPr="00AA7CF3">
        <w:rPr>
          <w:rFonts w:eastAsia="Times New Roman"/>
          <w:snapToGrid w:val="0"/>
          <w:szCs w:val="24"/>
          <w:lang w:val="es-ES" w:eastAsia="es-ES"/>
        </w:rPr>
        <w:t xml:space="preserve">Los auditores externos de Gas Sayago S.A. se abstuvieron de emitir opinión sobre </w:t>
      </w:r>
      <w:r>
        <w:rPr>
          <w:rFonts w:eastAsia="Times New Roman"/>
          <w:snapToGrid w:val="0"/>
          <w:szCs w:val="24"/>
          <w:lang w:val="es-ES" w:eastAsia="es-ES"/>
        </w:rPr>
        <w:t>sus</w:t>
      </w:r>
      <w:r w:rsidRPr="00AA7CF3">
        <w:rPr>
          <w:rFonts w:eastAsia="Times New Roman"/>
          <w:snapToGrid w:val="0"/>
          <w:szCs w:val="24"/>
          <w:lang w:val="es-ES" w:eastAsia="es-ES"/>
        </w:rPr>
        <w:t xml:space="preserve"> Estados Financieros al 31/12/2017</w:t>
      </w:r>
      <w:r>
        <w:rPr>
          <w:rFonts w:eastAsia="Times New Roman"/>
          <w:snapToGrid w:val="0"/>
          <w:szCs w:val="24"/>
          <w:lang w:val="es-ES" w:eastAsia="es-ES"/>
        </w:rPr>
        <w:t xml:space="preserve"> y al 31/12/18</w:t>
      </w:r>
      <w:r w:rsidR="00100FEE">
        <w:rPr>
          <w:rFonts w:eastAsia="Times New Roman"/>
          <w:snapToGrid w:val="0"/>
          <w:szCs w:val="24"/>
          <w:lang w:val="es-ES" w:eastAsia="es-ES"/>
        </w:rPr>
        <w:t>.</w:t>
      </w:r>
    </w:p>
    <w:p w:rsidR="00384886" w:rsidRPr="0006001A" w:rsidRDefault="00384886" w:rsidP="003E65BB">
      <w:pPr>
        <w:spacing w:after="0" w:line="360" w:lineRule="auto"/>
        <w:ind w:left="426"/>
        <w:rPr>
          <w:rFonts w:cs="Arial"/>
          <w:szCs w:val="24"/>
        </w:rPr>
      </w:pPr>
      <w:r w:rsidRPr="001C5037">
        <w:rPr>
          <w:rFonts w:eastAsia="Times New Roman"/>
          <w:b/>
          <w:snapToGrid w:val="0"/>
          <w:szCs w:val="24"/>
          <w:lang w:val="es-ES" w:eastAsia="es-ES"/>
        </w:rPr>
        <w:t>2.5</w:t>
      </w:r>
      <w:r>
        <w:rPr>
          <w:rFonts w:eastAsia="Times New Roman"/>
          <w:snapToGrid w:val="0"/>
          <w:szCs w:val="24"/>
          <w:lang w:val="es-ES" w:eastAsia="es-ES"/>
        </w:rPr>
        <w:t xml:space="preserve"> No</w:t>
      </w:r>
      <w:r w:rsidRPr="001C5037">
        <w:rPr>
          <w:rFonts w:cs="Arial"/>
          <w:szCs w:val="24"/>
        </w:rPr>
        <w:t xml:space="preserve"> se constituyó provisión por las garantías otorgadas por ANCAP expuestas en la Nota 31, referidas a préstamos asumidos por Gas Sayago S.A. con la Corporación Andina de Foment</w:t>
      </w:r>
      <w:r>
        <w:rPr>
          <w:rFonts w:cs="Arial"/>
          <w:szCs w:val="24"/>
        </w:rPr>
        <w:t>o (CAF), hasta la suma de U$S82:</w:t>
      </w:r>
      <w:r w:rsidRPr="001C5037">
        <w:rPr>
          <w:rFonts w:cs="Arial"/>
          <w:szCs w:val="24"/>
        </w:rPr>
        <w:t>600.000 y por la que el Organismo es garante solidario, liso y llano pagador, conjuntamente con UTE.</w:t>
      </w:r>
      <w:r>
        <w:rPr>
          <w:rFonts w:cs="Arial"/>
          <w:szCs w:val="24"/>
        </w:rPr>
        <w:t xml:space="preserve"> </w:t>
      </w:r>
      <w:r w:rsidRPr="0006001A">
        <w:rPr>
          <w:rFonts w:cs="Arial"/>
          <w:szCs w:val="24"/>
        </w:rPr>
        <w:t>La resolución del Poder Ejecutivo de fecha 20/12/2018 dispone que el saldo de dicha garantía lo cancelarán los accionistas en función de su respectiva participación accionaria en la empresa Gas Sayago S.A, habiéndose verificado el pago de dicho saldo de</w:t>
      </w:r>
      <w:r>
        <w:rPr>
          <w:rFonts w:cs="Arial"/>
          <w:szCs w:val="24"/>
        </w:rPr>
        <w:t xml:space="preserve">             U$S 6.253.292 en el E</w:t>
      </w:r>
      <w:r w:rsidR="00100FEE">
        <w:rPr>
          <w:rFonts w:cs="Arial"/>
          <w:szCs w:val="24"/>
        </w:rPr>
        <w:t>jercicio 2018.</w:t>
      </w:r>
    </w:p>
    <w:p w:rsidR="00384886" w:rsidRDefault="00384886" w:rsidP="00272936">
      <w:pPr>
        <w:spacing w:after="0" w:line="360" w:lineRule="auto"/>
        <w:rPr>
          <w:rFonts w:eastAsia="Times New Roman"/>
          <w:snapToGrid w:val="0"/>
          <w:szCs w:val="24"/>
          <w:lang w:val="es-ES" w:eastAsia="es-ES"/>
        </w:rPr>
      </w:pPr>
      <w:r>
        <w:rPr>
          <w:rFonts w:eastAsia="Times New Roman"/>
          <w:snapToGrid w:val="0"/>
          <w:szCs w:val="24"/>
          <w:lang w:val="es-ES" w:eastAsia="es-ES"/>
        </w:rPr>
        <w:t xml:space="preserve">Por lo expresado en los numerales que anteceden no se dispone de evidencia de auditoría suficiente sobre el importe de los activos y pasivos expuestos en los Estados Financieros Consolidados e Individuales de ANCAP al 31/12/2017, relacionada con </w:t>
      </w:r>
      <w:r w:rsidRPr="00DB793B">
        <w:rPr>
          <w:rFonts w:eastAsia="Times New Roman"/>
          <w:snapToGrid w:val="0"/>
          <w:szCs w:val="24"/>
          <w:lang w:val="es-ES" w:eastAsia="es-ES"/>
        </w:rPr>
        <w:t>dichas inversiones.</w:t>
      </w:r>
    </w:p>
    <w:p w:rsidR="00384886" w:rsidRDefault="00384886" w:rsidP="00AA7CF3">
      <w:pPr>
        <w:spacing w:after="0" w:line="360" w:lineRule="auto"/>
        <w:ind w:left="720"/>
        <w:rPr>
          <w:rFonts w:eastAsia="Times New Roman"/>
          <w:snapToGrid w:val="0"/>
          <w:szCs w:val="24"/>
          <w:lang w:val="es-ES" w:eastAsia="es-ES"/>
        </w:rPr>
      </w:pPr>
    </w:p>
    <w:p w:rsidR="00384886" w:rsidRDefault="00384886" w:rsidP="00AA7CF3">
      <w:pPr>
        <w:spacing w:after="0" w:line="360" w:lineRule="auto"/>
        <w:ind w:left="720"/>
        <w:rPr>
          <w:rFonts w:eastAsia="Times New Roman"/>
          <w:snapToGrid w:val="0"/>
          <w:szCs w:val="24"/>
          <w:lang w:val="es-ES" w:eastAsia="es-ES"/>
        </w:rPr>
      </w:pPr>
    </w:p>
    <w:p w:rsidR="00384886" w:rsidRPr="00AA7CF3" w:rsidRDefault="00384886" w:rsidP="00AA7CF3">
      <w:pPr>
        <w:spacing w:after="0" w:line="360" w:lineRule="auto"/>
        <w:ind w:left="720"/>
        <w:rPr>
          <w:rFonts w:eastAsia="Times New Roman"/>
          <w:snapToGrid w:val="0"/>
          <w:szCs w:val="24"/>
          <w:lang w:val="es-ES" w:eastAsia="es-ES"/>
        </w:rPr>
      </w:pPr>
    </w:p>
    <w:p w:rsidR="00384886" w:rsidRDefault="00384886" w:rsidP="00384886">
      <w:pPr>
        <w:numPr>
          <w:ilvl w:val="0"/>
          <w:numId w:val="8"/>
        </w:numPr>
        <w:tabs>
          <w:tab w:val="num" w:pos="426"/>
        </w:tabs>
        <w:spacing w:after="0" w:line="360" w:lineRule="auto"/>
        <w:ind w:hanging="720"/>
        <w:rPr>
          <w:rFonts w:eastAsia="Times New Roman"/>
          <w:b/>
          <w:snapToGrid w:val="0"/>
          <w:szCs w:val="24"/>
          <w:lang w:val="es-ES" w:eastAsia="es-ES"/>
        </w:rPr>
      </w:pPr>
      <w:r>
        <w:rPr>
          <w:rFonts w:eastAsia="Times New Roman"/>
          <w:b/>
          <w:snapToGrid w:val="0"/>
          <w:szCs w:val="24"/>
          <w:lang w:val="es-ES" w:eastAsia="es-ES"/>
        </w:rPr>
        <w:t>Motivos que originan énfasis de asuntos.</w:t>
      </w:r>
    </w:p>
    <w:p w:rsidR="00384886" w:rsidRPr="00867246" w:rsidRDefault="00384886" w:rsidP="0040723C">
      <w:pPr>
        <w:spacing w:after="0" w:line="360" w:lineRule="auto"/>
        <w:rPr>
          <w:rFonts w:eastAsia="Times New Roman"/>
          <w:snapToGrid w:val="0"/>
          <w:szCs w:val="24"/>
          <w:lang w:val="es-ES" w:eastAsia="es-ES"/>
        </w:rPr>
      </w:pPr>
      <w:r>
        <w:rPr>
          <w:rFonts w:eastAsia="Times New Roman"/>
          <w:snapToGrid w:val="0"/>
          <w:szCs w:val="24"/>
          <w:lang w:val="es-ES" w:eastAsia="es-ES"/>
        </w:rPr>
        <w:t xml:space="preserve">En los Dictámenes sobre los Estados Financieros se presentaron como párrafos de </w:t>
      </w:r>
      <w:r w:rsidRPr="00867246">
        <w:rPr>
          <w:rFonts w:eastAsia="Times New Roman"/>
          <w:snapToGrid w:val="0"/>
          <w:szCs w:val="24"/>
          <w:lang w:val="es-ES" w:eastAsia="es-ES"/>
        </w:rPr>
        <w:t>énfasis</w:t>
      </w:r>
      <w:r>
        <w:rPr>
          <w:rFonts w:eastAsia="Times New Roman"/>
          <w:snapToGrid w:val="0"/>
          <w:szCs w:val="24"/>
          <w:lang w:val="es-ES" w:eastAsia="es-ES"/>
        </w:rPr>
        <w:t xml:space="preserve">, </w:t>
      </w:r>
      <w:r w:rsidRPr="00867246">
        <w:rPr>
          <w:rFonts w:eastAsia="Times New Roman"/>
          <w:snapToGrid w:val="0"/>
          <w:szCs w:val="24"/>
          <w:lang w:val="es-ES" w:eastAsia="es-ES"/>
        </w:rPr>
        <w:t>las situaciones planteadas en las Notas</w:t>
      </w:r>
      <w:r w:rsidRPr="00BD1867">
        <w:rPr>
          <w:rFonts w:cs="Arial"/>
          <w:szCs w:val="24"/>
        </w:rPr>
        <w:t xml:space="preserve"> </w:t>
      </w:r>
      <w:r>
        <w:rPr>
          <w:rFonts w:cs="Arial"/>
          <w:szCs w:val="24"/>
        </w:rPr>
        <w:t>8, 18.d, 19.d y</w:t>
      </w:r>
      <w:r w:rsidRPr="00716C12">
        <w:rPr>
          <w:rFonts w:cs="Arial"/>
          <w:szCs w:val="24"/>
        </w:rPr>
        <w:t xml:space="preserve"> 21 a</w:t>
      </w:r>
      <w:r w:rsidRPr="00BD1867">
        <w:rPr>
          <w:rFonts w:cs="Arial"/>
          <w:szCs w:val="24"/>
        </w:rPr>
        <w:t xml:space="preserve"> los Estados Financieros Consolidados</w:t>
      </w:r>
      <w:r w:rsidRPr="00867246">
        <w:rPr>
          <w:rFonts w:eastAsia="Times New Roman"/>
          <w:snapToGrid w:val="0"/>
          <w:szCs w:val="24"/>
          <w:lang w:val="es-ES" w:eastAsia="es-ES"/>
        </w:rPr>
        <w:t xml:space="preserve"> </w:t>
      </w:r>
      <w:r>
        <w:rPr>
          <w:rFonts w:eastAsia="Times New Roman"/>
          <w:snapToGrid w:val="0"/>
          <w:szCs w:val="24"/>
          <w:lang w:val="es-ES" w:eastAsia="es-ES"/>
        </w:rPr>
        <w:t xml:space="preserve">y las Notas </w:t>
      </w:r>
      <w:r w:rsidRPr="00716C12">
        <w:rPr>
          <w:rFonts w:cs="Arial"/>
          <w:szCs w:val="24"/>
        </w:rPr>
        <w:t>8, 17.d, 18.c</w:t>
      </w:r>
      <w:r>
        <w:rPr>
          <w:rFonts w:cs="Arial"/>
          <w:szCs w:val="24"/>
        </w:rPr>
        <w:t xml:space="preserve"> y</w:t>
      </w:r>
      <w:r w:rsidRPr="00716C12">
        <w:rPr>
          <w:rFonts w:cs="Arial"/>
          <w:szCs w:val="24"/>
        </w:rPr>
        <w:t xml:space="preserve"> 19.1 </w:t>
      </w:r>
      <w:r w:rsidRPr="00BD1867">
        <w:rPr>
          <w:rFonts w:eastAsia="Times New Roman" w:cs="Arial"/>
          <w:snapToGrid w:val="0"/>
          <w:szCs w:val="24"/>
          <w:lang w:val="es-ES" w:eastAsia="es-ES"/>
        </w:rPr>
        <w:t>a los Estados Fi</w:t>
      </w:r>
      <w:r>
        <w:rPr>
          <w:rFonts w:eastAsia="Times New Roman"/>
          <w:snapToGrid w:val="0"/>
          <w:szCs w:val="24"/>
          <w:lang w:val="es-ES" w:eastAsia="es-ES"/>
        </w:rPr>
        <w:t>nancieros Individuales</w:t>
      </w:r>
      <w:r w:rsidRPr="00867246">
        <w:rPr>
          <w:rFonts w:eastAsia="Times New Roman"/>
          <w:snapToGrid w:val="0"/>
          <w:szCs w:val="24"/>
          <w:lang w:val="es-ES" w:eastAsia="es-ES"/>
        </w:rPr>
        <w:t xml:space="preserve">, donde se exponen las pérdidas por deterioro reconocidas por </w:t>
      </w:r>
      <w:r w:rsidRPr="00E279C3">
        <w:rPr>
          <w:rFonts w:eastAsia="Times New Roman" w:cs="Arial"/>
          <w:snapToGrid w:val="0"/>
          <w:szCs w:val="24"/>
          <w:lang w:val="es-ES" w:eastAsia="es-ES"/>
        </w:rPr>
        <w:t xml:space="preserve">ANCAP y sus </w:t>
      </w:r>
      <w:r w:rsidRPr="00E279C3">
        <w:rPr>
          <w:rFonts w:cs="Arial"/>
          <w:szCs w:val="24"/>
        </w:rPr>
        <w:t>subsidiarias, así como la situación de sus inversiones en negocios conjuntos y de sus contingencias:</w:t>
      </w:r>
    </w:p>
    <w:p w:rsidR="00384886" w:rsidRPr="00100FEE" w:rsidRDefault="00384886" w:rsidP="00384886">
      <w:pPr>
        <w:pStyle w:val="Prrafodelista"/>
        <w:numPr>
          <w:ilvl w:val="0"/>
          <w:numId w:val="9"/>
        </w:numPr>
        <w:spacing w:after="0" w:line="360" w:lineRule="auto"/>
        <w:jc w:val="both"/>
        <w:rPr>
          <w:rFonts w:ascii="Arial" w:hAnsi="Arial" w:cs="Arial"/>
          <w:sz w:val="24"/>
          <w:szCs w:val="24"/>
        </w:rPr>
      </w:pPr>
      <w:r w:rsidRPr="00100FEE">
        <w:rPr>
          <w:rFonts w:ascii="Arial" w:hAnsi="Arial" w:cs="Arial"/>
          <w:sz w:val="24"/>
          <w:szCs w:val="24"/>
          <w:lang w:val="es-ES"/>
        </w:rPr>
        <w:t>Con</w:t>
      </w:r>
      <w:r w:rsidRPr="00100FEE">
        <w:rPr>
          <w:rFonts w:ascii="Arial" w:hAnsi="Arial" w:cs="Arial"/>
          <w:sz w:val="24"/>
          <w:szCs w:val="24"/>
        </w:rPr>
        <w:t xml:space="preserve"> respecto a negocios gestionados por ANCAP:</w:t>
      </w:r>
    </w:p>
    <w:p w:rsidR="00384886" w:rsidRPr="00100FEE" w:rsidRDefault="00384886" w:rsidP="00384886">
      <w:pPr>
        <w:pStyle w:val="Prrafodelista"/>
        <w:numPr>
          <w:ilvl w:val="0"/>
          <w:numId w:val="10"/>
        </w:numPr>
        <w:spacing w:after="0" w:line="360" w:lineRule="auto"/>
        <w:ind w:left="1134" w:hanging="283"/>
        <w:jc w:val="both"/>
        <w:rPr>
          <w:rFonts w:ascii="Arial" w:hAnsi="Arial" w:cs="Arial"/>
          <w:sz w:val="24"/>
          <w:szCs w:val="24"/>
        </w:rPr>
      </w:pPr>
      <w:r w:rsidRPr="00100FEE">
        <w:rPr>
          <w:rFonts w:ascii="Arial" w:hAnsi="Arial" w:cs="Arial"/>
          <w:sz w:val="24"/>
          <w:szCs w:val="24"/>
        </w:rPr>
        <w:t>en el negocio Portland, el importe reconocido en el Ejercicio 2017 fue de $ 60:918.000 y en el Ejercicio 2016  de $ 3.620:759.155;</w:t>
      </w:r>
    </w:p>
    <w:p w:rsidR="00384886" w:rsidRPr="00100FEE" w:rsidRDefault="00384886" w:rsidP="00384886">
      <w:pPr>
        <w:pStyle w:val="Prrafodelista"/>
        <w:numPr>
          <w:ilvl w:val="0"/>
          <w:numId w:val="10"/>
        </w:numPr>
        <w:spacing w:after="0" w:line="360" w:lineRule="auto"/>
        <w:ind w:left="1134" w:hanging="283"/>
        <w:jc w:val="both"/>
        <w:rPr>
          <w:rFonts w:ascii="Arial" w:hAnsi="Arial" w:cs="Arial"/>
          <w:sz w:val="24"/>
          <w:szCs w:val="24"/>
        </w:rPr>
      </w:pPr>
      <w:r w:rsidRPr="00100FEE">
        <w:rPr>
          <w:rFonts w:ascii="Arial" w:hAnsi="Arial" w:cs="Arial"/>
          <w:sz w:val="24"/>
          <w:szCs w:val="24"/>
        </w:rPr>
        <w:t>en la actividad “Exploración Plataforma Sísmica”, el deterioro de los activos intangibles registrado en el Ejercicio 2017 fue de $15:232.909, y en el Ejercicio 2016 de $ 100:000.000.</w:t>
      </w:r>
    </w:p>
    <w:p w:rsidR="00384886" w:rsidRPr="00100FEE" w:rsidRDefault="00384886" w:rsidP="00384886">
      <w:pPr>
        <w:pStyle w:val="Prrafodelista"/>
        <w:numPr>
          <w:ilvl w:val="0"/>
          <w:numId w:val="3"/>
        </w:numPr>
        <w:spacing w:after="0" w:line="360" w:lineRule="auto"/>
        <w:jc w:val="both"/>
        <w:rPr>
          <w:rFonts w:ascii="Arial" w:hAnsi="Arial" w:cs="Arial"/>
          <w:sz w:val="24"/>
          <w:szCs w:val="24"/>
        </w:rPr>
      </w:pPr>
      <w:r w:rsidRPr="00100FEE">
        <w:rPr>
          <w:rFonts w:ascii="Arial" w:hAnsi="Arial" w:cs="Arial"/>
          <w:sz w:val="24"/>
          <w:szCs w:val="24"/>
          <w:lang w:val="es-ES"/>
        </w:rPr>
        <w:t>En cuanto al negocio “Caña, Cereales y Oleaginosos” que gestiona ALUR S.A., el importe reconocido por deterioro de activos en el Ejercicio 2017 ascendió a $ 258:084.448</w:t>
      </w:r>
      <w:r w:rsidRPr="00100FEE">
        <w:rPr>
          <w:rFonts w:ascii="Arial" w:hAnsi="Arial" w:cs="Arial"/>
          <w:sz w:val="24"/>
          <w:szCs w:val="24"/>
        </w:rPr>
        <w:t>, y en el Ejercicio 2016 fue de $838:882.444.</w:t>
      </w:r>
    </w:p>
    <w:p w:rsidR="00384886" w:rsidRPr="00AD4239" w:rsidRDefault="00384886" w:rsidP="00444FDF">
      <w:pPr>
        <w:pStyle w:val="Prrafodelista"/>
        <w:spacing w:after="0" w:line="360" w:lineRule="auto"/>
        <w:ind w:left="1364"/>
        <w:jc w:val="both"/>
        <w:rPr>
          <w:rFonts w:ascii="Arial" w:hAnsi="Arial" w:cs="Arial"/>
          <w:szCs w:val="24"/>
        </w:rPr>
      </w:pPr>
    </w:p>
    <w:p w:rsidR="00384886" w:rsidRPr="00075897" w:rsidRDefault="00384886" w:rsidP="00384886">
      <w:pPr>
        <w:numPr>
          <w:ilvl w:val="0"/>
          <w:numId w:val="8"/>
        </w:numPr>
        <w:tabs>
          <w:tab w:val="num" w:pos="426"/>
        </w:tabs>
        <w:spacing w:after="0" w:line="360" w:lineRule="auto"/>
        <w:ind w:hanging="720"/>
        <w:rPr>
          <w:rFonts w:eastAsia="Times New Roman"/>
          <w:b/>
          <w:snapToGrid w:val="0"/>
          <w:szCs w:val="24"/>
          <w:lang w:val="es-ES" w:eastAsia="es-ES"/>
        </w:rPr>
      </w:pPr>
      <w:r w:rsidRPr="00075897">
        <w:rPr>
          <w:rFonts w:eastAsia="Times New Roman"/>
          <w:b/>
          <w:snapToGrid w:val="0"/>
          <w:szCs w:val="24"/>
          <w:lang w:val="es-ES" w:eastAsia="es-ES"/>
        </w:rPr>
        <w:t>Evaluación de control interno.</w:t>
      </w:r>
    </w:p>
    <w:p w:rsidR="00384886" w:rsidRPr="00075897" w:rsidRDefault="00384886" w:rsidP="00075897">
      <w:pPr>
        <w:spacing w:after="0" w:line="360" w:lineRule="auto"/>
        <w:rPr>
          <w:rFonts w:eastAsia="Times New Roman"/>
          <w:snapToGrid w:val="0"/>
          <w:szCs w:val="24"/>
          <w:lang w:val="es-ES" w:eastAsia="es-ES"/>
        </w:rPr>
      </w:pPr>
      <w:r w:rsidRPr="00075897">
        <w:rPr>
          <w:rFonts w:eastAsia="Times New Roman"/>
          <w:snapToGrid w:val="0"/>
          <w:szCs w:val="24"/>
          <w:lang w:val="es-ES" w:eastAsia="es-ES"/>
        </w:rPr>
        <w:t>El examen de los aspectos de control interno relevantes para la preparación y presentación razonable de los estados financieros y del estado de ejecución presupuestal, permitió constatar las siguientes debilidades en relación a las actividades de control, información financiera y cumplimi</w:t>
      </w:r>
      <w:r w:rsidR="00100FEE">
        <w:rPr>
          <w:rFonts w:eastAsia="Times New Roman"/>
          <w:snapToGrid w:val="0"/>
          <w:szCs w:val="24"/>
          <w:lang w:val="es-ES" w:eastAsia="es-ES"/>
        </w:rPr>
        <w:t>ento de la normativa aplicable:</w:t>
      </w:r>
    </w:p>
    <w:p w:rsidR="00384886" w:rsidRPr="00100FEE" w:rsidRDefault="00384886" w:rsidP="00716C12">
      <w:pPr>
        <w:pStyle w:val="Default"/>
        <w:ind w:left="720"/>
        <w:rPr>
          <w:b/>
          <w:bCs/>
          <w:sz w:val="23"/>
          <w:szCs w:val="23"/>
          <w:lang w:val="es-ES"/>
        </w:rPr>
      </w:pPr>
    </w:p>
    <w:p w:rsidR="00384886" w:rsidRPr="00075897" w:rsidRDefault="00100FEE" w:rsidP="00075897">
      <w:pPr>
        <w:spacing w:after="0" w:line="360" w:lineRule="auto"/>
        <w:ind w:left="567"/>
        <w:rPr>
          <w:rFonts w:eastAsia="Times New Roman"/>
          <w:b/>
          <w:snapToGrid w:val="0"/>
          <w:szCs w:val="24"/>
          <w:lang w:val="es-ES" w:eastAsia="es-ES"/>
        </w:rPr>
      </w:pPr>
      <w:r>
        <w:rPr>
          <w:rFonts w:eastAsia="Times New Roman"/>
          <w:b/>
          <w:snapToGrid w:val="0"/>
          <w:szCs w:val="24"/>
          <w:lang w:val="es-ES" w:eastAsia="es-ES"/>
        </w:rPr>
        <w:t>4.1 Créditos por Ventas</w:t>
      </w:r>
    </w:p>
    <w:p w:rsidR="00384886" w:rsidRPr="00075897" w:rsidRDefault="00384886" w:rsidP="00075897">
      <w:pPr>
        <w:spacing w:after="0" w:line="360" w:lineRule="auto"/>
        <w:ind w:left="567"/>
        <w:rPr>
          <w:rFonts w:eastAsia="Times New Roman"/>
          <w:snapToGrid w:val="0"/>
          <w:szCs w:val="24"/>
          <w:lang w:val="es-ES" w:eastAsia="es-ES"/>
        </w:rPr>
      </w:pPr>
      <w:r w:rsidRPr="00075897">
        <w:rPr>
          <w:rFonts w:eastAsia="Times New Roman"/>
          <w:snapToGrid w:val="0"/>
          <w:szCs w:val="24"/>
          <w:lang w:val="es-ES" w:eastAsia="es-ES"/>
        </w:rPr>
        <w:t xml:space="preserve">Las entregas por ventas de </w:t>
      </w:r>
      <w:proofErr w:type="spellStart"/>
      <w:r w:rsidRPr="00075897">
        <w:rPr>
          <w:rFonts w:eastAsia="Times New Roman"/>
          <w:snapToGrid w:val="0"/>
          <w:szCs w:val="24"/>
          <w:lang w:val="es-ES" w:eastAsia="es-ES"/>
        </w:rPr>
        <w:t>Petcoke</w:t>
      </w:r>
      <w:proofErr w:type="spellEnd"/>
      <w:r w:rsidRPr="00075897">
        <w:rPr>
          <w:rFonts w:eastAsia="Times New Roman"/>
          <w:snapToGrid w:val="0"/>
          <w:szCs w:val="24"/>
          <w:lang w:val="es-ES" w:eastAsia="es-ES"/>
        </w:rPr>
        <w:t xml:space="preserve"> se realizan directamente al comprador, sin que exista conformidad escrita por parte del mismo </w:t>
      </w:r>
      <w:r w:rsidR="00100FEE">
        <w:rPr>
          <w:rFonts w:eastAsia="Times New Roman"/>
          <w:snapToGrid w:val="0"/>
          <w:szCs w:val="24"/>
          <w:lang w:val="es-ES" w:eastAsia="es-ES"/>
        </w:rPr>
        <w:t>en el remito y/o en la factura.</w:t>
      </w:r>
    </w:p>
    <w:p w:rsidR="00384886" w:rsidRPr="00075897" w:rsidRDefault="00384886" w:rsidP="000440B6">
      <w:pPr>
        <w:spacing w:after="0" w:line="360" w:lineRule="auto"/>
        <w:ind w:left="567"/>
        <w:rPr>
          <w:rFonts w:eastAsia="Times New Roman"/>
          <w:b/>
          <w:snapToGrid w:val="0"/>
          <w:szCs w:val="24"/>
          <w:lang w:val="es-ES" w:eastAsia="es-ES"/>
        </w:rPr>
      </w:pPr>
      <w:r w:rsidRPr="00075897">
        <w:rPr>
          <w:rFonts w:eastAsia="Times New Roman"/>
          <w:b/>
          <w:snapToGrid w:val="0"/>
          <w:szCs w:val="24"/>
          <w:lang w:val="es-ES" w:eastAsia="es-ES"/>
        </w:rPr>
        <w:t>4.</w:t>
      </w:r>
      <w:r>
        <w:rPr>
          <w:rFonts w:eastAsia="Times New Roman"/>
          <w:b/>
          <w:snapToGrid w:val="0"/>
          <w:szCs w:val="24"/>
          <w:lang w:val="es-ES" w:eastAsia="es-ES"/>
        </w:rPr>
        <w:t>2</w:t>
      </w:r>
      <w:r w:rsidRPr="00075897">
        <w:rPr>
          <w:rFonts w:eastAsia="Times New Roman"/>
          <w:b/>
          <w:snapToGrid w:val="0"/>
          <w:szCs w:val="24"/>
          <w:lang w:val="es-ES" w:eastAsia="es-ES"/>
        </w:rPr>
        <w:t xml:space="preserve"> Créditos Diversos – </w:t>
      </w:r>
      <w:r w:rsidR="00100FEE">
        <w:rPr>
          <w:rFonts w:eastAsia="Times New Roman"/>
          <w:b/>
          <w:snapToGrid w:val="0"/>
          <w:szCs w:val="24"/>
          <w:lang w:val="es-ES" w:eastAsia="es-ES"/>
        </w:rPr>
        <w:t>Cuentas Personales Funcionarios</w:t>
      </w:r>
    </w:p>
    <w:p w:rsidR="00384886" w:rsidRPr="00075897" w:rsidRDefault="00384886" w:rsidP="000440B6">
      <w:pPr>
        <w:spacing w:after="0" w:line="360" w:lineRule="auto"/>
        <w:ind w:left="567"/>
        <w:rPr>
          <w:rFonts w:eastAsia="Times New Roman"/>
          <w:b/>
          <w:snapToGrid w:val="0"/>
          <w:szCs w:val="24"/>
          <w:lang w:val="es-ES" w:eastAsia="es-ES"/>
        </w:rPr>
      </w:pPr>
      <w:r w:rsidRPr="0024767E">
        <w:rPr>
          <w:rFonts w:eastAsia="Times New Roman"/>
          <w:snapToGrid w:val="0"/>
          <w:szCs w:val="24"/>
          <w:lang w:val="es-ES" w:eastAsia="es-ES"/>
        </w:rPr>
        <w:t>El Organismo cuenta con un Reglamento para préstamos al personal (Fondo de Ayuda Social) aprobado por el Directorio de ANCAP. El Ente no realiza conciliaciones entre los saldos de Préstamos Sociales que figuran en el sistema de Sueldos con el saldo contable correspondiente. No se reclasifica contablemente, ni se expone en los estados financieros</w:t>
      </w:r>
      <w:r>
        <w:rPr>
          <w:rFonts w:eastAsia="Times New Roman"/>
          <w:snapToGrid w:val="0"/>
          <w:szCs w:val="24"/>
          <w:lang w:val="es-ES" w:eastAsia="es-ES"/>
        </w:rPr>
        <w:t>,</w:t>
      </w:r>
      <w:r w:rsidRPr="0024767E">
        <w:rPr>
          <w:rFonts w:eastAsia="Times New Roman"/>
          <w:snapToGrid w:val="0"/>
          <w:szCs w:val="24"/>
          <w:lang w:val="es-ES" w:eastAsia="es-ES"/>
        </w:rPr>
        <w:t xml:space="preserve"> la porción n</w:t>
      </w:r>
      <w:r w:rsidR="00100FEE">
        <w:rPr>
          <w:rFonts w:eastAsia="Times New Roman"/>
          <w:snapToGrid w:val="0"/>
          <w:szCs w:val="24"/>
          <w:lang w:val="es-ES" w:eastAsia="es-ES"/>
        </w:rPr>
        <w:t>o corriente de estos préstamos.</w:t>
      </w:r>
    </w:p>
    <w:p w:rsidR="00384886" w:rsidRPr="00075897" w:rsidRDefault="00384886" w:rsidP="00075897">
      <w:pPr>
        <w:spacing w:after="0" w:line="360" w:lineRule="auto"/>
        <w:ind w:left="567"/>
        <w:rPr>
          <w:rFonts w:eastAsia="Times New Roman"/>
          <w:b/>
          <w:snapToGrid w:val="0"/>
          <w:szCs w:val="24"/>
          <w:lang w:val="es-ES" w:eastAsia="es-ES"/>
        </w:rPr>
      </w:pPr>
      <w:r w:rsidRPr="00075897">
        <w:rPr>
          <w:rFonts w:eastAsia="Times New Roman"/>
          <w:b/>
          <w:snapToGrid w:val="0"/>
          <w:szCs w:val="24"/>
          <w:lang w:val="es-ES" w:eastAsia="es-ES"/>
        </w:rPr>
        <w:t>4.</w:t>
      </w:r>
      <w:r>
        <w:rPr>
          <w:rFonts w:eastAsia="Times New Roman"/>
          <w:b/>
          <w:snapToGrid w:val="0"/>
          <w:szCs w:val="24"/>
          <w:lang w:val="es-ES" w:eastAsia="es-ES"/>
        </w:rPr>
        <w:t>3</w:t>
      </w:r>
      <w:r w:rsidR="00100FEE">
        <w:rPr>
          <w:rFonts w:eastAsia="Times New Roman"/>
          <w:b/>
          <w:snapToGrid w:val="0"/>
          <w:szCs w:val="24"/>
          <w:lang w:val="es-ES" w:eastAsia="es-ES"/>
        </w:rPr>
        <w:t xml:space="preserve"> Propiedades, planta y equipo</w:t>
      </w:r>
    </w:p>
    <w:p w:rsidR="00384886" w:rsidRPr="001D45E4" w:rsidRDefault="00384886" w:rsidP="00075897">
      <w:pPr>
        <w:spacing w:after="0" w:line="360" w:lineRule="auto"/>
        <w:ind w:left="567"/>
        <w:rPr>
          <w:rFonts w:cs="Arial"/>
          <w:szCs w:val="24"/>
        </w:rPr>
      </w:pPr>
      <w:r>
        <w:rPr>
          <w:rFonts w:cs="Arial"/>
          <w:szCs w:val="24"/>
        </w:rPr>
        <w:t>Si bien el O</w:t>
      </w:r>
      <w:r w:rsidRPr="001D45E4">
        <w:rPr>
          <w:rFonts w:cs="Arial"/>
          <w:szCs w:val="24"/>
        </w:rPr>
        <w:t>rganismo cuenta con Manual de Procedimientos respecto al movimiento de activo fijo, en el análisis de la muestra seleccionada se constata</w:t>
      </w:r>
      <w:r w:rsidR="00100FEE">
        <w:rPr>
          <w:rFonts w:cs="Arial"/>
          <w:szCs w:val="24"/>
        </w:rPr>
        <w:t>ron las siguientes situaciones:</w:t>
      </w:r>
    </w:p>
    <w:p w:rsidR="00384886" w:rsidRPr="00EB218C" w:rsidRDefault="00384886" w:rsidP="00075897">
      <w:pPr>
        <w:spacing w:after="0" w:line="360" w:lineRule="auto"/>
        <w:ind w:left="567"/>
        <w:rPr>
          <w:rFonts w:eastAsia="Times New Roman" w:cs="Arial"/>
          <w:snapToGrid w:val="0"/>
          <w:szCs w:val="24"/>
          <w:lang w:val="es-ES" w:eastAsia="es-ES"/>
        </w:rPr>
      </w:pPr>
      <w:r w:rsidRPr="00621EAC">
        <w:rPr>
          <w:rFonts w:eastAsia="Times New Roman" w:cs="Arial"/>
          <w:b/>
          <w:snapToGrid w:val="0"/>
          <w:szCs w:val="24"/>
          <w:lang w:val="es-ES" w:eastAsia="es-ES"/>
        </w:rPr>
        <w:t>4.3.1</w:t>
      </w:r>
      <w:r w:rsidRPr="00EB218C">
        <w:rPr>
          <w:rFonts w:eastAsia="Times New Roman" w:cs="Arial"/>
          <w:snapToGrid w:val="0"/>
          <w:szCs w:val="24"/>
          <w:lang w:val="es-ES" w:eastAsia="es-ES"/>
        </w:rPr>
        <w:t xml:space="preserve"> se activaron repuestos conjuntamente con el costo de la maquinaria,</w:t>
      </w:r>
      <w:r>
        <w:rPr>
          <w:rFonts w:eastAsia="Times New Roman" w:cs="Arial"/>
          <w:snapToGrid w:val="0"/>
          <w:szCs w:val="24"/>
          <w:lang w:val="es-ES" w:eastAsia="es-ES"/>
        </w:rPr>
        <w:t xml:space="preserve"> ocasionando que el criterio de amortización aplicado en el Ejercicio no sea coincidente con el expresado en la Nota 5.9  a los Estados Financie</w:t>
      </w:r>
      <w:r>
        <w:rPr>
          <w:rFonts w:eastAsia="Times New Roman" w:cs="Arial"/>
          <w:snapToGrid w:val="0"/>
          <w:szCs w:val="24"/>
          <w:lang w:val="es-ES" w:eastAsia="es-ES"/>
        </w:rPr>
        <w:softHyphen/>
        <w:t>ros Consolidados y Nota 5.7 a los Estados Financieros Individuales;</w:t>
      </w:r>
    </w:p>
    <w:p w:rsidR="00384886" w:rsidRPr="00EB218C" w:rsidRDefault="00384886" w:rsidP="00075897">
      <w:pPr>
        <w:spacing w:after="0" w:line="360" w:lineRule="auto"/>
        <w:ind w:left="567"/>
        <w:rPr>
          <w:rFonts w:eastAsia="Times New Roman" w:cs="Arial"/>
          <w:snapToGrid w:val="0"/>
          <w:szCs w:val="24"/>
          <w:lang w:val="es-ES" w:eastAsia="es-ES"/>
        </w:rPr>
      </w:pPr>
      <w:r w:rsidRPr="00621EAC">
        <w:rPr>
          <w:rFonts w:eastAsia="Times New Roman" w:cs="Arial"/>
          <w:b/>
          <w:snapToGrid w:val="0"/>
          <w:szCs w:val="24"/>
          <w:lang w:val="es-ES" w:eastAsia="es-ES"/>
        </w:rPr>
        <w:t>4.3.2</w:t>
      </w:r>
      <w:r w:rsidRPr="00EB218C">
        <w:rPr>
          <w:rFonts w:eastAsia="Times New Roman" w:cs="Arial"/>
          <w:snapToGrid w:val="0"/>
          <w:szCs w:val="24"/>
          <w:lang w:val="es-ES" w:eastAsia="es-ES"/>
        </w:rPr>
        <w:t xml:space="preserve">. </w:t>
      </w:r>
      <w:r>
        <w:rPr>
          <w:rFonts w:eastAsia="Times New Roman" w:cs="Arial"/>
          <w:snapToGrid w:val="0"/>
          <w:szCs w:val="24"/>
          <w:lang w:val="es-ES" w:eastAsia="es-ES"/>
        </w:rPr>
        <w:t>S</w:t>
      </w:r>
      <w:r w:rsidRPr="00EB218C">
        <w:rPr>
          <w:rFonts w:eastAsia="Times New Roman" w:cs="Arial"/>
          <w:snapToGrid w:val="0"/>
          <w:szCs w:val="24"/>
          <w:lang w:val="es-ES" w:eastAsia="es-ES"/>
        </w:rPr>
        <w:t xml:space="preserve">e omitió informar bajas de vehículos al momento </w:t>
      </w:r>
      <w:r w:rsidR="00100FEE">
        <w:rPr>
          <w:rFonts w:eastAsia="Times New Roman" w:cs="Arial"/>
          <w:snapToGrid w:val="0"/>
          <w:szCs w:val="24"/>
          <w:lang w:val="es-ES" w:eastAsia="es-ES"/>
        </w:rPr>
        <w:t>de su entrega;</w:t>
      </w:r>
    </w:p>
    <w:p w:rsidR="00384886" w:rsidRPr="00075897" w:rsidRDefault="00384886" w:rsidP="00075897">
      <w:pPr>
        <w:spacing w:after="0" w:line="360" w:lineRule="auto"/>
        <w:ind w:left="567"/>
        <w:rPr>
          <w:rFonts w:eastAsia="Times New Roman"/>
          <w:snapToGrid w:val="0"/>
          <w:szCs w:val="24"/>
          <w:lang w:val="es-ES" w:eastAsia="es-ES"/>
        </w:rPr>
      </w:pPr>
      <w:r w:rsidRPr="00621EAC">
        <w:rPr>
          <w:rFonts w:eastAsia="Times New Roman"/>
          <w:b/>
          <w:snapToGrid w:val="0"/>
          <w:szCs w:val="24"/>
          <w:lang w:val="es-ES" w:eastAsia="es-ES"/>
        </w:rPr>
        <w:t>4.3.3</w:t>
      </w:r>
      <w:r w:rsidRPr="00075897">
        <w:rPr>
          <w:rFonts w:eastAsia="Times New Roman"/>
          <w:snapToGrid w:val="0"/>
          <w:szCs w:val="24"/>
          <w:lang w:val="es-ES" w:eastAsia="es-ES"/>
        </w:rPr>
        <w:t xml:space="preserve">. </w:t>
      </w:r>
      <w:r>
        <w:rPr>
          <w:rFonts w:eastAsia="Times New Roman"/>
          <w:snapToGrid w:val="0"/>
          <w:szCs w:val="24"/>
          <w:lang w:val="es-ES" w:eastAsia="es-ES"/>
        </w:rPr>
        <w:t>N</w:t>
      </w:r>
      <w:r w:rsidRPr="00075897">
        <w:rPr>
          <w:rFonts w:eastAsia="Times New Roman"/>
          <w:snapToGrid w:val="0"/>
          <w:szCs w:val="24"/>
          <w:lang w:val="es-ES" w:eastAsia="es-ES"/>
        </w:rPr>
        <w:t>o todos los responsables de activo fijo realizan el inventario anual, ni se realizan controles posteriores para verificar el cumplimiento del procedim</w:t>
      </w:r>
      <w:r w:rsidR="00100FEE">
        <w:rPr>
          <w:rFonts w:eastAsia="Times New Roman"/>
          <w:snapToGrid w:val="0"/>
          <w:szCs w:val="24"/>
          <w:lang w:val="es-ES" w:eastAsia="es-ES"/>
        </w:rPr>
        <w:t>iento establecido en el Manual;</w:t>
      </w:r>
    </w:p>
    <w:p w:rsidR="00384886" w:rsidRPr="00075897" w:rsidRDefault="00384886" w:rsidP="00075897">
      <w:pPr>
        <w:spacing w:after="0" w:line="360" w:lineRule="auto"/>
        <w:ind w:left="567"/>
        <w:rPr>
          <w:rFonts w:eastAsia="Times New Roman"/>
          <w:snapToGrid w:val="0"/>
          <w:szCs w:val="24"/>
          <w:lang w:val="es-ES" w:eastAsia="es-ES"/>
        </w:rPr>
      </w:pPr>
      <w:r w:rsidRPr="00621EAC">
        <w:rPr>
          <w:rFonts w:eastAsia="Times New Roman"/>
          <w:b/>
          <w:snapToGrid w:val="0"/>
          <w:szCs w:val="24"/>
          <w:lang w:val="es-ES" w:eastAsia="es-ES"/>
        </w:rPr>
        <w:t>4.3.4.</w:t>
      </w:r>
      <w:r w:rsidRPr="00075897">
        <w:rPr>
          <w:rFonts w:eastAsia="Times New Roman"/>
          <w:snapToGrid w:val="0"/>
          <w:szCs w:val="24"/>
          <w:lang w:val="es-ES" w:eastAsia="es-ES"/>
        </w:rPr>
        <w:t xml:space="preserve"> </w:t>
      </w:r>
      <w:r>
        <w:rPr>
          <w:rFonts w:eastAsia="Times New Roman"/>
          <w:snapToGrid w:val="0"/>
          <w:szCs w:val="24"/>
          <w:lang w:val="es-ES" w:eastAsia="es-ES"/>
        </w:rPr>
        <w:t>N</w:t>
      </w:r>
      <w:r w:rsidRPr="00075897">
        <w:rPr>
          <w:rFonts w:eastAsia="Times New Roman"/>
          <w:snapToGrid w:val="0"/>
          <w:szCs w:val="24"/>
          <w:lang w:val="es-ES" w:eastAsia="es-ES"/>
        </w:rPr>
        <w:t>o hay un adecuado seguimiento de la finalización de las Obras en Curso, existiendo dentro de este capítulo obras culminadas no reclasifica</w:t>
      </w:r>
      <w:r>
        <w:rPr>
          <w:rFonts w:eastAsia="Times New Roman"/>
          <w:snapToGrid w:val="0"/>
          <w:szCs w:val="24"/>
          <w:lang w:val="es-ES" w:eastAsia="es-ES"/>
        </w:rPr>
        <w:softHyphen/>
      </w:r>
      <w:r w:rsidRPr="00075897">
        <w:rPr>
          <w:rFonts w:eastAsia="Times New Roman"/>
          <w:snapToGrid w:val="0"/>
          <w:szCs w:val="24"/>
          <w:lang w:val="es-ES" w:eastAsia="es-ES"/>
        </w:rPr>
        <w:t>das, con la consiguiente subvaluación de las amortizaciones</w:t>
      </w:r>
      <w:r>
        <w:rPr>
          <w:rFonts w:eastAsia="Times New Roman"/>
          <w:snapToGrid w:val="0"/>
          <w:szCs w:val="24"/>
          <w:lang w:val="es-ES" w:eastAsia="es-ES"/>
        </w:rPr>
        <w:t>. N</w:t>
      </w:r>
      <w:r w:rsidRPr="00075897">
        <w:rPr>
          <w:rFonts w:eastAsia="Times New Roman"/>
          <w:snapToGrid w:val="0"/>
          <w:szCs w:val="24"/>
          <w:lang w:val="es-ES" w:eastAsia="es-ES"/>
        </w:rPr>
        <w:t>o obstante, mediante ajustes extracontables se efectúa una correcta exposición de la clasificación de los activos en el Cuadro que se a</w:t>
      </w:r>
      <w:r w:rsidR="00100FEE">
        <w:rPr>
          <w:rFonts w:eastAsia="Times New Roman"/>
          <w:snapToGrid w:val="0"/>
          <w:szCs w:val="24"/>
          <w:lang w:val="es-ES" w:eastAsia="es-ES"/>
        </w:rPr>
        <w:t>nexa a los estados financieros;</w:t>
      </w:r>
    </w:p>
    <w:p w:rsidR="00384886" w:rsidRPr="00075897" w:rsidRDefault="00384886" w:rsidP="00075897">
      <w:pPr>
        <w:spacing w:after="0" w:line="360" w:lineRule="auto"/>
        <w:ind w:left="567"/>
        <w:rPr>
          <w:rFonts w:eastAsia="Times New Roman"/>
          <w:snapToGrid w:val="0"/>
          <w:szCs w:val="24"/>
          <w:lang w:val="es-ES" w:eastAsia="es-ES"/>
        </w:rPr>
      </w:pPr>
      <w:r w:rsidRPr="00621EAC">
        <w:rPr>
          <w:rFonts w:eastAsia="Times New Roman"/>
          <w:b/>
          <w:snapToGrid w:val="0"/>
          <w:szCs w:val="24"/>
          <w:lang w:val="es-ES" w:eastAsia="es-ES"/>
        </w:rPr>
        <w:t>4.3.5</w:t>
      </w:r>
      <w:r w:rsidRPr="00075897">
        <w:rPr>
          <w:rFonts w:eastAsia="Times New Roman"/>
          <w:snapToGrid w:val="0"/>
          <w:szCs w:val="24"/>
          <w:lang w:val="es-ES" w:eastAsia="es-ES"/>
        </w:rPr>
        <w:t xml:space="preserve"> el sector contable no procedió a verificar la valuación de los inmuebles y bien</w:t>
      </w:r>
      <w:r w:rsidR="00100FEE">
        <w:rPr>
          <w:rFonts w:eastAsia="Times New Roman"/>
          <w:snapToGrid w:val="0"/>
          <w:szCs w:val="24"/>
          <w:lang w:val="es-ES" w:eastAsia="es-ES"/>
        </w:rPr>
        <w:t>es muebles cedidos en comodato;</w:t>
      </w:r>
    </w:p>
    <w:p w:rsidR="00384886" w:rsidRPr="00075897" w:rsidRDefault="00384886" w:rsidP="00075897">
      <w:pPr>
        <w:spacing w:after="0" w:line="360" w:lineRule="auto"/>
        <w:ind w:left="567"/>
        <w:rPr>
          <w:rFonts w:eastAsia="Times New Roman"/>
          <w:snapToGrid w:val="0"/>
          <w:szCs w:val="24"/>
          <w:lang w:val="es-ES" w:eastAsia="es-ES"/>
        </w:rPr>
      </w:pPr>
      <w:r w:rsidRPr="00621EAC">
        <w:rPr>
          <w:rFonts w:eastAsia="Times New Roman"/>
          <w:b/>
          <w:snapToGrid w:val="0"/>
          <w:szCs w:val="24"/>
          <w:lang w:val="es-ES" w:eastAsia="es-ES"/>
        </w:rPr>
        <w:t>4.3.6.</w:t>
      </w:r>
      <w:r w:rsidRPr="00075897">
        <w:rPr>
          <w:rFonts w:eastAsia="Times New Roman"/>
          <w:snapToGrid w:val="0"/>
          <w:szCs w:val="24"/>
          <w:lang w:val="es-ES" w:eastAsia="es-ES"/>
        </w:rPr>
        <w:t xml:space="preserve"> </w:t>
      </w:r>
      <w:r>
        <w:rPr>
          <w:rFonts w:eastAsia="Times New Roman"/>
          <w:snapToGrid w:val="0"/>
          <w:szCs w:val="24"/>
          <w:lang w:val="es-ES" w:eastAsia="es-ES"/>
        </w:rPr>
        <w:t>N</w:t>
      </w:r>
      <w:r w:rsidRPr="00075897">
        <w:rPr>
          <w:rFonts w:eastAsia="Times New Roman"/>
          <w:snapToGrid w:val="0"/>
          <w:szCs w:val="24"/>
          <w:lang w:val="es-ES" w:eastAsia="es-ES"/>
        </w:rPr>
        <w:t>o se realizan oportunamente los ajustes y correcciones contables que ameritan las constataciones efectuadas en los recuentos físicos re</w:t>
      </w:r>
      <w:r w:rsidR="00100FEE">
        <w:rPr>
          <w:rFonts w:eastAsia="Times New Roman"/>
          <w:snapToGrid w:val="0"/>
          <w:szCs w:val="24"/>
          <w:lang w:val="es-ES" w:eastAsia="es-ES"/>
        </w:rPr>
        <w:t>alizados por Auditoría Interna.</w:t>
      </w:r>
    </w:p>
    <w:p w:rsidR="00384886" w:rsidRPr="00075897" w:rsidRDefault="00384886" w:rsidP="00075897">
      <w:pPr>
        <w:spacing w:after="0" w:line="360" w:lineRule="auto"/>
        <w:ind w:left="567"/>
        <w:rPr>
          <w:rFonts w:eastAsia="Times New Roman"/>
          <w:b/>
          <w:snapToGrid w:val="0"/>
          <w:szCs w:val="24"/>
          <w:lang w:val="es-ES" w:eastAsia="es-ES"/>
        </w:rPr>
      </w:pPr>
      <w:r w:rsidRPr="00075897">
        <w:rPr>
          <w:rFonts w:eastAsia="Times New Roman"/>
          <w:b/>
          <w:snapToGrid w:val="0"/>
          <w:szCs w:val="24"/>
          <w:lang w:val="es-ES" w:eastAsia="es-ES"/>
        </w:rPr>
        <w:t>4.</w:t>
      </w:r>
      <w:r>
        <w:rPr>
          <w:rFonts w:eastAsia="Times New Roman"/>
          <w:b/>
          <w:snapToGrid w:val="0"/>
          <w:szCs w:val="24"/>
          <w:lang w:val="es-ES" w:eastAsia="es-ES"/>
        </w:rPr>
        <w:t>4</w:t>
      </w:r>
      <w:r w:rsidRPr="00075897">
        <w:rPr>
          <w:rFonts w:eastAsia="Times New Roman"/>
          <w:b/>
          <w:snapToGrid w:val="0"/>
          <w:szCs w:val="24"/>
          <w:lang w:val="es-ES" w:eastAsia="es-ES"/>
        </w:rPr>
        <w:t xml:space="preserve"> Bienes de Cambio: materiales, productos en</w:t>
      </w:r>
      <w:r w:rsidR="00100FEE">
        <w:rPr>
          <w:rFonts w:eastAsia="Times New Roman"/>
          <w:b/>
          <w:snapToGrid w:val="0"/>
          <w:szCs w:val="24"/>
          <w:lang w:val="es-ES" w:eastAsia="es-ES"/>
        </w:rPr>
        <w:t xml:space="preserve"> proceso y productos terminados</w:t>
      </w:r>
    </w:p>
    <w:p w:rsidR="00384886" w:rsidRPr="00075897" w:rsidRDefault="00384886" w:rsidP="00C6387B">
      <w:pPr>
        <w:spacing w:after="0" w:line="360" w:lineRule="auto"/>
        <w:ind w:left="851"/>
        <w:rPr>
          <w:rFonts w:eastAsia="Times New Roman"/>
          <w:snapToGrid w:val="0"/>
          <w:szCs w:val="24"/>
          <w:lang w:val="es-ES" w:eastAsia="es-ES"/>
        </w:rPr>
      </w:pPr>
      <w:r w:rsidRPr="00621EAC">
        <w:rPr>
          <w:rFonts w:eastAsia="Times New Roman"/>
          <w:b/>
          <w:snapToGrid w:val="0"/>
          <w:szCs w:val="24"/>
          <w:lang w:val="es-ES" w:eastAsia="es-ES"/>
        </w:rPr>
        <w:t>4.4.1</w:t>
      </w:r>
      <w:r w:rsidRPr="00075897">
        <w:rPr>
          <w:rFonts w:eastAsia="Times New Roman"/>
          <w:snapToGrid w:val="0"/>
          <w:szCs w:val="24"/>
          <w:lang w:val="es-ES" w:eastAsia="es-ES"/>
        </w:rPr>
        <w:t xml:space="preserve">. </w:t>
      </w:r>
      <w:r>
        <w:rPr>
          <w:rFonts w:eastAsia="Times New Roman"/>
          <w:snapToGrid w:val="0"/>
          <w:szCs w:val="24"/>
          <w:lang w:val="es-ES" w:eastAsia="es-ES"/>
        </w:rPr>
        <w:t>N</w:t>
      </w:r>
      <w:r w:rsidRPr="00075897">
        <w:rPr>
          <w:rFonts w:eastAsia="Times New Roman"/>
          <w:snapToGrid w:val="0"/>
          <w:szCs w:val="24"/>
          <w:lang w:val="es-ES" w:eastAsia="es-ES"/>
        </w:rPr>
        <w:t>o se previó en el “Manual de Procedimiento para Recepción y Pago de Etanol comprado a ALUR”, la operativa de documentación en Notas de Crédito de los saldos restantes en tanques ya vendidos y facturados a ANCAP que se reutilizan para almacenar nuevas producciones de etanol, estando pendiente a la fecha la revisión total</w:t>
      </w:r>
      <w:r w:rsidR="00100FEE">
        <w:rPr>
          <w:rFonts w:eastAsia="Times New Roman"/>
          <w:snapToGrid w:val="0"/>
          <w:szCs w:val="24"/>
          <w:lang w:val="es-ES" w:eastAsia="es-ES"/>
        </w:rPr>
        <w:t xml:space="preserve"> del procedimiento relacionado;</w:t>
      </w:r>
    </w:p>
    <w:p w:rsidR="00384886" w:rsidRPr="00075897" w:rsidRDefault="00384886" w:rsidP="00C6387B">
      <w:pPr>
        <w:spacing w:after="0" w:line="360" w:lineRule="auto"/>
        <w:ind w:left="851"/>
        <w:rPr>
          <w:rFonts w:eastAsia="Times New Roman"/>
          <w:snapToGrid w:val="0"/>
          <w:szCs w:val="24"/>
          <w:lang w:val="es-ES" w:eastAsia="es-ES"/>
        </w:rPr>
      </w:pPr>
      <w:r w:rsidRPr="00621EAC">
        <w:rPr>
          <w:rFonts w:eastAsia="Times New Roman"/>
          <w:b/>
          <w:snapToGrid w:val="0"/>
          <w:szCs w:val="24"/>
          <w:lang w:val="es-ES" w:eastAsia="es-ES"/>
        </w:rPr>
        <w:t>4.4.2.</w:t>
      </w:r>
      <w:r w:rsidRPr="00075897">
        <w:rPr>
          <w:rFonts w:eastAsia="Times New Roman"/>
          <w:snapToGrid w:val="0"/>
          <w:szCs w:val="24"/>
          <w:lang w:val="es-ES" w:eastAsia="es-ES"/>
        </w:rPr>
        <w:t xml:space="preserve"> </w:t>
      </w:r>
      <w:r>
        <w:rPr>
          <w:rFonts w:eastAsia="Times New Roman"/>
          <w:snapToGrid w:val="0"/>
          <w:szCs w:val="24"/>
          <w:lang w:val="es-ES" w:eastAsia="es-ES"/>
        </w:rPr>
        <w:t>N</w:t>
      </w:r>
      <w:r w:rsidRPr="00075897">
        <w:rPr>
          <w:rFonts w:eastAsia="Times New Roman"/>
          <w:snapToGrid w:val="0"/>
          <w:szCs w:val="24"/>
          <w:lang w:val="es-ES" w:eastAsia="es-ES"/>
        </w:rPr>
        <w:t>o se cuenta con Manuales de Procedimientos que establezcan las acciones a seguir en las distintas plantas de elaboración ni en los depósitos de combustibles, portland y lubricantes a efectos de confeccionar informes periódicos de bienes antiguos, estropeados</w:t>
      </w:r>
      <w:r w:rsidR="00100FEE">
        <w:rPr>
          <w:rFonts w:eastAsia="Times New Roman"/>
          <w:snapToGrid w:val="0"/>
          <w:szCs w:val="24"/>
          <w:lang w:val="es-ES" w:eastAsia="es-ES"/>
        </w:rPr>
        <w:t>, obsoletos o stocks en exceso;</w:t>
      </w:r>
    </w:p>
    <w:p w:rsidR="00384886" w:rsidRPr="00075897" w:rsidRDefault="00384886" w:rsidP="00C6387B">
      <w:pPr>
        <w:spacing w:after="0" w:line="360" w:lineRule="auto"/>
        <w:ind w:left="851"/>
        <w:rPr>
          <w:rFonts w:eastAsia="Times New Roman"/>
          <w:snapToGrid w:val="0"/>
          <w:szCs w:val="24"/>
          <w:lang w:val="es-ES" w:eastAsia="es-ES"/>
        </w:rPr>
      </w:pPr>
      <w:r w:rsidRPr="00621EAC">
        <w:rPr>
          <w:rFonts w:eastAsia="Times New Roman"/>
          <w:b/>
          <w:snapToGrid w:val="0"/>
          <w:szCs w:val="24"/>
          <w:lang w:val="es-ES" w:eastAsia="es-ES"/>
        </w:rPr>
        <w:t>4.4.3</w:t>
      </w:r>
      <w:r w:rsidRPr="00075897">
        <w:rPr>
          <w:rFonts w:eastAsia="Times New Roman"/>
          <w:snapToGrid w:val="0"/>
          <w:szCs w:val="24"/>
          <w:lang w:val="es-ES" w:eastAsia="es-ES"/>
        </w:rPr>
        <w:t xml:space="preserve"> el Ente no cuenta con Manuales de Procedimientos de la operativa de los depósitos de Bienes de Cambio relativos a la custodia, vigilancia y mantenimiento de inventarios, que aseguren una adecuada segregación de funciones</w:t>
      </w:r>
      <w:r>
        <w:rPr>
          <w:rFonts w:eastAsia="Times New Roman"/>
          <w:snapToGrid w:val="0"/>
          <w:szCs w:val="24"/>
          <w:lang w:val="es-ES" w:eastAsia="es-ES"/>
        </w:rPr>
        <w:t>:</w:t>
      </w:r>
      <w:r w:rsidRPr="00075897">
        <w:rPr>
          <w:rFonts w:eastAsia="Times New Roman"/>
          <w:snapToGrid w:val="0"/>
          <w:szCs w:val="24"/>
          <w:lang w:val="es-ES" w:eastAsia="es-ES"/>
        </w:rPr>
        <w:t xml:space="preserve"> registro</w:t>
      </w:r>
      <w:r>
        <w:rPr>
          <w:rFonts w:eastAsia="Times New Roman"/>
          <w:snapToGrid w:val="0"/>
          <w:szCs w:val="24"/>
          <w:lang w:val="es-ES" w:eastAsia="es-ES"/>
        </w:rPr>
        <w:t>, control y custodia de dichos bienes;</w:t>
      </w:r>
    </w:p>
    <w:p w:rsidR="00384886" w:rsidRPr="00075897" w:rsidRDefault="00384886" w:rsidP="00C6387B">
      <w:pPr>
        <w:spacing w:after="0" w:line="360" w:lineRule="auto"/>
        <w:ind w:left="851"/>
        <w:rPr>
          <w:rFonts w:eastAsia="Times New Roman"/>
          <w:snapToGrid w:val="0"/>
          <w:szCs w:val="24"/>
          <w:lang w:val="es-ES" w:eastAsia="es-ES"/>
        </w:rPr>
      </w:pPr>
      <w:r w:rsidRPr="00621EAC">
        <w:rPr>
          <w:rFonts w:eastAsia="Times New Roman"/>
          <w:b/>
          <w:snapToGrid w:val="0"/>
          <w:szCs w:val="24"/>
          <w:lang w:val="es-ES" w:eastAsia="es-ES"/>
        </w:rPr>
        <w:t>4.4.</w:t>
      </w:r>
      <w:r>
        <w:rPr>
          <w:rFonts w:eastAsia="Times New Roman"/>
          <w:b/>
          <w:snapToGrid w:val="0"/>
          <w:szCs w:val="24"/>
          <w:lang w:val="es-ES" w:eastAsia="es-ES"/>
        </w:rPr>
        <w:t>4</w:t>
      </w:r>
      <w:r w:rsidRPr="00075897">
        <w:rPr>
          <w:rFonts w:eastAsia="Times New Roman"/>
          <w:snapToGrid w:val="0"/>
          <w:szCs w:val="24"/>
          <w:lang w:val="es-ES" w:eastAsia="es-ES"/>
        </w:rPr>
        <w:t xml:space="preserve"> en cuanto a seguridad de los locales de depósitos de bienes de cambio, el de la Planta de Carrasco mantiene horarios sin vigilancia. Con relación al acceso restringido al área en la Planta de Lubricantes de la Teja, no hay restricciones que impidan el acceso</w:t>
      </w:r>
      <w:r w:rsidR="00100FEE">
        <w:rPr>
          <w:rFonts w:eastAsia="Times New Roman"/>
          <w:snapToGrid w:val="0"/>
          <w:szCs w:val="24"/>
          <w:lang w:val="es-ES" w:eastAsia="es-ES"/>
        </w:rPr>
        <w:t xml:space="preserve"> a funcionarios no autorizados;</w:t>
      </w:r>
    </w:p>
    <w:p w:rsidR="00384886" w:rsidRPr="00075897" w:rsidRDefault="00384886" w:rsidP="00C6387B">
      <w:pPr>
        <w:spacing w:after="0" w:line="360" w:lineRule="auto"/>
        <w:ind w:left="851"/>
        <w:rPr>
          <w:rFonts w:eastAsia="Times New Roman"/>
          <w:snapToGrid w:val="0"/>
          <w:szCs w:val="24"/>
          <w:lang w:val="es-ES" w:eastAsia="es-ES"/>
        </w:rPr>
      </w:pPr>
      <w:r w:rsidRPr="00621EAC">
        <w:rPr>
          <w:rFonts w:eastAsia="Times New Roman"/>
          <w:b/>
          <w:snapToGrid w:val="0"/>
          <w:szCs w:val="24"/>
          <w:lang w:val="es-ES" w:eastAsia="es-ES"/>
        </w:rPr>
        <w:t>4.4.5</w:t>
      </w:r>
      <w:r w:rsidRPr="00075897">
        <w:rPr>
          <w:rFonts w:eastAsia="Times New Roman"/>
          <w:snapToGrid w:val="0"/>
          <w:szCs w:val="24"/>
          <w:lang w:val="es-ES" w:eastAsia="es-ES"/>
        </w:rPr>
        <w:t xml:space="preserve"> las distintas Plantas no disponen de Manuales de Procedimientos para la realización de recuentos físicos de materias primas, productos semielaborados, pro</w:t>
      </w:r>
      <w:r w:rsidR="00100FEE">
        <w:rPr>
          <w:rFonts w:eastAsia="Times New Roman"/>
          <w:snapToGrid w:val="0"/>
          <w:szCs w:val="24"/>
          <w:lang w:val="es-ES" w:eastAsia="es-ES"/>
        </w:rPr>
        <w:t>ductos terminados y materiales;</w:t>
      </w:r>
    </w:p>
    <w:p w:rsidR="00384886" w:rsidRPr="00075897" w:rsidRDefault="00384886" w:rsidP="00C6387B">
      <w:pPr>
        <w:spacing w:after="0" w:line="360" w:lineRule="auto"/>
        <w:ind w:left="851"/>
        <w:rPr>
          <w:rFonts w:eastAsia="Times New Roman"/>
          <w:snapToGrid w:val="0"/>
          <w:szCs w:val="24"/>
          <w:lang w:val="es-ES" w:eastAsia="es-ES"/>
        </w:rPr>
      </w:pPr>
      <w:r w:rsidRPr="00621EAC">
        <w:rPr>
          <w:rFonts w:eastAsia="Times New Roman"/>
          <w:b/>
          <w:snapToGrid w:val="0"/>
          <w:szCs w:val="24"/>
          <w:lang w:val="es-ES" w:eastAsia="es-ES"/>
        </w:rPr>
        <w:t>4.4.6</w:t>
      </w:r>
      <w:r w:rsidRPr="00075897">
        <w:rPr>
          <w:rFonts w:eastAsia="Times New Roman"/>
          <w:snapToGrid w:val="0"/>
          <w:szCs w:val="24"/>
          <w:lang w:val="es-ES" w:eastAsia="es-ES"/>
        </w:rPr>
        <w:t>. si bien se evidenciaron procedimientos y registros para llevar el control de los envases propiedad de Cementos del Plata (Planta Portland Paysandú) y de los aditivos de la empresa TOTAL (La Teja-Lubricantes), no queda reflejada contablemente la responsabilidad del Ente por mantener biene</w:t>
      </w:r>
      <w:r w:rsidR="00100FEE">
        <w:rPr>
          <w:rFonts w:eastAsia="Times New Roman"/>
          <w:snapToGrid w:val="0"/>
          <w:szCs w:val="24"/>
          <w:lang w:val="es-ES" w:eastAsia="es-ES"/>
        </w:rPr>
        <w:t>s de terceros bajo su custodia.</w:t>
      </w:r>
    </w:p>
    <w:p w:rsidR="00384886" w:rsidRPr="00075897" w:rsidRDefault="00384886" w:rsidP="00075897">
      <w:pPr>
        <w:spacing w:after="0" w:line="360" w:lineRule="auto"/>
        <w:ind w:left="567"/>
        <w:rPr>
          <w:rFonts w:eastAsia="Times New Roman"/>
          <w:b/>
          <w:snapToGrid w:val="0"/>
          <w:szCs w:val="24"/>
          <w:lang w:val="es-ES" w:eastAsia="es-ES"/>
        </w:rPr>
      </w:pPr>
      <w:r w:rsidRPr="00075897">
        <w:rPr>
          <w:rFonts w:eastAsia="Times New Roman"/>
          <w:b/>
          <w:snapToGrid w:val="0"/>
          <w:szCs w:val="24"/>
          <w:lang w:val="es-ES" w:eastAsia="es-ES"/>
        </w:rPr>
        <w:t>4.</w:t>
      </w:r>
      <w:r>
        <w:rPr>
          <w:rFonts w:eastAsia="Times New Roman"/>
          <w:b/>
          <w:snapToGrid w:val="0"/>
          <w:szCs w:val="24"/>
          <w:lang w:val="es-ES" w:eastAsia="es-ES"/>
        </w:rPr>
        <w:t>5</w:t>
      </w:r>
      <w:r w:rsidRPr="00075897">
        <w:rPr>
          <w:rFonts w:eastAsia="Times New Roman"/>
          <w:b/>
          <w:snapToGrid w:val="0"/>
          <w:szCs w:val="24"/>
          <w:lang w:val="es-ES" w:eastAsia="es-ES"/>
        </w:rPr>
        <w:t xml:space="preserve"> Procedimientos relacionados</w:t>
      </w:r>
      <w:r w:rsidR="00100FEE">
        <w:rPr>
          <w:rFonts w:eastAsia="Times New Roman"/>
          <w:b/>
          <w:snapToGrid w:val="0"/>
          <w:szCs w:val="24"/>
          <w:lang w:val="es-ES" w:eastAsia="es-ES"/>
        </w:rPr>
        <w:t xml:space="preserve"> con cuentas a cobrar y a pagar</w:t>
      </w:r>
    </w:p>
    <w:p w:rsidR="00384886" w:rsidRPr="00075897" w:rsidRDefault="00384886" w:rsidP="00075897">
      <w:pPr>
        <w:spacing w:after="0" w:line="360" w:lineRule="auto"/>
        <w:ind w:left="567"/>
        <w:rPr>
          <w:rFonts w:eastAsia="Times New Roman"/>
          <w:snapToGrid w:val="0"/>
          <w:szCs w:val="24"/>
          <w:lang w:val="es-ES" w:eastAsia="es-ES"/>
        </w:rPr>
      </w:pPr>
      <w:r w:rsidRPr="00075897">
        <w:rPr>
          <w:rFonts w:eastAsia="Times New Roman"/>
          <w:snapToGrid w:val="0"/>
          <w:szCs w:val="24"/>
          <w:lang w:val="es-ES" w:eastAsia="es-ES"/>
        </w:rPr>
        <w:t xml:space="preserve">Los Sectores involucrados no cuentan con Manual de Procedimientos a efectos de documentar y sistematizar la normativa </w:t>
      </w:r>
      <w:r>
        <w:rPr>
          <w:rFonts w:eastAsia="Times New Roman"/>
          <w:snapToGrid w:val="0"/>
          <w:szCs w:val="24"/>
          <w:lang w:val="es-ES" w:eastAsia="es-ES"/>
        </w:rPr>
        <w:t xml:space="preserve">interna, </w:t>
      </w:r>
      <w:r w:rsidRPr="00075897">
        <w:rPr>
          <w:rFonts w:eastAsia="Times New Roman"/>
          <w:snapToGrid w:val="0"/>
          <w:szCs w:val="24"/>
          <w:lang w:val="es-ES" w:eastAsia="es-ES"/>
        </w:rPr>
        <w:t>definiendo tareas y re</w:t>
      </w:r>
      <w:r w:rsidR="00100FEE">
        <w:rPr>
          <w:rFonts w:eastAsia="Times New Roman"/>
          <w:snapToGrid w:val="0"/>
          <w:szCs w:val="24"/>
          <w:lang w:val="es-ES" w:eastAsia="es-ES"/>
        </w:rPr>
        <w:t>sponsabilidades de ambas áreas.</w:t>
      </w:r>
    </w:p>
    <w:p w:rsidR="00384886" w:rsidRPr="00075897" w:rsidRDefault="00384886" w:rsidP="00075897">
      <w:pPr>
        <w:spacing w:after="0" w:line="360" w:lineRule="auto"/>
        <w:ind w:left="567"/>
        <w:rPr>
          <w:rFonts w:eastAsia="Times New Roman"/>
          <w:b/>
          <w:snapToGrid w:val="0"/>
          <w:szCs w:val="24"/>
          <w:lang w:val="es-ES" w:eastAsia="es-ES"/>
        </w:rPr>
      </w:pPr>
      <w:r>
        <w:rPr>
          <w:rFonts w:eastAsia="Times New Roman"/>
          <w:b/>
          <w:snapToGrid w:val="0"/>
          <w:szCs w:val="24"/>
          <w:lang w:val="es-ES" w:eastAsia="es-ES"/>
        </w:rPr>
        <w:t>4.6</w:t>
      </w:r>
      <w:r w:rsidRPr="00075897">
        <w:rPr>
          <w:rFonts w:eastAsia="Times New Roman"/>
          <w:b/>
          <w:snapToGrid w:val="0"/>
          <w:szCs w:val="24"/>
          <w:lang w:val="es-ES" w:eastAsia="es-ES"/>
        </w:rPr>
        <w:t xml:space="preserve"> Cont</w:t>
      </w:r>
      <w:r>
        <w:rPr>
          <w:rFonts w:eastAsia="Times New Roman"/>
          <w:b/>
          <w:snapToGrid w:val="0"/>
          <w:szCs w:val="24"/>
          <w:lang w:val="es-ES" w:eastAsia="es-ES"/>
        </w:rPr>
        <w:t>ratación de préstamos bancarios</w:t>
      </w:r>
    </w:p>
    <w:p w:rsidR="00384886" w:rsidRPr="00075897" w:rsidRDefault="00384886" w:rsidP="00075897">
      <w:pPr>
        <w:spacing w:after="0" w:line="360" w:lineRule="auto"/>
        <w:ind w:left="567"/>
        <w:rPr>
          <w:rFonts w:eastAsia="Times New Roman"/>
          <w:snapToGrid w:val="0"/>
          <w:szCs w:val="24"/>
          <w:lang w:val="es-ES" w:eastAsia="es-ES"/>
        </w:rPr>
      </w:pPr>
      <w:r w:rsidRPr="00075897">
        <w:rPr>
          <w:rFonts w:eastAsia="Times New Roman"/>
          <w:snapToGrid w:val="0"/>
          <w:szCs w:val="24"/>
          <w:lang w:val="es-ES" w:eastAsia="es-ES"/>
        </w:rPr>
        <w:t xml:space="preserve">El </w:t>
      </w:r>
      <w:r>
        <w:rPr>
          <w:rFonts w:eastAsia="Times New Roman"/>
          <w:snapToGrid w:val="0"/>
          <w:szCs w:val="24"/>
          <w:lang w:val="es-ES" w:eastAsia="es-ES"/>
        </w:rPr>
        <w:t>E</w:t>
      </w:r>
      <w:r w:rsidRPr="00075897">
        <w:rPr>
          <w:rFonts w:eastAsia="Times New Roman"/>
          <w:snapToGrid w:val="0"/>
          <w:szCs w:val="24"/>
          <w:lang w:val="es-ES" w:eastAsia="es-ES"/>
        </w:rPr>
        <w:t xml:space="preserve">nte no cuenta con Manual de Procedimientos que determine las responsabilidades de cada sector en la contratación y renovación de préstamos, su registro, la custodia de su documentación, los cálculos correspondientes, </w:t>
      </w:r>
      <w:r>
        <w:rPr>
          <w:rFonts w:eastAsia="Times New Roman"/>
          <w:snapToGrid w:val="0"/>
          <w:szCs w:val="24"/>
          <w:lang w:val="es-ES" w:eastAsia="es-ES"/>
        </w:rPr>
        <w:t>y</w:t>
      </w:r>
      <w:r w:rsidRPr="00075897">
        <w:rPr>
          <w:rFonts w:eastAsia="Times New Roman"/>
          <w:snapToGrid w:val="0"/>
          <w:szCs w:val="24"/>
          <w:lang w:val="es-ES" w:eastAsia="es-ES"/>
        </w:rPr>
        <w:t xml:space="preserve"> los</w:t>
      </w:r>
      <w:r w:rsidR="00100FEE">
        <w:rPr>
          <w:rFonts w:eastAsia="Times New Roman"/>
          <w:snapToGrid w:val="0"/>
          <w:szCs w:val="24"/>
          <w:lang w:val="es-ES" w:eastAsia="es-ES"/>
        </w:rPr>
        <w:t xml:space="preserve"> controles de saldos contables.</w:t>
      </w:r>
    </w:p>
    <w:p w:rsidR="00384886" w:rsidRPr="00075897" w:rsidRDefault="00384886" w:rsidP="00075897">
      <w:pPr>
        <w:spacing w:after="0" w:line="360" w:lineRule="auto"/>
        <w:ind w:left="567"/>
        <w:rPr>
          <w:rFonts w:eastAsia="Times New Roman"/>
          <w:b/>
          <w:snapToGrid w:val="0"/>
          <w:szCs w:val="24"/>
          <w:lang w:val="es-ES" w:eastAsia="es-ES"/>
        </w:rPr>
      </w:pPr>
      <w:r>
        <w:rPr>
          <w:rFonts w:eastAsia="Times New Roman"/>
          <w:b/>
          <w:snapToGrid w:val="0"/>
          <w:szCs w:val="24"/>
          <w:lang w:val="es-ES" w:eastAsia="es-ES"/>
        </w:rPr>
        <w:t>4.7</w:t>
      </w:r>
      <w:r w:rsidR="00100FEE">
        <w:rPr>
          <w:rFonts w:eastAsia="Times New Roman"/>
          <w:b/>
          <w:snapToGrid w:val="0"/>
          <w:szCs w:val="24"/>
          <w:lang w:val="es-ES" w:eastAsia="es-ES"/>
        </w:rPr>
        <w:t xml:space="preserve"> Gestión de Riesgos</w:t>
      </w:r>
    </w:p>
    <w:p w:rsidR="00384886" w:rsidRPr="00075897" w:rsidRDefault="00384886" w:rsidP="00621EAC">
      <w:pPr>
        <w:spacing w:after="0" w:line="360" w:lineRule="auto"/>
        <w:ind w:left="567"/>
        <w:rPr>
          <w:rFonts w:eastAsia="Times New Roman"/>
          <w:snapToGrid w:val="0"/>
          <w:szCs w:val="24"/>
          <w:lang w:val="es-ES" w:eastAsia="es-ES"/>
        </w:rPr>
      </w:pPr>
      <w:r w:rsidRPr="00621EAC">
        <w:rPr>
          <w:rFonts w:eastAsia="Times New Roman"/>
          <w:b/>
          <w:snapToGrid w:val="0"/>
          <w:szCs w:val="24"/>
          <w:lang w:val="es-ES" w:eastAsia="es-ES"/>
        </w:rPr>
        <w:t>4.</w:t>
      </w:r>
      <w:r>
        <w:rPr>
          <w:rFonts w:eastAsia="Times New Roman"/>
          <w:b/>
          <w:snapToGrid w:val="0"/>
          <w:szCs w:val="24"/>
          <w:lang w:val="es-ES" w:eastAsia="es-ES"/>
        </w:rPr>
        <w:t>7</w:t>
      </w:r>
      <w:r w:rsidRPr="00621EAC">
        <w:rPr>
          <w:rFonts w:eastAsia="Times New Roman"/>
          <w:b/>
          <w:snapToGrid w:val="0"/>
          <w:szCs w:val="24"/>
          <w:lang w:val="es-ES" w:eastAsia="es-ES"/>
        </w:rPr>
        <w:t>.1</w:t>
      </w:r>
      <w:r>
        <w:rPr>
          <w:rFonts w:eastAsia="Times New Roman"/>
          <w:snapToGrid w:val="0"/>
          <w:szCs w:val="24"/>
          <w:lang w:val="es-ES" w:eastAsia="es-ES"/>
        </w:rPr>
        <w:t xml:space="preserve"> </w:t>
      </w:r>
      <w:r w:rsidRPr="00075897">
        <w:rPr>
          <w:rFonts w:eastAsia="Times New Roman"/>
          <w:snapToGrid w:val="0"/>
          <w:szCs w:val="24"/>
          <w:lang w:val="es-ES" w:eastAsia="es-ES"/>
        </w:rPr>
        <w:t>ANCAP no incluye entre sus objetivos de Gestión Integral de Riesgos los derivados de la suscripción de fianzas, avales y gara</w:t>
      </w:r>
      <w:r w:rsidR="001127A7">
        <w:rPr>
          <w:rFonts w:eastAsia="Times New Roman"/>
          <w:snapToGrid w:val="0"/>
          <w:szCs w:val="24"/>
          <w:lang w:val="es-ES" w:eastAsia="es-ES"/>
        </w:rPr>
        <w:t>ntías reales y otras genéricas;</w:t>
      </w:r>
    </w:p>
    <w:p w:rsidR="00384886" w:rsidRPr="00075897" w:rsidRDefault="00384886" w:rsidP="00621EAC">
      <w:pPr>
        <w:spacing w:after="0" w:line="360" w:lineRule="auto"/>
        <w:ind w:left="567"/>
        <w:rPr>
          <w:rFonts w:eastAsia="Times New Roman"/>
          <w:snapToGrid w:val="0"/>
          <w:szCs w:val="24"/>
          <w:lang w:val="es-ES" w:eastAsia="es-ES"/>
        </w:rPr>
      </w:pPr>
      <w:r w:rsidRPr="00621EAC">
        <w:rPr>
          <w:rFonts w:eastAsia="Times New Roman"/>
          <w:b/>
          <w:snapToGrid w:val="0"/>
          <w:szCs w:val="24"/>
          <w:lang w:val="es-ES" w:eastAsia="es-ES"/>
        </w:rPr>
        <w:t>4.7.2</w:t>
      </w:r>
      <w:r>
        <w:rPr>
          <w:rFonts w:eastAsia="Times New Roman"/>
          <w:snapToGrid w:val="0"/>
          <w:szCs w:val="24"/>
          <w:lang w:val="es-ES" w:eastAsia="es-ES"/>
        </w:rPr>
        <w:t xml:space="preserve"> </w:t>
      </w:r>
      <w:r w:rsidRPr="00075897">
        <w:rPr>
          <w:rFonts w:eastAsia="Times New Roman"/>
          <w:snapToGrid w:val="0"/>
          <w:szCs w:val="24"/>
          <w:lang w:val="es-ES" w:eastAsia="es-ES"/>
        </w:rPr>
        <w:t xml:space="preserve"> el Sector Riesgos no cuenta con un Manual de Procedimientos que defina qué coberturas se deben contratar en forma centralizada para sus sociedades vinculadas (a través de ANCAP) ya sea sobre Bienes de Cambio o Bienes de Uso, ni realiza un seguimiento integral de las políticas de riesgo o cobertu</w:t>
      </w:r>
      <w:r w:rsidR="00100FEE">
        <w:rPr>
          <w:rFonts w:eastAsia="Times New Roman"/>
          <w:snapToGrid w:val="0"/>
          <w:szCs w:val="24"/>
          <w:lang w:val="es-ES" w:eastAsia="es-ES"/>
        </w:rPr>
        <w:t>ras contratadas por las mismas.</w:t>
      </w:r>
    </w:p>
    <w:p w:rsidR="00384886" w:rsidRPr="00075897" w:rsidRDefault="00384886" w:rsidP="00075897">
      <w:pPr>
        <w:spacing w:after="0" w:line="360" w:lineRule="auto"/>
        <w:ind w:left="567"/>
        <w:rPr>
          <w:rFonts w:eastAsia="Times New Roman"/>
          <w:b/>
          <w:snapToGrid w:val="0"/>
          <w:szCs w:val="24"/>
          <w:lang w:val="es-ES" w:eastAsia="es-ES"/>
        </w:rPr>
      </w:pPr>
      <w:r>
        <w:rPr>
          <w:rFonts w:eastAsia="Times New Roman"/>
          <w:b/>
          <w:snapToGrid w:val="0"/>
          <w:szCs w:val="24"/>
          <w:lang w:val="es-ES" w:eastAsia="es-ES"/>
        </w:rPr>
        <w:t>4.8</w:t>
      </w:r>
      <w:r w:rsidRPr="00075897">
        <w:rPr>
          <w:rFonts w:eastAsia="Times New Roman"/>
          <w:b/>
          <w:snapToGrid w:val="0"/>
          <w:szCs w:val="24"/>
          <w:lang w:val="es-ES" w:eastAsia="es-ES"/>
        </w:rPr>
        <w:t xml:space="preserve"> Garantías reci</w:t>
      </w:r>
      <w:r w:rsidR="00100FEE">
        <w:rPr>
          <w:rFonts w:eastAsia="Times New Roman"/>
          <w:b/>
          <w:snapToGrid w:val="0"/>
          <w:szCs w:val="24"/>
          <w:lang w:val="es-ES" w:eastAsia="es-ES"/>
        </w:rPr>
        <w:t>bidas:</w:t>
      </w:r>
    </w:p>
    <w:p w:rsidR="00384886" w:rsidRPr="00EB5D46" w:rsidRDefault="00384886" w:rsidP="00621EAC">
      <w:pPr>
        <w:spacing w:after="0" w:line="360" w:lineRule="auto"/>
        <w:ind w:left="567"/>
        <w:rPr>
          <w:rFonts w:eastAsia="Times New Roman"/>
          <w:i/>
          <w:snapToGrid w:val="0"/>
          <w:szCs w:val="24"/>
          <w:lang w:val="es-ES" w:eastAsia="es-ES"/>
        </w:rPr>
      </w:pPr>
      <w:r w:rsidRPr="00621EAC">
        <w:rPr>
          <w:rFonts w:eastAsia="Times New Roman"/>
          <w:b/>
          <w:snapToGrid w:val="0"/>
          <w:szCs w:val="24"/>
          <w:lang w:val="es-ES" w:eastAsia="es-ES"/>
        </w:rPr>
        <w:t>4.8.1</w:t>
      </w:r>
      <w:r>
        <w:rPr>
          <w:rFonts w:eastAsia="Times New Roman"/>
          <w:b/>
          <w:snapToGrid w:val="0"/>
          <w:szCs w:val="24"/>
          <w:lang w:val="es-ES" w:eastAsia="es-ES"/>
        </w:rPr>
        <w:t xml:space="preserve"> </w:t>
      </w:r>
      <w:r>
        <w:rPr>
          <w:rFonts w:eastAsia="Times New Roman"/>
          <w:snapToGrid w:val="0"/>
          <w:szCs w:val="24"/>
          <w:lang w:val="es-ES" w:eastAsia="es-ES"/>
        </w:rPr>
        <w:t>no se</w:t>
      </w:r>
      <w:r w:rsidRPr="00075897">
        <w:rPr>
          <w:rFonts w:eastAsia="Times New Roman"/>
          <w:snapToGrid w:val="0"/>
          <w:szCs w:val="24"/>
          <w:lang w:val="es-ES" w:eastAsia="es-ES"/>
        </w:rPr>
        <w:t xml:space="preserve"> efectúa</w:t>
      </w:r>
      <w:r>
        <w:rPr>
          <w:rFonts w:eastAsia="Times New Roman"/>
          <w:snapToGrid w:val="0"/>
          <w:szCs w:val="24"/>
          <w:lang w:val="es-ES" w:eastAsia="es-ES"/>
        </w:rPr>
        <w:t>n</w:t>
      </w:r>
      <w:r w:rsidRPr="00075897">
        <w:rPr>
          <w:rFonts w:eastAsia="Times New Roman"/>
          <w:snapToGrid w:val="0"/>
          <w:szCs w:val="24"/>
          <w:lang w:val="es-ES" w:eastAsia="es-ES"/>
        </w:rPr>
        <w:t xml:space="preserve"> procedimientos de control respecto a la documenta</w:t>
      </w:r>
      <w:r>
        <w:rPr>
          <w:rFonts w:eastAsia="Times New Roman"/>
          <w:snapToGrid w:val="0"/>
          <w:szCs w:val="24"/>
          <w:lang w:val="es-ES" w:eastAsia="es-ES"/>
        </w:rPr>
        <w:softHyphen/>
      </w:r>
      <w:r w:rsidRPr="00075897">
        <w:rPr>
          <w:rFonts w:eastAsia="Times New Roman"/>
          <w:snapToGrid w:val="0"/>
          <w:szCs w:val="24"/>
          <w:lang w:val="es-ES" w:eastAsia="es-ES"/>
        </w:rPr>
        <w:t xml:space="preserve">ción y valores relacionados con </w:t>
      </w:r>
      <w:r>
        <w:rPr>
          <w:rFonts w:eastAsia="Times New Roman"/>
          <w:snapToGrid w:val="0"/>
          <w:szCs w:val="24"/>
          <w:lang w:val="es-ES" w:eastAsia="es-ES"/>
        </w:rPr>
        <w:t>l</w:t>
      </w:r>
      <w:r w:rsidRPr="00075897">
        <w:rPr>
          <w:rFonts w:eastAsia="Times New Roman"/>
          <w:snapToGrid w:val="0"/>
          <w:szCs w:val="24"/>
          <w:lang w:val="es-ES" w:eastAsia="es-ES"/>
        </w:rPr>
        <w:t xml:space="preserve">as garantías </w:t>
      </w:r>
      <w:r>
        <w:rPr>
          <w:rFonts w:eastAsia="Times New Roman"/>
          <w:snapToGrid w:val="0"/>
          <w:szCs w:val="24"/>
          <w:lang w:val="es-ES" w:eastAsia="es-ES"/>
        </w:rPr>
        <w:t xml:space="preserve">recibidas por licitaciones </w:t>
      </w:r>
      <w:r w:rsidRPr="00075897">
        <w:rPr>
          <w:rFonts w:eastAsia="Times New Roman"/>
          <w:snapToGrid w:val="0"/>
          <w:szCs w:val="24"/>
          <w:lang w:val="es-ES" w:eastAsia="es-ES"/>
        </w:rPr>
        <w:t>en oportunidad de realizar a</w:t>
      </w:r>
      <w:r w:rsidR="00100FEE">
        <w:rPr>
          <w:rFonts w:eastAsia="Times New Roman"/>
          <w:snapToGrid w:val="0"/>
          <w:szCs w:val="24"/>
          <w:lang w:val="es-ES" w:eastAsia="es-ES"/>
        </w:rPr>
        <w:t>rqueos en la Tesorería General;</w:t>
      </w:r>
    </w:p>
    <w:p w:rsidR="00384886" w:rsidRPr="00075897" w:rsidRDefault="00384886" w:rsidP="00E85362">
      <w:pPr>
        <w:spacing w:after="0" w:line="360" w:lineRule="auto"/>
        <w:ind w:left="567"/>
        <w:rPr>
          <w:rFonts w:eastAsia="Times New Roman"/>
          <w:b/>
          <w:snapToGrid w:val="0"/>
          <w:szCs w:val="24"/>
          <w:lang w:val="es-ES" w:eastAsia="es-ES"/>
        </w:rPr>
      </w:pPr>
      <w:r w:rsidRPr="00621EAC">
        <w:rPr>
          <w:rFonts w:eastAsia="Times New Roman"/>
          <w:b/>
          <w:snapToGrid w:val="0"/>
          <w:szCs w:val="24"/>
          <w:lang w:val="es-ES" w:eastAsia="es-ES"/>
        </w:rPr>
        <w:t>4.8.2</w:t>
      </w:r>
      <w:r>
        <w:rPr>
          <w:rFonts w:eastAsia="Times New Roman"/>
          <w:snapToGrid w:val="0"/>
          <w:szCs w:val="24"/>
          <w:lang w:val="es-ES" w:eastAsia="es-ES"/>
        </w:rPr>
        <w:t xml:space="preserve"> las notas a los estados financieros</w:t>
      </w:r>
      <w:r w:rsidRPr="00075897">
        <w:rPr>
          <w:rFonts w:eastAsia="Times New Roman"/>
          <w:snapToGrid w:val="0"/>
          <w:szCs w:val="24"/>
          <w:lang w:val="es-ES" w:eastAsia="es-ES"/>
        </w:rPr>
        <w:t xml:space="preserve"> no revelan el total de Garantías Recibidas cuyo saldo</w:t>
      </w:r>
      <w:r>
        <w:rPr>
          <w:rFonts w:eastAsia="Times New Roman"/>
          <w:snapToGrid w:val="0"/>
          <w:szCs w:val="24"/>
          <w:lang w:val="es-ES" w:eastAsia="es-ES"/>
        </w:rPr>
        <w:t xml:space="preserve"> al 31/12/2017 asciende a $ 722:</w:t>
      </w:r>
      <w:r w:rsidR="00100FEE">
        <w:rPr>
          <w:rFonts w:eastAsia="Times New Roman"/>
          <w:snapToGrid w:val="0"/>
          <w:szCs w:val="24"/>
          <w:lang w:val="es-ES" w:eastAsia="es-ES"/>
        </w:rPr>
        <w:t>722.416.</w:t>
      </w:r>
    </w:p>
    <w:p w:rsidR="00384886" w:rsidRPr="00BB7FA6" w:rsidRDefault="00384886" w:rsidP="00BB7FA6">
      <w:pPr>
        <w:spacing w:after="0" w:line="360" w:lineRule="auto"/>
        <w:ind w:left="567"/>
        <w:rPr>
          <w:rFonts w:eastAsia="Times New Roman"/>
          <w:snapToGrid w:val="0"/>
          <w:szCs w:val="24"/>
          <w:lang w:val="es-ES" w:eastAsia="es-ES"/>
        </w:rPr>
      </w:pPr>
      <w:r>
        <w:rPr>
          <w:rFonts w:eastAsia="Times New Roman"/>
          <w:b/>
          <w:snapToGrid w:val="0"/>
          <w:szCs w:val="24"/>
          <w:lang w:val="es-ES" w:eastAsia="es-ES"/>
        </w:rPr>
        <w:t>4.9</w:t>
      </w:r>
      <w:r w:rsidRPr="00075897">
        <w:rPr>
          <w:rFonts w:eastAsia="Times New Roman"/>
          <w:b/>
          <w:snapToGrid w:val="0"/>
          <w:szCs w:val="24"/>
          <w:lang w:val="es-ES" w:eastAsia="es-ES"/>
        </w:rPr>
        <w:t xml:space="preserve"> Controles d</w:t>
      </w:r>
      <w:r>
        <w:rPr>
          <w:rFonts w:eastAsia="Times New Roman"/>
          <w:b/>
          <w:snapToGrid w:val="0"/>
          <w:szCs w:val="24"/>
          <w:lang w:val="es-ES" w:eastAsia="es-ES"/>
        </w:rPr>
        <w:t>e acuerdo a lo previsto en las L</w:t>
      </w:r>
      <w:r w:rsidR="008F13D6">
        <w:rPr>
          <w:rFonts w:eastAsia="Times New Roman"/>
          <w:b/>
          <w:snapToGrid w:val="0"/>
          <w:szCs w:val="24"/>
          <w:lang w:val="es-ES" w:eastAsia="es-ES"/>
        </w:rPr>
        <w:t>eyes Nº 18.099 y Nº</w:t>
      </w:r>
      <w:r w:rsidRPr="00075897">
        <w:rPr>
          <w:rFonts w:eastAsia="Times New Roman"/>
          <w:b/>
          <w:snapToGrid w:val="0"/>
          <w:szCs w:val="24"/>
          <w:lang w:val="es-ES" w:eastAsia="es-ES"/>
        </w:rPr>
        <w:t xml:space="preserve">18.251 </w:t>
      </w:r>
      <w:r w:rsidR="008F13D6">
        <w:rPr>
          <w:rFonts w:eastAsia="Times New Roman"/>
          <w:b/>
          <w:snapToGrid w:val="0"/>
          <w:szCs w:val="24"/>
          <w:lang w:val="es-ES" w:eastAsia="es-ES"/>
        </w:rPr>
        <w:t>referentes a subcontratos</w:t>
      </w:r>
    </w:p>
    <w:p w:rsidR="00384886" w:rsidRPr="00075897" w:rsidRDefault="00384886" w:rsidP="00075897">
      <w:pPr>
        <w:spacing w:after="0" w:line="360" w:lineRule="auto"/>
        <w:ind w:left="567"/>
        <w:rPr>
          <w:rFonts w:eastAsia="Times New Roman"/>
          <w:snapToGrid w:val="0"/>
          <w:szCs w:val="24"/>
          <w:lang w:val="es-ES" w:eastAsia="es-ES"/>
        </w:rPr>
      </w:pPr>
      <w:r w:rsidRPr="00075897">
        <w:rPr>
          <w:rFonts w:eastAsia="Times New Roman"/>
          <w:snapToGrid w:val="0"/>
          <w:szCs w:val="24"/>
          <w:lang w:val="es-ES" w:eastAsia="es-ES"/>
        </w:rPr>
        <w:t>El “Departamento de Control de Procedimientos y Operaciones” y la “Gerencia de Comercialización” no realizan los procedimientos tendientes a evitar las responsabilidades determinadas en las leyes citadas, con relación a los distintos contratos que se mantienen con las empresas vinculadas, cuando é</w:t>
      </w:r>
      <w:r w:rsidR="008F13D6">
        <w:rPr>
          <w:rFonts w:eastAsia="Times New Roman"/>
          <w:snapToGrid w:val="0"/>
          <w:szCs w:val="24"/>
          <w:lang w:val="es-ES" w:eastAsia="es-ES"/>
        </w:rPr>
        <w:t>stas prestan servicios a ANCAP.</w:t>
      </w:r>
    </w:p>
    <w:p w:rsidR="00384886" w:rsidRPr="00075897" w:rsidRDefault="00384886" w:rsidP="00075897">
      <w:pPr>
        <w:spacing w:after="0" w:line="360" w:lineRule="auto"/>
        <w:ind w:left="567"/>
        <w:rPr>
          <w:rFonts w:eastAsia="Times New Roman"/>
          <w:b/>
          <w:snapToGrid w:val="0"/>
          <w:szCs w:val="24"/>
          <w:lang w:val="es-ES" w:eastAsia="es-ES"/>
        </w:rPr>
      </w:pPr>
      <w:r>
        <w:rPr>
          <w:rFonts w:eastAsia="Times New Roman"/>
          <w:b/>
          <w:snapToGrid w:val="0"/>
          <w:szCs w:val="24"/>
          <w:lang w:val="es-ES" w:eastAsia="es-ES"/>
        </w:rPr>
        <w:t>4.10</w:t>
      </w:r>
      <w:r w:rsidR="008F13D6">
        <w:rPr>
          <w:rFonts w:eastAsia="Times New Roman"/>
          <w:b/>
          <w:snapToGrid w:val="0"/>
          <w:szCs w:val="24"/>
          <w:lang w:val="es-ES" w:eastAsia="es-ES"/>
        </w:rPr>
        <w:t xml:space="preserve"> Adelantos de Sueldos</w:t>
      </w:r>
    </w:p>
    <w:p w:rsidR="00384886" w:rsidRPr="00075897" w:rsidRDefault="00384886" w:rsidP="00E85362">
      <w:pPr>
        <w:spacing w:after="0" w:line="360" w:lineRule="auto"/>
        <w:ind w:left="567"/>
        <w:rPr>
          <w:rFonts w:eastAsia="Times New Roman"/>
          <w:snapToGrid w:val="0"/>
          <w:szCs w:val="24"/>
          <w:lang w:val="es-ES" w:eastAsia="es-ES"/>
        </w:rPr>
      </w:pPr>
      <w:r w:rsidRPr="00621EAC">
        <w:rPr>
          <w:rFonts w:eastAsia="Times New Roman"/>
          <w:b/>
          <w:snapToGrid w:val="0"/>
          <w:szCs w:val="24"/>
          <w:lang w:val="es-ES" w:eastAsia="es-ES"/>
        </w:rPr>
        <w:t>4.10.1</w:t>
      </w:r>
      <w:r w:rsidRPr="00075897">
        <w:rPr>
          <w:rFonts w:eastAsia="Times New Roman"/>
          <w:snapToGrid w:val="0"/>
          <w:szCs w:val="24"/>
          <w:lang w:val="es-ES" w:eastAsia="es-ES"/>
        </w:rPr>
        <w:t xml:space="preserve"> los procedimientos establecidos para otorgar adelantos de sueldos no han sido documentados en Manuales de Procedimientos aprobados </w:t>
      </w:r>
      <w:r>
        <w:rPr>
          <w:rFonts w:eastAsia="Times New Roman"/>
          <w:snapToGrid w:val="0"/>
          <w:szCs w:val="24"/>
          <w:lang w:val="es-ES" w:eastAsia="es-ES"/>
        </w:rPr>
        <w:t xml:space="preserve">por el Directorio </w:t>
      </w:r>
      <w:r w:rsidRPr="00075897">
        <w:rPr>
          <w:rFonts w:eastAsia="Times New Roman"/>
          <w:snapToGrid w:val="0"/>
          <w:szCs w:val="24"/>
          <w:lang w:val="es-ES" w:eastAsia="es-ES"/>
        </w:rPr>
        <w:t>y publicados</w:t>
      </w:r>
      <w:r>
        <w:rPr>
          <w:rFonts w:eastAsia="Times New Roman"/>
          <w:snapToGrid w:val="0"/>
          <w:szCs w:val="24"/>
          <w:lang w:val="es-ES" w:eastAsia="es-ES"/>
        </w:rPr>
        <w:t xml:space="preserve"> para su conocimiento</w:t>
      </w:r>
      <w:r w:rsidR="008F13D6">
        <w:rPr>
          <w:rFonts w:eastAsia="Times New Roman"/>
          <w:snapToGrid w:val="0"/>
          <w:szCs w:val="24"/>
          <w:lang w:val="es-ES" w:eastAsia="es-ES"/>
        </w:rPr>
        <w:t>;</w:t>
      </w:r>
    </w:p>
    <w:p w:rsidR="00384886" w:rsidRPr="009604AE" w:rsidRDefault="00384886" w:rsidP="00E85362">
      <w:pPr>
        <w:spacing w:after="0" w:line="360" w:lineRule="auto"/>
        <w:ind w:left="567"/>
        <w:rPr>
          <w:rFonts w:eastAsia="Times New Roman"/>
          <w:b/>
          <w:i/>
          <w:snapToGrid w:val="0"/>
          <w:szCs w:val="24"/>
          <w:lang w:val="es-ES" w:eastAsia="es-ES"/>
        </w:rPr>
      </w:pPr>
      <w:r w:rsidRPr="00621EAC">
        <w:rPr>
          <w:rFonts w:eastAsia="Times New Roman"/>
          <w:b/>
          <w:snapToGrid w:val="0"/>
          <w:szCs w:val="24"/>
          <w:lang w:val="es-ES" w:eastAsia="es-ES"/>
        </w:rPr>
        <w:t>4.10.2</w:t>
      </w:r>
      <w:r w:rsidRPr="00075897">
        <w:rPr>
          <w:rFonts w:eastAsia="Times New Roman"/>
          <w:snapToGrid w:val="0"/>
          <w:szCs w:val="24"/>
          <w:lang w:val="es-ES" w:eastAsia="es-ES"/>
        </w:rPr>
        <w:t xml:space="preserve"> el saldo contable incluye partidas antiguas no ajustadas </w:t>
      </w:r>
      <w:r>
        <w:rPr>
          <w:rFonts w:eastAsia="Times New Roman"/>
          <w:snapToGrid w:val="0"/>
          <w:szCs w:val="24"/>
          <w:lang w:val="es-ES" w:eastAsia="es-ES"/>
        </w:rPr>
        <w:t xml:space="preserve">poco significativas, de aproximadamente $ 58.500, </w:t>
      </w:r>
      <w:r w:rsidR="008F13D6">
        <w:rPr>
          <w:rFonts w:eastAsia="Times New Roman"/>
          <w:snapToGrid w:val="0"/>
          <w:szCs w:val="24"/>
          <w:lang w:val="es-ES" w:eastAsia="es-ES"/>
        </w:rPr>
        <w:t>que datan del año 2004 al 2014.</w:t>
      </w:r>
    </w:p>
    <w:p w:rsidR="00384886" w:rsidRPr="00075897" w:rsidRDefault="00384886" w:rsidP="00075897">
      <w:pPr>
        <w:spacing w:after="0" w:line="360" w:lineRule="auto"/>
        <w:ind w:left="567"/>
        <w:rPr>
          <w:rFonts w:eastAsia="Times New Roman"/>
          <w:b/>
          <w:snapToGrid w:val="0"/>
          <w:szCs w:val="24"/>
          <w:lang w:val="es-ES" w:eastAsia="es-ES"/>
        </w:rPr>
      </w:pPr>
      <w:r w:rsidRPr="00075897">
        <w:rPr>
          <w:rFonts w:eastAsia="Times New Roman"/>
          <w:b/>
          <w:snapToGrid w:val="0"/>
          <w:szCs w:val="24"/>
          <w:lang w:val="es-ES" w:eastAsia="es-ES"/>
        </w:rPr>
        <w:t>4.1</w:t>
      </w:r>
      <w:r>
        <w:rPr>
          <w:rFonts w:eastAsia="Times New Roman"/>
          <w:b/>
          <w:snapToGrid w:val="0"/>
          <w:szCs w:val="24"/>
          <w:lang w:val="es-ES" w:eastAsia="es-ES"/>
        </w:rPr>
        <w:t>1</w:t>
      </w:r>
      <w:r w:rsidRPr="00075897">
        <w:rPr>
          <w:rFonts w:eastAsia="Times New Roman"/>
          <w:b/>
          <w:snapToGrid w:val="0"/>
          <w:szCs w:val="24"/>
          <w:lang w:val="es-ES" w:eastAsia="es-ES"/>
        </w:rPr>
        <w:t xml:space="preserve"> Verificación contable del cumplimiento normativo relacionado con </w:t>
      </w:r>
      <w:r>
        <w:rPr>
          <w:rFonts w:eastAsia="Times New Roman"/>
          <w:b/>
          <w:snapToGrid w:val="0"/>
          <w:szCs w:val="24"/>
          <w:lang w:val="es-ES" w:eastAsia="es-ES"/>
        </w:rPr>
        <w:t xml:space="preserve">las </w:t>
      </w:r>
      <w:r w:rsidRPr="00075897">
        <w:rPr>
          <w:rFonts w:eastAsia="Times New Roman"/>
          <w:b/>
          <w:snapToGrid w:val="0"/>
          <w:szCs w:val="24"/>
          <w:lang w:val="es-ES" w:eastAsia="es-ES"/>
        </w:rPr>
        <w:t>contrataci</w:t>
      </w:r>
      <w:r>
        <w:rPr>
          <w:rFonts w:eastAsia="Times New Roman"/>
          <w:b/>
          <w:snapToGrid w:val="0"/>
          <w:szCs w:val="24"/>
          <w:lang w:val="es-ES" w:eastAsia="es-ES"/>
        </w:rPr>
        <w:t xml:space="preserve">ones </w:t>
      </w:r>
      <w:r w:rsidRPr="002D56ED">
        <w:rPr>
          <w:rFonts w:eastAsia="Times New Roman"/>
          <w:b/>
          <w:snapToGrid w:val="0"/>
          <w:szCs w:val="24"/>
          <w:lang w:val="es-ES" w:eastAsia="es-ES"/>
        </w:rPr>
        <w:t>con los medios de SECAN</w:t>
      </w:r>
    </w:p>
    <w:p w:rsidR="00384886" w:rsidRPr="00075897" w:rsidRDefault="00384886" w:rsidP="00075897">
      <w:pPr>
        <w:spacing w:after="0" w:line="360" w:lineRule="auto"/>
        <w:ind w:left="567"/>
        <w:rPr>
          <w:rFonts w:eastAsia="Times New Roman"/>
          <w:snapToGrid w:val="0"/>
          <w:szCs w:val="24"/>
          <w:lang w:val="es-ES" w:eastAsia="es-ES"/>
        </w:rPr>
      </w:pPr>
      <w:r w:rsidRPr="00075897">
        <w:rPr>
          <w:rFonts w:eastAsia="Times New Roman"/>
          <w:snapToGrid w:val="0"/>
          <w:szCs w:val="24"/>
          <w:lang w:val="es-ES" w:eastAsia="es-ES"/>
        </w:rPr>
        <w:t xml:space="preserve">En el </w:t>
      </w:r>
      <w:r>
        <w:rPr>
          <w:rFonts w:eastAsia="Times New Roman"/>
          <w:snapToGrid w:val="0"/>
          <w:szCs w:val="24"/>
          <w:lang w:val="es-ES" w:eastAsia="es-ES"/>
        </w:rPr>
        <w:t>P</w:t>
      </w:r>
      <w:r w:rsidRPr="00075897">
        <w:rPr>
          <w:rFonts w:eastAsia="Times New Roman"/>
          <w:snapToGrid w:val="0"/>
          <w:szCs w:val="24"/>
          <w:lang w:val="es-ES" w:eastAsia="es-ES"/>
        </w:rPr>
        <w:t xml:space="preserve">lan de </w:t>
      </w:r>
      <w:r>
        <w:rPr>
          <w:rFonts w:eastAsia="Times New Roman"/>
          <w:snapToGrid w:val="0"/>
          <w:szCs w:val="24"/>
          <w:lang w:val="es-ES" w:eastAsia="es-ES"/>
        </w:rPr>
        <w:t>C</w:t>
      </w:r>
      <w:r w:rsidRPr="00075897">
        <w:rPr>
          <w:rFonts w:eastAsia="Times New Roman"/>
          <w:snapToGrid w:val="0"/>
          <w:szCs w:val="24"/>
          <w:lang w:val="es-ES" w:eastAsia="es-ES"/>
        </w:rPr>
        <w:t>uentas no existe un rubro específico para publicidad radial y televisiva a efectos de mejorar el control interno, con relación al cumplimiento del Art</w:t>
      </w:r>
      <w:r>
        <w:rPr>
          <w:rFonts w:eastAsia="Times New Roman"/>
          <w:snapToGrid w:val="0"/>
          <w:szCs w:val="24"/>
          <w:lang w:val="es-ES" w:eastAsia="es-ES"/>
        </w:rPr>
        <w:t>ículo</w:t>
      </w:r>
      <w:r w:rsidRPr="00075897">
        <w:rPr>
          <w:rFonts w:eastAsia="Times New Roman"/>
          <w:snapToGrid w:val="0"/>
          <w:szCs w:val="24"/>
          <w:lang w:val="es-ES" w:eastAsia="es-ES"/>
        </w:rPr>
        <w:t xml:space="preserve"> </w:t>
      </w:r>
      <w:r>
        <w:rPr>
          <w:rFonts w:eastAsia="Times New Roman"/>
          <w:snapToGrid w:val="0"/>
          <w:szCs w:val="24"/>
          <w:lang w:val="es-ES" w:eastAsia="es-ES"/>
        </w:rPr>
        <w:t>1</w:t>
      </w:r>
      <w:r w:rsidRPr="00075897">
        <w:rPr>
          <w:rFonts w:eastAsia="Times New Roman"/>
          <w:snapToGrid w:val="0"/>
          <w:szCs w:val="24"/>
          <w:lang w:val="es-ES" w:eastAsia="es-ES"/>
        </w:rPr>
        <w:t>7 de la Ley 17.904, Art</w:t>
      </w:r>
      <w:r>
        <w:rPr>
          <w:rFonts w:eastAsia="Times New Roman"/>
          <w:snapToGrid w:val="0"/>
          <w:szCs w:val="24"/>
          <w:lang w:val="es-ES" w:eastAsia="es-ES"/>
        </w:rPr>
        <w:t>ículo 22</w:t>
      </w:r>
      <w:r w:rsidRPr="00075897">
        <w:rPr>
          <w:rFonts w:eastAsia="Times New Roman"/>
          <w:snapToGrid w:val="0"/>
          <w:szCs w:val="24"/>
          <w:lang w:val="es-ES" w:eastAsia="es-ES"/>
        </w:rPr>
        <w:t>6 de la Le</w:t>
      </w:r>
      <w:r w:rsidR="008F13D6">
        <w:rPr>
          <w:rFonts w:eastAsia="Times New Roman"/>
          <w:snapToGrid w:val="0"/>
          <w:szCs w:val="24"/>
          <w:lang w:val="es-ES" w:eastAsia="es-ES"/>
        </w:rPr>
        <w:t>y 18.172 y Decreto 278/006.</w:t>
      </w:r>
    </w:p>
    <w:p w:rsidR="00384886" w:rsidRPr="00075897" w:rsidRDefault="00384886" w:rsidP="00075897">
      <w:pPr>
        <w:spacing w:after="0" w:line="360" w:lineRule="auto"/>
        <w:ind w:left="567"/>
        <w:rPr>
          <w:rFonts w:eastAsia="Times New Roman"/>
          <w:b/>
          <w:snapToGrid w:val="0"/>
          <w:szCs w:val="24"/>
          <w:lang w:val="es-ES" w:eastAsia="es-ES"/>
        </w:rPr>
      </w:pPr>
      <w:r w:rsidRPr="00075897">
        <w:rPr>
          <w:rFonts w:eastAsia="Times New Roman"/>
          <w:b/>
          <w:snapToGrid w:val="0"/>
          <w:szCs w:val="24"/>
          <w:lang w:val="es-ES" w:eastAsia="es-ES"/>
        </w:rPr>
        <w:t>4.1</w:t>
      </w:r>
      <w:r>
        <w:rPr>
          <w:rFonts w:eastAsia="Times New Roman"/>
          <w:b/>
          <w:snapToGrid w:val="0"/>
          <w:szCs w:val="24"/>
          <w:lang w:val="es-ES" w:eastAsia="es-ES"/>
        </w:rPr>
        <w:t>2</w:t>
      </w:r>
      <w:r w:rsidRPr="00075897">
        <w:rPr>
          <w:rFonts w:eastAsia="Times New Roman"/>
          <w:b/>
          <w:snapToGrid w:val="0"/>
          <w:szCs w:val="24"/>
          <w:lang w:val="es-ES" w:eastAsia="es-ES"/>
        </w:rPr>
        <w:t xml:space="preserve"> Liquidación</w:t>
      </w:r>
      <w:r>
        <w:rPr>
          <w:rFonts w:eastAsia="Times New Roman"/>
          <w:b/>
          <w:snapToGrid w:val="0"/>
          <w:szCs w:val="24"/>
          <w:lang w:val="es-ES" w:eastAsia="es-ES"/>
        </w:rPr>
        <w:t xml:space="preserve"> de</w:t>
      </w:r>
      <w:r w:rsidRPr="00075897">
        <w:rPr>
          <w:rFonts w:eastAsia="Times New Roman"/>
          <w:b/>
          <w:snapToGrid w:val="0"/>
          <w:szCs w:val="24"/>
          <w:lang w:val="es-ES" w:eastAsia="es-ES"/>
        </w:rPr>
        <w:t xml:space="preserve"> retenciones </w:t>
      </w:r>
      <w:r>
        <w:rPr>
          <w:rFonts w:eastAsia="Times New Roman"/>
          <w:b/>
          <w:snapToGrid w:val="0"/>
          <w:szCs w:val="24"/>
          <w:lang w:val="es-ES" w:eastAsia="es-ES"/>
        </w:rPr>
        <w:t xml:space="preserve">de </w:t>
      </w:r>
      <w:r w:rsidR="008F13D6">
        <w:rPr>
          <w:rFonts w:eastAsia="Times New Roman"/>
          <w:b/>
          <w:snapToGrid w:val="0"/>
          <w:szCs w:val="24"/>
          <w:lang w:val="es-ES" w:eastAsia="es-ES"/>
        </w:rPr>
        <w:t>IRPF</w:t>
      </w:r>
    </w:p>
    <w:p w:rsidR="00384886" w:rsidRPr="00876578" w:rsidRDefault="00384886" w:rsidP="00075897">
      <w:pPr>
        <w:spacing w:after="0" w:line="360" w:lineRule="auto"/>
        <w:ind w:left="567"/>
        <w:rPr>
          <w:rFonts w:eastAsia="Times New Roman"/>
          <w:i/>
          <w:snapToGrid w:val="0"/>
          <w:szCs w:val="24"/>
          <w:lang w:val="es-ES" w:eastAsia="es-ES"/>
        </w:rPr>
      </w:pPr>
      <w:r w:rsidRPr="00075897">
        <w:rPr>
          <w:rFonts w:eastAsia="Times New Roman"/>
          <w:snapToGrid w:val="0"/>
          <w:szCs w:val="24"/>
          <w:lang w:val="es-ES" w:eastAsia="es-ES"/>
        </w:rPr>
        <w:t xml:space="preserve">La liquidación de las retenciones por concepto de IRPF del personal dependiente, </w:t>
      </w:r>
      <w:r>
        <w:rPr>
          <w:rFonts w:eastAsia="Times New Roman"/>
          <w:snapToGrid w:val="0"/>
          <w:szCs w:val="24"/>
          <w:lang w:val="es-ES" w:eastAsia="es-ES"/>
        </w:rPr>
        <w:t>difiere en todos los meses del E</w:t>
      </w:r>
      <w:r w:rsidRPr="00075897">
        <w:rPr>
          <w:rFonts w:eastAsia="Times New Roman"/>
          <w:snapToGrid w:val="0"/>
          <w:szCs w:val="24"/>
          <w:lang w:val="es-ES" w:eastAsia="es-ES"/>
        </w:rPr>
        <w:t>jercicio a estudio, de la factura que emite el BPS, las que no son verificadas para su corrección. A través del análisis de los registros contables de</w:t>
      </w:r>
      <w:r>
        <w:rPr>
          <w:rFonts w:eastAsia="Times New Roman"/>
          <w:snapToGrid w:val="0"/>
          <w:szCs w:val="24"/>
          <w:lang w:val="es-ES" w:eastAsia="es-ES"/>
        </w:rPr>
        <w:t>l rubro</w:t>
      </w:r>
      <w:r w:rsidRPr="00075897">
        <w:rPr>
          <w:rFonts w:eastAsia="Times New Roman"/>
          <w:snapToGrid w:val="0"/>
          <w:szCs w:val="24"/>
          <w:lang w:val="es-ES" w:eastAsia="es-ES"/>
        </w:rPr>
        <w:t xml:space="preserve"> IRPF a Pagar se determinó que por las diferencias constatadas se realizan ajustes que </w:t>
      </w:r>
      <w:r w:rsidRPr="00876578">
        <w:rPr>
          <w:rFonts w:eastAsia="Times New Roman"/>
          <w:snapToGrid w:val="0"/>
          <w:szCs w:val="24"/>
          <w:lang w:val="es-ES" w:eastAsia="es-ES"/>
        </w:rPr>
        <w:t>se imputan a</w:t>
      </w:r>
      <w:r>
        <w:rPr>
          <w:rFonts w:eastAsia="Times New Roman"/>
          <w:snapToGrid w:val="0"/>
          <w:szCs w:val="24"/>
          <w:lang w:val="es-ES" w:eastAsia="es-ES"/>
        </w:rPr>
        <w:t xml:space="preserve"> rubros de G</w:t>
      </w:r>
      <w:r w:rsidRPr="00075897">
        <w:rPr>
          <w:rFonts w:eastAsia="Times New Roman"/>
          <w:snapToGrid w:val="0"/>
          <w:szCs w:val="24"/>
          <w:lang w:val="es-ES" w:eastAsia="es-ES"/>
        </w:rPr>
        <w:t xml:space="preserve">astos </w:t>
      </w:r>
      <w:r>
        <w:rPr>
          <w:rFonts w:eastAsia="Times New Roman"/>
          <w:snapToGrid w:val="0"/>
          <w:szCs w:val="24"/>
          <w:lang w:val="es-ES" w:eastAsia="es-ES"/>
        </w:rPr>
        <w:t>Diversos y C</w:t>
      </w:r>
      <w:r w:rsidRPr="00075897">
        <w:rPr>
          <w:rFonts w:eastAsia="Times New Roman"/>
          <w:snapToGrid w:val="0"/>
          <w:szCs w:val="24"/>
          <w:lang w:val="es-ES" w:eastAsia="es-ES"/>
        </w:rPr>
        <w:t>ostos</w:t>
      </w:r>
      <w:r>
        <w:rPr>
          <w:rFonts w:eastAsia="Times New Roman"/>
          <w:snapToGrid w:val="0"/>
          <w:szCs w:val="24"/>
          <w:lang w:val="es-ES" w:eastAsia="es-ES"/>
        </w:rPr>
        <w:t xml:space="preserve"> por un importe que ascendió a $ 3:239.771</w:t>
      </w:r>
      <w:r w:rsidRPr="00735468">
        <w:rPr>
          <w:rFonts w:eastAsia="Times New Roman"/>
          <w:snapToGrid w:val="0"/>
          <w:szCs w:val="24"/>
          <w:lang w:val="es-ES" w:eastAsia="es-ES"/>
        </w:rPr>
        <w:t xml:space="preserve"> </w:t>
      </w:r>
      <w:r>
        <w:rPr>
          <w:rFonts w:eastAsia="Times New Roman"/>
          <w:snapToGrid w:val="0"/>
          <w:szCs w:val="24"/>
          <w:lang w:val="es-ES" w:eastAsia="es-ES"/>
        </w:rPr>
        <w:t>en el E</w:t>
      </w:r>
      <w:r w:rsidRPr="007C6BA1">
        <w:rPr>
          <w:rFonts w:eastAsia="Times New Roman"/>
          <w:snapToGrid w:val="0"/>
          <w:szCs w:val="24"/>
          <w:lang w:val="es-ES" w:eastAsia="es-ES"/>
        </w:rPr>
        <w:t>jercicio 2017</w:t>
      </w:r>
      <w:r w:rsidRPr="007C6BA1">
        <w:rPr>
          <w:rFonts w:eastAsia="Times New Roman" w:cs="Arial"/>
          <w:i/>
          <w:snapToGrid w:val="0"/>
          <w:szCs w:val="24"/>
          <w:lang w:val="es-ES" w:eastAsia="es-ES"/>
        </w:rPr>
        <w:t>.</w:t>
      </w:r>
    </w:p>
    <w:p w:rsidR="00384886" w:rsidRPr="00075897" w:rsidRDefault="00384886" w:rsidP="00075897">
      <w:pPr>
        <w:spacing w:after="0" w:line="360" w:lineRule="auto"/>
        <w:rPr>
          <w:rFonts w:eastAsia="Times New Roman"/>
          <w:b/>
          <w:snapToGrid w:val="0"/>
          <w:szCs w:val="24"/>
          <w:lang w:val="es-ES" w:eastAsia="es-ES"/>
        </w:rPr>
      </w:pPr>
    </w:p>
    <w:p w:rsidR="00384886" w:rsidRPr="00075897" w:rsidRDefault="008F13D6" w:rsidP="00075897">
      <w:pPr>
        <w:spacing w:after="0" w:line="360" w:lineRule="auto"/>
        <w:rPr>
          <w:rFonts w:eastAsia="Times New Roman"/>
          <w:b/>
          <w:snapToGrid w:val="0"/>
          <w:szCs w:val="24"/>
          <w:lang w:val="es-ES" w:eastAsia="es-ES"/>
        </w:rPr>
      </w:pPr>
      <w:r>
        <w:rPr>
          <w:rFonts w:eastAsia="Times New Roman"/>
          <w:b/>
          <w:snapToGrid w:val="0"/>
          <w:szCs w:val="24"/>
          <w:lang w:val="es-ES" w:eastAsia="es-ES"/>
        </w:rPr>
        <w:t>5. Otras constataciones.</w:t>
      </w:r>
    </w:p>
    <w:p w:rsidR="00384886" w:rsidRPr="00075897" w:rsidRDefault="00384886" w:rsidP="00075897">
      <w:pPr>
        <w:spacing w:after="0" w:line="360" w:lineRule="auto"/>
        <w:rPr>
          <w:rFonts w:eastAsia="Times New Roman"/>
          <w:b/>
          <w:snapToGrid w:val="0"/>
          <w:szCs w:val="24"/>
          <w:lang w:val="es-ES" w:eastAsia="es-ES"/>
        </w:rPr>
      </w:pPr>
      <w:r w:rsidRPr="00075897">
        <w:rPr>
          <w:rFonts w:eastAsia="Times New Roman"/>
          <w:b/>
          <w:snapToGrid w:val="0"/>
          <w:szCs w:val="24"/>
          <w:lang w:val="es-ES" w:eastAsia="es-ES"/>
        </w:rPr>
        <w:t>5.</w:t>
      </w:r>
      <w:r>
        <w:rPr>
          <w:rFonts w:eastAsia="Times New Roman"/>
          <w:b/>
          <w:snapToGrid w:val="0"/>
          <w:szCs w:val="24"/>
          <w:lang w:val="es-ES" w:eastAsia="es-ES"/>
        </w:rPr>
        <w:t>1</w:t>
      </w:r>
      <w:r w:rsidR="008F13D6">
        <w:rPr>
          <w:rFonts w:eastAsia="Times New Roman"/>
          <w:b/>
          <w:snapToGrid w:val="0"/>
          <w:szCs w:val="24"/>
          <w:lang w:val="es-ES" w:eastAsia="es-ES"/>
        </w:rPr>
        <w:t xml:space="preserve"> Anticipos por compras</w:t>
      </w:r>
    </w:p>
    <w:p w:rsidR="00384886" w:rsidRPr="0024767E" w:rsidRDefault="00384886" w:rsidP="00075897">
      <w:pPr>
        <w:spacing w:after="0" w:line="360" w:lineRule="auto"/>
        <w:rPr>
          <w:rFonts w:eastAsia="Times New Roman"/>
          <w:snapToGrid w:val="0"/>
          <w:szCs w:val="24"/>
          <w:lang w:val="es-ES" w:eastAsia="es-ES"/>
        </w:rPr>
      </w:pPr>
      <w:r w:rsidRPr="0024767E">
        <w:rPr>
          <w:rFonts w:eastAsia="Times New Roman"/>
          <w:snapToGrid w:val="0"/>
          <w:szCs w:val="24"/>
          <w:lang w:val="es-ES" w:eastAsia="es-ES"/>
        </w:rPr>
        <w:t>El rubro “Anticipos por seguros”, se encuentra sobrevaluado por los saldos vencidos d</w:t>
      </w:r>
      <w:r>
        <w:rPr>
          <w:rFonts w:eastAsia="Times New Roman"/>
          <w:snapToGrid w:val="0"/>
          <w:szCs w:val="24"/>
          <w:lang w:val="es-ES" w:eastAsia="es-ES"/>
        </w:rPr>
        <w:t>e los seguros: “Barcaza Garzas V</w:t>
      </w:r>
      <w:r w:rsidRPr="0024767E">
        <w:rPr>
          <w:rFonts w:eastAsia="Times New Roman"/>
          <w:snapToGrid w:val="0"/>
          <w:szCs w:val="24"/>
          <w:lang w:val="es-ES" w:eastAsia="es-ES"/>
        </w:rPr>
        <w:t xml:space="preserve">iajeras”, “Barcaza Río de los Pájaros”, “Casco </w:t>
      </w:r>
      <w:proofErr w:type="spellStart"/>
      <w:r w:rsidRPr="0024767E">
        <w:rPr>
          <w:rFonts w:eastAsia="Times New Roman"/>
          <w:snapToGrid w:val="0"/>
          <w:szCs w:val="24"/>
          <w:lang w:val="es-ES" w:eastAsia="es-ES"/>
        </w:rPr>
        <w:t>Kichororó</w:t>
      </w:r>
      <w:proofErr w:type="spellEnd"/>
      <w:r w:rsidRPr="0024767E">
        <w:rPr>
          <w:rFonts w:eastAsia="Times New Roman"/>
          <w:snapToGrid w:val="0"/>
          <w:szCs w:val="24"/>
          <w:lang w:val="es-ES" w:eastAsia="es-ES"/>
        </w:rPr>
        <w:t>”, “Casco ANCAP VII VIII y IX” y “</w:t>
      </w:r>
      <w:r w:rsidR="008F13D6">
        <w:rPr>
          <w:rFonts w:eastAsia="Times New Roman"/>
          <w:snapToGrid w:val="0"/>
          <w:szCs w:val="24"/>
          <w:lang w:val="es-ES" w:eastAsia="es-ES"/>
        </w:rPr>
        <w:t>Todo Riesgo Operativo y Civil”.</w:t>
      </w:r>
    </w:p>
    <w:p w:rsidR="00384886" w:rsidRPr="0024767E" w:rsidRDefault="00384886" w:rsidP="00075897">
      <w:pPr>
        <w:spacing w:after="0" w:line="360" w:lineRule="auto"/>
        <w:rPr>
          <w:rFonts w:eastAsia="Times New Roman"/>
          <w:b/>
          <w:snapToGrid w:val="0"/>
          <w:szCs w:val="24"/>
          <w:lang w:val="es-ES" w:eastAsia="es-ES"/>
        </w:rPr>
      </w:pPr>
      <w:r w:rsidRPr="0024767E">
        <w:rPr>
          <w:rFonts w:eastAsia="Times New Roman"/>
          <w:b/>
          <w:snapToGrid w:val="0"/>
          <w:szCs w:val="24"/>
          <w:lang w:val="es-ES" w:eastAsia="es-ES"/>
        </w:rPr>
        <w:t>5.</w:t>
      </w:r>
      <w:r>
        <w:rPr>
          <w:rFonts w:eastAsia="Times New Roman"/>
          <w:b/>
          <w:snapToGrid w:val="0"/>
          <w:szCs w:val="24"/>
          <w:lang w:val="es-ES" w:eastAsia="es-ES"/>
        </w:rPr>
        <w:t>2</w:t>
      </w:r>
      <w:r w:rsidR="008F13D6">
        <w:rPr>
          <w:rFonts w:eastAsia="Times New Roman"/>
          <w:b/>
          <w:snapToGrid w:val="0"/>
          <w:szCs w:val="24"/>
          <w:lang w:val="es-ES" w:eastAsia="es-ES"/>
        </w:rPr>
        <w:t xml:space="preserve"> Garantías otorgadas</w:t>
      </w:r>
    </w:p>
    <w:p w:rsidR="00384886" w:rsidRDefault="00384886" w:rsidP="00075897">
      <w:pPr>
        <w:spacing w:after="0" w:line="360" w:lineRule="auto"/>
        <w:rPr>
          <w:rFonts w:eastAsia="Times New Roman"/>
          <w:snapToGrid w:val="0"/>
          <w:szCs w:val="24"/>
          <w:lang w:val="es-ES" w:eastAsia="es-ES"/>
        </w:rPr>
      </w:pPr>
      <w:r w:rsidRPr="00A11F61">
        <w:rPr>
          <w:rFonts w:eastAsia="Times New Roman"/>
          <w:snapToGrid w:val="0"/>
          <w:szCs w:val="24"/>
          <w:lang w:val="es-ES" w:eastAsia="es-ES"/>
        </w:rPr>
        <w:t xml:space="preserve">Las garantías otorgadas por las empresas vinculadas “extra- grupo”, que se exponen en Notas a los Estados Financieros Consolidados no coinciden con las expuestas </w:t>
      </w:r>
      <w:r>
        <w:rPr>
          <w:rFonts w:eastAsia="Times New Roman"/>
          <w:snapToGrid w:val="0"/>
          <w:szCs w:val="24"/>
          <w:lang w:val="es-ES" w:eastAsia="es-ES"/>
        </w:rPr>
        <w:t xml:space="preserve">por dichas empresas </w:t>
      </w:r>
      <w:r w:rsidRPr="00A11F61">
        <w:rPr>
          <w:rFonts w:eastAsia="Times New Roman"/>
          <w:snapToGrid w:val="0"/>
          <w:szCs w:val="24"/>
          <w:lang w:val="es-ES" w:eastAsia="es-ES"/>
        </w:rPr>
        <w:t>en sus estados financieros individuales.</w:t>
      </w:r>
    </w:p>
    <w:p w:rsidR="00384886" w:rsidRPr="008F13D6" w:rsidRDefault="00384886" w:rsidP="00384886">
      <w:pPr>
        <w:pStyle w:val="Prrafodelista"/>
        <w:numPr>
          <w:ilvl w:val="1"/>
          <w:numId w:val="11"/>
        </w:numPr>
        <w:tabs>
          <w:tab w:val="left" w:pos="426"/>
        </w:tabs>
        <w:autoSpaceDE w:val="0"/>
        <w:autoSpaceDN w:val="0"/>
        <w:adjustRightInd w:val="0"/>
        <w:spacing w:after="0" w:line="360" w:lineRule="auto"/>
        <w:jc w:val="both"/>
        <w:rPr>
          <w:rFonts w:ascii="Arial" w:hAnsi="Arial" w:cs="Arial"/>
          <w:b/>
          <w:sz w:val="24"/>
          <w:szCs w:val="24"/>
          <w:lang w:val="es-ES" w:eastAsia="es-ES"/>
        </w:rPr>
      </w:pPr>
      <w:r w:rsidRPr="008F13D6">
        <w:rPr>
          <w:rFonts w:ascii="Arial" w:hAnsi="Arial" w:cs="Arial"/>
          <w:b/>
          <w:sz w:val="24"/>
          <w:szCs w:val="24"/>
          <w:lang w:val="es-ES" w:eastAsia="es-ES"/>
        </w:rPr>
        <w:t>Resultado de la ejecución presupuestal</w:t>
      </w:r>
    </w:p>
    <w:p w:rsidR="00384886" w:rsidRPr="008F13D6" w:rsidRDefault="00384886" w:rsidP="0060056F">
      <w:pPr>
        <w:pStyle w:val="Prrafodelista"/>
        <w:autoSpaceDE w:val="0"/>
        <w:autoSpaceDN w:val="0"/>
        <w:adjustRightInd w:val="0"/>
        <w:spacing w:after="0" w:line="360" w:lineRule="auto"/>
        <w:ind w:left="0"/>
        <w:jc w:val="both"/>
        <w:rPr>
          <w:rFonts w:ascii="Arial" w:hAnsi="Arial" w:cs="Arial"/>
          <w:sz w:val="24"/>
          <w:szCs w:val="24"/>
          <w:lang w:val="es-ES_tradnl"/>
        </w:rPr>
      </w:pPr>
      <w:r w:rsidRPr="008F13D6">
        <w:rPr>
          <w:rFonts w:ascii="Arial" w:hAnsi="Arial" w:cs="Arial"/>
          <w:sz w:val="24"/>
          <w:szCs w:val="24"/>
          <w:lang w:val="es-ES_tradnl"/>
        </w:rPr>
        <w:t>E</w:t>
      </w:r>
      <w:r w:rsidRPr="008F13D6">
        <w:rPr>
          <w:rFonts w:ascii="Arial" w:hAnsi="Arial" w:cs="Arial"/>
          <w:sz w:val="24"/>
          <w:szCs w:val="24"/>
        </w:rPr>
        <w:t>n l</w:t>
      </w:r>
      <w:r w:rsidRPr="008F13D6">
        <w:rPr>
          <w:rFonts w:ascii="Arial" w:hAnsi="Arial" w:cs="Arial"/>
          <w:sz w:val="24"/>
          <w:szCs w:val="24"/>
          <w:lang w:val="es-ES_tradnl"/>
        </w:rPr>
        <w:t>a Resolución de Directorio Nº 230/3/2018 de fecha 19 de marzo de 2018  (Exp.250834/10), aprobatoria de la Ejecución Presupuestal, no se deja expresa constancia del resultado del Balance de Ejecución Presupuestal.</w:t>
      </w:r>
    </w:p>
    <w:p w:rsidR="00384886" w:rsidRPr="008F13D6" w:rsidRDefault="00384886" w:rsidP="0060056F">
      <w:pPr>
        <w:pStyle w:val="Prrafodelista"/>
        <w:autoSpaceDE w:val="0"/>
        <w:autoSpaceDN w:val="0"/>
        <w:adjustRightInd w:val="0"/>
        <w:spacing w:after="0" w:line="360" w:lineRule="auto"/>
        <w:ind w:left="0"/>
        <w:jc w:val="both"/>
        <w:rPr>
          <w:rFonts w:ascii="Arial" w:hAnsi="Arial" w:cs="Arial"/>
          <w:b/>
          <w:sz w:val="24"/>
          <w:szCs w:val="24"/>
          <w:lang w:val="es-ES" w:eastAsia="es-ES"/>
        </w:rPr>
      </w:pPr>
      <w:r w:rsidRPr="008F13D6">
        <w:rPr>
          <w:rFonts w:ascii="Arial" w:hAnsi="Arial" w:cs="Arial"/>
          <w:b/>
          <w:sz w:val="24"/>
          <w:szCs w:val="24"/>
          <w:lang w:val="es-ES" w:eastAsia="es-ES"/>
        </w:rPr>
        <w:t>5.4 Ingresos propios y Financiamiento</w:t>
      </w:r>
    </w:p>
    <w:p w:rsidR="00384886" w:rsidRPr="008F13D6" w:rsidRDefault="00384886" w:rsidP="0060056F">
      <w:pPr>
        <w:pStyle w:val="Prrafodelista"/>
        <w:autoSpaceDE w:val="0"/>
        <w:autoSpaceDN w:val="0"/>
        <w:adjustRightInd w:val="0"/>
        <w:spacing w:after="0" w:line="360" w:lineRule="auto"/>
        <w:ind w:left="0"/>
        <w:jc w:val="both"/>
        <w:rPr>
          <w:rFonts w:ascii="Arial" w:hAnsi="Arial" w:cs="Arial"/>
          <w:sz w:val="24"/>
          <w:szCs w:val="24"/>
          <w:lang w:val="es-ES" w:eastAsia="es-ES"/>
        </w:rPr>
      </w:pPr>
      <w:r w:rsidRPr="008F13D6">
        <w:rPr>
          <w:rFonts w:ascii="Arial" w:hAnsi="Arial" w:cs="Arial"/>
          <w:b/>
          <w:sz w:val="24"/>
          <w:szCs w:val="24"/>
          <w:lang w:val="es-ES" w:eastAsia="es-ES"/>
        </w:rPr>
        <w:t>5.4.1</w:t>
      </w:r>
      <w:r w:rsidRPr="008F13D6">
        <w:rPr>
          <w:rFonts w:ascii="Arial" w:hAnsi="Arial" w:cs="Arial"/>
          <w:sz w:val="24"/>
          <w:szCs w:val="24"/>
          <w:lang w:val="es-ES" w:eastAsia="es-ES"/>
        </w:rPr>
        <w:t xml:space="preserve"> los Fletes de embarques de importaciones FOB se imputaron en el Ejercicio en forma duplicada por $ 109:119.367. Para compensar esta situación se realiza un ajuste contra una cuenta de ingresos denominada “Otros Ingresos”, ocasionando una sobrevaluación de los recursos propios y de los gastos;</w:t>
      </w:r>
    </w:p>
    <w:p w:rsidR="00384886" w:rsidRPr="008F13D6" w:rsidRDefault="00384886" w:rsidP="0060056F">
      <w:pPr>
        <w:pStyle w:val="Prrafodelista"/>
        <w:autoSpaceDE w:val="0"/>
        <w:autoSpaceDN w:val="0"/>
        <w:adjustRightInd w:val="0"/>
        <w:spacing w:after="0" w:line="360" w:lineRule="auto"/>
        <w:ind w:left="0"/>
        <w:jc w:val="both"/>
        <w:rPr>
          <w:rFonts w:ascii="Arial" w:hAnsi="Arial" w:cs="Arial"/>
          <w:sz w:val="24"/>
          <w:szCs w:val="24"/>
          <w:lang w:val="es-ES" w:eastAsia="es-ES"/>
        </w:rPr>
      </w:pPr>
      <w:r w:rsidRPr="008F13D6">
        <w:rPr>
          <w:rFonts w:ascii="Arial" w:hAnsi="Arial" w:cs="Arial"/>
          <w:b/>
          <w:sz w:val="24"/>
          <w:szCs w:val="24"/>
          <w:lang w:val="es-ES" w:eastAsia="es-ES"/>
        </w:rPr>
        <w:t>5.4.2</w:t>
      </w:r>
      <w:r w:rsidRPr="008F13D6">
        <w:rPr>
          <w:rFonts w:ascii="Arial" w:hAnsi="Arial" w:cs="Arial"/>
          <w:sz w:val="24"/>
          <w:szCs w:val="24"/>
          <w:lang w:val="es-ES" w:eastAsia="es-ES"/>
        </w:rPr>
        <w:t xml:space="preserve"> </w:t>
      </w:r>
      <w:r w:rsidRPr="008F13D6">
        <w:rPr>
          <w:rFonts w:ascii="Arial" w:hAnsi="Arial" w:cs="Arial"/>
          <w:sz w:val="24"/>
          <w:szCs w:val="24"/>
          <w:lang w:val="es-ES_tradnl" w:eastAsia="es-ES"/>
        </w:rPr>
        <w:t>l</w:t>
      </w:r>
      <w:r w:rsidRPr="008F13D6">
        <w:rPr>
          <w:rFonts w:ascii="Arial" w:hAnsi="Arial" w:cs="Arial"/>
          <w:sz w:val="24"/>
          <w:szCs w:val="24"/>
          <w:lang w:val="es-ES" w:eastAsia="es-ES"/>
        </w:rPr>
        <w:t xml:space="preserve">os recursos de financiamiento bancario que se exponen por un importe de $ </w:t>
      </w:r>
      <w:r w:rsidRPr="008F13D6">
        <w:rPr>
          <w:rFonts w:ascii="Arial" w:hAnsi="Arial" w:cs="Arial"/>
          <w:color w:val="000000"/>
          <w:sz w:val="24"/>
          <w:szCs w:val="24"/>
        </w:rPr>
        <w:t xml:space="preserve">4.032:042.428,00 </w:t>
      </w:r>
      <w:r w:rsidRPr="008F13D6">
        <w:rPr>
          <w:rFonts w:ascii="Arial" w:hAnsi="Arial" w:cs="Arial"/>
          <w:sz w:val="24"/>
          <w:szCs w:val="24"/>
          <w:lang w:val="es-ES" w:eastAsia="es-ES"/>
        </w:rPr>
        <w:t>incluyen partidas que no corresponden a dicho concepto por  $</w:t>
      </w:r>
      <w:r w:rsidRPr="008F13D6">
        <w:rPr>
          <w:rFonts w:ascii="Arial" w:hAnsi="Arial" w:cs="Arial"/>
          <w:sz w:val="24"/>
          <w:szCs w:val="24"/>
        </w:rPr>
        <w:t xml:space="preserve"> 52:807.980</w:t>
      </w:r>
      <w:r w:rsidRPr="008F13D6">
        <w:rPr>
          <w:rFonts w:ascii="Arial" w:hAnsi="Arial" w:cs="Arial"/>
          <w:sz w:val="24"/>
          <w:szCs w:val="24"/>
          <w:lang w:val="es-ES" w:eastAsia="es-ES"/>
        </w:rPr>
        <w:t>, import</w:t>
      </w:r>
      <w:r w:rsidR="008F13D6">
        <w:rPr>
          <w:rFonts w:ascii="Arial" w:hAnsi="Arial" w:cs="Arial"/>
          <w:sz w:val="24"/>
          <w:szCs w:val="24"/>
          <w:lang w:val="es-ES" w:eastAsia="es-ES"/>
        </w:rPr>
        <w:t>e que no se considera material.</w:t>
      </w:r>
    </w:p>
    <w:p w:rsidR="00384886" w:rsidRPr="008F13D6" w:rsidRDefault="008F13D6" w:rsidP="0060056F">
      <w:pPr>
        <w:pStyle w:val="Prrafodelista"/>
        <w:autoSpaceDE w:val="0"/>
        <w:autoSpaceDN w:val="0"/>
        <w:adjustRightInd w:val="0"/>
        <w:spacing w:after="0" w:line="360" w:lineRule="auto"/>
        <w:ind w:left="0"/>
        <w:jc w:val="both"/>
        <w:rPr>
          <w:rFonts w:ascii="Arial" w:hAnsi="Arial" w:cs="Arial"/>
          <w:sz w:val="24"/>
          <w:szCs w:val="24"/>
        </w:rPr>
      </w:pPr>
      <w:r w:rsidRPr="008F13D6">
        <w:rPr>
          <w:rFonts w:ascii="Arial" w:hAnsi="Arial" w:cs="Arial"/>
          <w:b/>
          <w:bCs/>
          <w:sz w:val="24"/>
          <w:szCs w:val="24"/>
        </w:rPr>
        <w:t>6. Recomendaciones.</w:t>
      </w:r>
    </w:p>
    <w:p w:rsidR="00384886" w:rsidRPr="008467D2" w:rsidRDefault="00384886" w:rsidP="008467D2">
      <w:pPr>
        <w:pStyle w:val="Default"/>
        <w:spacing w:line="360" w:lineRule="auto"/>
        <w:ind w:left="360"/>
        <w:rPr>
          <w:color w:val="auto"/>
        </w:rPr>
      </w:pPr>
      <w:r w:rsidRPr="008467D2">
        <w:rPr>
          <w:b/>
          <w:bCs/>
          <w:color w:val="auto"/>
        </w:rPr>
        <w:t>6.1 Recomendac</w:t>
      </w:r>
      <w:r w:rsidR="008F13D6">
        <w:rPr>
          <w:b/>
          <w:bCs/>
          <w:color w:val="auto"/>
        </w:rPr>
        <w:t>iones de Ejercicios anteriores.</w:t>
      </w:r>
    </w:p>
    <w:p w:rsidR="00384886" w:rsidRPr="008467D2" w:rsidRDefault="008F13D6" w:rsidP="008467D2">
      <w:pPr>
        <w:pStyle w:val="Default"/>
        <w:spacing w:line="360" w:lineRule="auto"/>
        <w:ind w:left="360"/>
        <w:rPr>
          <w:color w:val="auto"/>
        </w:rPr>
      </w:pPr>
      <w:r>
        <w:rPr>
          <w:b/>
          <w:bCs/>
          <w:color w:val="auto"/>
        </w:rPr>
        <w:t>6.1.1 Cumplidas</w:t>
      </w:r>
    </w:p>
    <w:p w:rsidR="00384886" w:rsidRPr="008467D2" w:rsidRDefault="00384886" w:rsidP="008467D2">
      <w:pPr>
        <w:pStyle w:val="Default"/>
        <w:spacing w:line="360" w:lineRule="auto"/>
        <w:ind w:left="360"/>
        <w:rPr>
          <w:color w:val="auto"/>
        </w:rPr>
      </w:pPr>
      <w:r w:rsidRPr="008467D2">
        <w:rPr>
          <w:b/>
          <w:bCs/>
          <w:color w:val="auto"/>
        </w:rPr>
        <w:t xml:space="preserve">6.1.1.1 </w:t>
      </w:r>
      <w:r>
        <w:rPr>
          <w:color w:val="auto"/>
        </w:rPr>
        <w:t>Se controló</w:t>
      </w:r>
      <w:r w:rsidRPr="008467D2">
        <w:rPr>
          <w:color w:val="auto"/>
        </w:rPr>
        <w:t xml:space="preserve"> el “corte de documentación” en los Arqueos, a trav</w:t>
      </w:r>
      <w:r w:rsidR="008F13D6">
        <w:rPr>
          <w:color w:val="auto"/>
        </w:rPr>
        <w:t>és de los listados del sistema.</w:t>
      </w:r>
    </w:p>
    <w:p w:rsidR="00384886" w:rsidRPr="008467D2" w:rsidRDefault="00384886" w:rsidP="0060056F">
      <w:pPr>
        <w:pStyle w:val="Default"/>
        <w:spacing w:line="360" w:lineRule="auto"/>
        <w:ind w:left="360"/>
        <w:jc w:val="both"/>
        <w:rPr>
          <w:color w:val="auto"/>
        </w:rPr>
      </w:pPr>
      <w:r w:rsidRPr="008467D2">
        <w:rPr>
          <w:b/>
          <w:bCs/>
          <w:color w:val="auto"/>
        </w:rPr>
        <w:t xml:space="preserve">6.1.1.2 </w:t>
      </w:r>
      <w:r w:rsidRPr="008467D2">
        <w:rPr>
          <w:color w:val="auto"/>
        </w:rPr>
        <w:t>Se elaboraron los Manuales de Procedimientos relativos a la operativa en Planta Carrasco de “Servicio Logístico” y de “Servicio de Ala”, referidas al abastecimiento de l</w:t>
      </w:r>
      <w:r w:rsidR="008F13D6">
        <w:rPr>
          <w:color w:val="auto"/>
        </w:rPr>
        <w:t xml:space="preserve">os combustibles </w:t>
      </w:r>
      <w:proofErr w:type="spellStart"/>
      <w:r w:rsidR="008F13D6">
        <w:rPr>
          <w:color w:val="auto"/>
        </w:rPr>
        <w:t>AvGas</w:t>
      </w:r>
      <w:proofErr w:type="spellEnd"/>
      <w:r w:rsidR="008F13D6">
        <w:rPr>
          <w:color w:val="auto"/>
        </w:rPr>
        <w:t xml:space="preserve"> y Jet A1.</w:t>
      </w:r>
    </w:p>
    <w:p w:rsidR="00384886" w:rsidRPr="008467D2" w:rsidRDefault="00384886" w:rsidP="0060056F">
      <w:pPr>
        <w:pStyle w:val="Default"/>
        <w:spacing w:line="360" w:lineRule="auto"/>
        <w:ind w:left="360"/>
        <w:jc w:val="both"/>
        <w:rPr>
          <w:color w:val="auto"/>
        </w:rPr>
      </w:pPr>
      <w:r w:rsidRPr="008467D2">
        <w:rPr>
          <w:b/>
          <w:bCs/>
          <w:color w:val="auto"/>
        </w:rPr>
        <w:t xml:space="preserve">6.1.1.3 </w:t>
      </w:r>
      <w:r w:rsidRPr="008467D2">
        <w:rPr>
          <w:color w:val="auto"/>
        </w:rPr>
        <w:t>Se suspendió la operativa para el abastecimiento de aeronaves, que tenía Planta Carrasco con PETROBRAS, la cual no se r</w:t>
      </w:r>
      <w:r w:rsidR="008F13D6">
        <w:rPr>
          <w:color w:val="auto"/>
        </w:rPr>
        <w:t>ealiza desde comienzos de 2017.</w:t>
      </w:r>
    </w:p>
    <w:p w:rsidR="00384886" w:rsidRPr="008467D2" w:rsidRDefault="00384886" w:rsidP="0060056F">
      <w:pPr>
        <w:pStyle w:val="Default"/>
        <w:spacing w:line="360" w:lineRule="auto"/>
        <w:ind w:left="360"/>
        <w:jc w:val="both"/>
        <w:rPr>
          <w:color w:val="auto"/>
        </w:rPr>
      </w:pPr>
      <w:r w:rsidRPr="008467D2">
        <w:rPr>
          <w:b/>
          <w:bCs/>
          <w:color w:val="auto"/>
        </w:rPr>
        <w:t xml:space="preserve">6.1.1.4 </w:t>
      </w:r>
      <w:r w:rsidRPr="008467D2">
        <w:rPr>
          <w:color w:val="auto"/>
        </w:rPr>
        <w:t>Se realiza</w:t>
      </w:r>
      <w:r>
        <w:rPr>
          <w:color w:val="auto"/>
        </w:rPr>
        <w:t>ro</w:t>
      </w:r>
      <w:r w:rsidRPr="008467D2">
        <w:rPr>
          <w:color w:val="auto"/>
        </w:rPr>
        <w:t>n periódicamente procedimientos alternativos de análisis del saldo de deudores y acreedores, por part</w:t>
      </w:r>
      <w:r w:rsidR="008F13D6">
        <w:rPr>
          <w:color w:val="auto"/>
        </w:rPr>
        <w:t>e del Sector Cuenta Corrientes.</w:t>
      </w:r>
    </w:p>
    <w:p w:rsidR="00384886" w:rsidRPr="008467D2" w:rsidRDefault="00384886" w:rsidP="0060056F">
      <w:pPr>
        <w:pStyle w:val="Default"/>
        <w:spacing w:line="360" w:lineRule="auto"/>
        <w:ind w:left="360"/>
        <w:jc w:val="both"/>
        <w:rPr>
          <w:color w:val="auto"/>
        </w:rPr>
      </w:pPr>
      <w:r w:rsidRPr="008467D2">
        <w:rPr>
          <w:b/>
          <w:bCs/>
          <w:color w:val="auto"/>
        </w:rPr>
        <w:t xml:space="preserve">6.1.1.5 </w:t>
      </w:r>
      <w:r>
        <w:rPr>
          <w:color w:val="auto"/>
        </w:rPr>
        <w:t>Se remitieron los e</w:t>
      </w:r>
      <w:r w:rsidRPr="008467D2">
        <w:rPr>
          <w:color w:val="auto"/>
        </w:rPr>
        <w:t xml:space="preserve">stados </w:t>
      </w:r>
      <w:r>
        <w:rPr>
          <w:color w:val="auto"/>
        </w:rPr>
        <w:t>f</w:t>
      </w:r>
      <w:r w:rsidRPr="008467D2">
        <w:rPr>
          <w:color w:val="auto"/>
        </w:rPr>
        <w:t>inancieros consolidados e individuales con firma de Contador General y se adjuntó la mem</w:t>
      </w:r>
      <w:r w:rsidR="008F13D6">
        <w:rPr>
          <w:color w:val="auto"/>
        </w:rPr>
        <w:t>oria explicativa de los mismos.</w:t>
      </w:r>
    </w:p>
    <w:p w:rsidR="00384886" w:rsidRPr="008467D2" w:rsidRDefault="00384886" w:rsidP="0060056F">
      <w:pPr>
        <w:pStyle w:val="Default"/>
        <w:spacing w:line="360" w:lineRule="auto"/>
        <w:ind w:left="360"/>
        <w:jc w:val="both"/>
        <w:rPr>
          <w:color w:val="auto"/>
        </w:rPr>
      </w:pPr>
      <w:r w:rsidRPr="008467D2">
        <w:rPr>
          <w:b/>
          <w:bCs/>
          <w:color w:val="auto"/>
        </w:rPr>
        <w:t xml:space="preserve">6.1.1.6 </w:t>
      </w:r>
      <w:r w:rsidRPr="008467D2">
        <w:rPr>
          <w:color w:val="auto"/>
        </w:rPr>
        <w:t>Se exp</w:t>
      </w:r>
      <w:r>
        <w:rPr>
          <w:color w:val="auto"/>
        </w:rPr>
        <w:t>usieron</w:t>
      </w:r>
      <w:r w:rsidRPr="008467D2">
        <w:rPr>
          <w:color w:val="auto"/>
        </w:rPr>
        <w:t xml:space="preserve"> con claridad, en </w:t>
      </w:r>
      <w:r>
        <w:rPr>
          <w:color w:val="auto"/>
        </w:rPr>
        <w:t>las N</w:t>
      </w:r>
      <w:r w:rsidRPr="008467D2">
        <w:rPr>
          <w:color w:val="auto"/>
        </w:rPr>
        <w:t xml:space="preserve">otas a los Estados Financieros, los efectos provocados por </w:t>
      </w:r>
      <w:r w:rsidR="008F13D6">
        <w:rPr>
          <w:color w:val="auto"/>
        </w:rPr>
        <w:t>el ajuste al impuesto diferido.</w:t>
      </w:r>
    </w:p>
    <w:p w:rsidR="00384886" w:rsidRPr="008467D2" w:rsidRDefault="00384886" w:rsidP="0060056F">
      <w:pPr>
        <w:pStyle w:val="Default"/>
        <w:spacing w:line="360" w:lineRule="auto"/>
        <w:ind w:left="360"/>
        <w:jc w:val="both"/>
        <w:rPr>
          <w:color w:val="auto"/>
        </w:rPr>
      </w:pPr>
      <w:r w:rsidRPr="008467D2">
        <w:rPr>
          <w:b/>
          <w:bCs/>
          <w:color w:val="auto"/>
        </w:rPr>
        <w:t xml:space="preserve">6.1.1.7 </w:t>
      </w:r>
      <w:r w:rsidRPr="008467D2">
        <w:rPr>
          <w:color w:val="auto"/>
        </w:rPr>
        <w:t>Se calculó la previsión por incobrabilidad, tomando en cuenta las demoras en la cobranza de las deudas de las Intendencias, de otros Entes del Estado, de organismos oficial</w:t>
      </w:r>
      <w:r w:rsidR="008F13D6">
        <w:rPr>
          <w:color w:val="auto"/>
        </w:rPr>
        <w:t>es y los saldos con vinculadas.</w:t>
      </w:r>
    </w:p>
    <w:p w:rsidR="00384886" w:rsidRPr="008467D2" w:rsidRDefault="00384886" w:rsidP="0060056F">
      <w:pPr>
        <w:pStyle w:val="Default"/>
        <w:spacing w:line="360" w:lineRule="auto"/>
        <w:ind w:left="360"/>
        <w:jc w:val="both"/>
        <w:rPr>
          <w:color w:val="auto"/>
        </w:rPr>
      </w:pPr>
      <w:r w:rsidRPr="008467D2">
        <w:rPr>
          <w:b/>
          <w:bCs/>
          <w:color w:val="auto"/>
        </w:rPr>
        <w:t xml:space="preserve">6.1.1.8 </w:t>
      </w:r>
      <w:r w:rsidRPr="008467D2">
        <w:rPr>
          <w:color w:val="auto"/>
        </w:rPr>
        <w:t>Se revel</w:t>
      </w:r>
      <w:r>
        <w:rPr>
          <w:color w:val="auto"/>
        </w:rPr>
        <w:t>ó</w:t>
      </w:r>
      <w:r w:rsidRPr="008467D2">
        <w:rPr>
          <w:color w:val="auto"/>
        </w:rPr>
        <w:t xml:space="preserve"> en</w:t>
      </w:r>
      <w:r>
        <w:rPr>
          <w:color w:val="auto"/>
        </w:rPr>
        <w:t xml:space="preserve"> las No</w:t>
      </w:r>
      <w:r w:rsidRPr="008467D2">
        <w:rPr>
          <w:color w:val="auto"/>
        </w:rPr>
        <w:t xml:space="preserve">tas a los </w:t>
      </w:r>
      <w:r>
        <w:rPr>
          <w:color w:val="auto"/>
        </w:rPr>
        <w:t>E</w:t>
      </w:r>
      <w:r w:rsidRPr="008467D2">
        <w:rPr>
          <w:color w:val="auto"/>
        </w:rPr>
        <w:t xml:space="preserve">stados </w:t>
      </w:r>
      <w:r>
        <w:rPr>
          <w:color w:val="auto"/>
        </w:rPr>
        <w:t>F</w:t>
      </w:r>
      <w:r w:rsidRPr="008467D2">
        <w:rPr>
          <w:color w:val="auto"/>
        </w:rPr>
        <w:t xml:space="preserve">inancieros individuales y consolidados, la probabilidad de sentencias desfavorables para cada tipo de litigio que mantiene el </w:t>
      </w:r>
      <w:r>
        <w:rPr>
          <w:color w:val="auto"/>
        </w:rPr>
        <w:t>E</w:t>
      </w:r>
      <w:r w:rsidRPr="008467D2">
        <w:rPr>
          <w:color w:val="auto"/>
        </w:rPr>
        <w:t>nte y el grupo, expresando la totalidad de los términos previstos en los párrafos 8</w:t>
      </w:r>
      <w:r w:rsidR="008F13D6">
        <w:rPr>
          <w:color w:val="auto"/>
        </w:rPr>
        <w:t>5, 86, 91 y /o 92 de la NIC 37.</w:t>
      </w:r>
    </w:p>
    <w:p w:rsidR="00384886" w:rsidRPr="008467D2" w:rsidRDefault="00384886" w:rsidP="0060056F">
      <w:pPr>
        <w:pStyle w:val="Default"/>
        <w:spacing w:line="360" w:lineRule="auto"/>
        <w:ind w:left="360"/>
        <w:jc w:val="both"/>
        <w:rPr>
          <w:color w:val="auto"/>
        </w:rPr>
      </w:pPr>
      <w:r w:rsidRPr="008467D2">
        <w:rPr>
          <w:b/>
          <w:bCs/>
          <w:color w:val="auto"/>
        </w:rPr>
        <w:t xml:space="preserve">6.1.1.9 </w:t>
      </w:r>
      <w:r w:rsidRPr="008467D2">
        <w:rPr>
          <w:color w:val="auto"/>
        </w:rPr>
        <w:t>Se procedió a la segregación de funciones en la planta de Mina</w:t>
      </w:r>
      <w:r w:rsidR="008F13D6">
        <w:rPr>
          <w:color w:val="auto"/>
        </w:rPr>
        <w:t>s, Manga y Paysandú (Portland).</w:t>
      </w:r>
    </w:p>
    <w:p w:rsidR="00384886" w:rsidRPr="008467D2" w:rsidRDefault="00384886" w:rsidP="0060056F">
      <w:pPr>
        <w:pStyle w:val="Default"/>
        <w:spacing w:line="360" w:lineRule="auto"/>
        <w:ind w:left="357"/>
        <w:jc w:val="both"/>
        <w:rPr>
          <w:color w:val="auto"/>
        </w:rPr>
      </w:pPr>
      <w:r w:rsidRPr="008467D2">
        <w:rPr>
          <w:b/>
          <w:bCs/>
          <w:color w:val="auto"/>
        </w:rPr>
        <w:t xml:space="preserve">6.1.1.10 </w:t>
      </w:r>
      <w:r w:rsidRPr="008467D2">
        <w:rPr>
          <w:color w:val="auto"/>
        </w:rPr>
        <w:t>Se verificó el cumplimiento del Artículo 49 de la Ley 18.651, al incluir en los llamados realizados en el ejercicio las condiciones previstas para el ingres</w:t>
      </w:r>
      <w:r w:rsidR="008F13D6">
        <w:rPr>
          <w:color w:val="auto"/>
        </w:rPr>
        <w:t>o de personas con discapacidad.</w:t>
      </w:r>
    </w:p>
    <w:p w:rsidR="00384886" w:rsidRPr="008467D2" w:rsidRDefault="00384886" w:rsidP="0060056F">
      <w:pPr>
        <w:pStyle w:val="Default"/>
        <w:spacing w:line="360" w:lineRule="auto"/>
        <w:ind w:left="357"/>
        <w:jc w:val="both"/>
        <w:rPr>
          <w:color w:val="auto"/>
        </w:rPr>
      </w:pPr>
      <w:r w:rsidRPr="008467D2">
        <w:rPr>
          <w:b/>
          <w:bCs/>
          <w:color w:val="auto"/>
        </w:rPr>
        <w:t xml:space="preserve">6.1.1.11 </w:t>
      </w:r>
      <w:r w:rsidRPr="008467D2">
        <w:rPr>
          <w:color w:val="auto"/>
        </w:rPr>
        <w:t>Se implementó el procedimiento para verificar el cumplimiento de las obligaciones con la CJPPU y Fondo de Solidaridad a efectos del pag</w:t>
      </w:r>
      <w:r w:rsidR="008F13D6">
        <w:rPr>
          <w:color w:val="auto"/>
        </w:rPr>
        <w:t>o a profesionales dependientes.</w:t>
      </w:r>
    </w:p>
    <w:p w:rsidR="00384886" w:rsidRPr="008467D2" w:rsidRDefault="00384886" w:rsidP="00550FA2">
      <w:pPr>
        <w:pStyle w:val="Default"/>
        <w:spacing w:line="360" w:lineRule="auto"/>
        <w:ind w:left="360"/>
        <w:jc w:val="both"/>
        <w:rPr>
          <w:color w:val="auto"/>
        </w:rPr>
      </w:pPr>
      <w:r w:rsidRPr="008467D2">
        <w:rPr>
          <w:b/>
          <w:bCs/>
          <w:color w:val="auto"/>
        </w:rPr>
        <w:t xml:space="preserve">6.1.1.12 </w:t>
      </w:r>
      <w:r w:rsidRPr="008467D2">
        <w:rPr>
          <w:color w:val="auto"/>
        </w:rPr>
        <w:t>Se someti</w:t>
      </w:r>
      <w:r>
        <w:rPr>
          <w:color w:val="auto"/>
        </w:rPr>
        <w:t>ó</w:t>
      </w:r>
      <w:r w:rsidRPr="008467D2">
        <w:rPr>
          <w:color w:val="auto"/>
        </w:rPr>
        <w:t xml:space="preserve"> a la intervención preventiva la totalidad de los gastos y pagos realizados con las tarje</w:t>
      </w:r>
      <w:r w:rsidR="008F13D6">
        <w:rPr>
          <w:color w:val="auto"/>
        </w:rPr>
        <w:t>tas corporativas de la empresa.</w:t>
      </w:r>
    </w:p>
    <w:p w:rsidR="00384886" w:rsidRPr="008467D2" w:rsidRDefault="00384886" w:rsidP="0060056F">
      <w:pPr>
        <w:pStyle w:val="Default"/>
        <w:spacing w:line="360" w:lineRule="auto"/>
        <w:ind w:left="357"/>
        <w:jc w:val="both"/>
        <w:rPr>
          <w:color w:val="auto"/>
        </w:rPr>
      </w:pPr>
      <w:r w:rsidRPr="008467D2">
        <w:rPr>
          <w:b/>
          <w:bCs/>
          <w:color w:val="auto"/>
        </w:rPr>
        <w:t xml:space="preserve">6.1.1.13 </w:t>
      </w:r>
      <w:r w:rsidRPr="008467D2">
        <w:rPr>
          <w:color w:val="auto"/>
        </w:rPr>
        <w:t>Se dio cumplimiento a lo dispuesto</w:t>
      </w:r>
      <w:r>
        <w:rPr>
          <w:color w:val="auto"/>
        </w:rPr>
        <w:t xml:space="preserve"> por el Artículo 4 de la Ley N°</w:t>
      </w:r>
      <w:r w:rsidRPr="008467D2">
        <w:rPr>
          <w:color w:val="auto"/>
        </w:rPr>
        <w:t>17.071 en lo que refiere a las donacion</w:t>
      </w:r>
      <w:r w:rsidR="008F13D6">
        <w:rPr>
          <w:color w:val="auto"/>
        </w:rPr>
        <w:t>es efectuadas por el Organismo.</w:t>
      </w:r>
    </w:p>
    <w:p w:rsidR="00384886" w:rsidRPr="008467D2" w:rsidRDefault="00384886" w:rsidP="0060056F">
      <w:pPr>
        <w:pStyle w:val="Default"/>
        <w:spacing w:line="360" w:lineRule="auto"/>
        <w:ind w:left="357"/>
        <w:jc w:val="both"/>
        <w:rPr>
          <w:color w:val="auto"/>
        </w:rPr>
      </w:pPr>
      <w:r w:rsidRPr="008467D2">
        <w:rPr>
          <w:b/>
          <w:bCs/>
          <w:color w:val="auto"/>
        </w:rPr>
        <w:t xml:space="preserve">6.1.1.14 </w:t>
      </w:r>
      <w:r w:rsidRPr="007C6BA1">
        <w:rPr>
          <w:bCs/>
          <w:color w:val="auto"/>
        </w:rPr>
        <w:t>S</w:t>
      </w:r>
      <w:r w:rsidRPr="008467D2">
        <w:rPr>
          <w:color w:val="auto"/>
        </w:rPr>
        <w:t>e subsanó la falta de oposición de intereses, en cuanto al despacho de combustible, documentación de la venta y control de stock</w:t>
      </w:r>
      <w:r>
        <w:rPr>
          <w:color w:val="auto"/>
        </w:rPr>
        <w:t>, e</w:t>
      </w:r>
      <w:r w:rsidRPr="008467D2">
        <w:rPr>
          <w:color w:val="auto"/>
        </w:rPr>
        <w:t xml:space="preserve">n las Plantas de Carrasco, </w:t>
      </w:r>
      <w:r w:rsidR="008F13D6">
        <w:rPr>
          <w:color w:val="auto"/>
        </w:rPr>
        <w:t xml:space="preserve">Laguna del Sauce y Juan </w:t>
      </w:r>
      <w:proofErr w:type="spellStart"/>
      <w:r w:rsidR="008F13D6">
        <w:rPr>
          <w:color w:val="auto"/>
        </w:rPr>
        <w:t>Lacaze</w:t>
      </w:r>
      <w:proofErr w:type="spellEnd"/>
      <w:r w:rsidR="008F13D6">
        <w:rPr>
          <w:color w:val="auto"/>
        </w:rPr>
        <w:t>.</w:t>
      </w:r>
    </w:p>
    <w:p w:rsidR="00384886" w:rsidRPr="008467D2" w:rsidRDefault="00384886" w:rsidP="00550FA2">
      <w:pPr>
        <w:pStyle w:val="Default"/>
        <w:spacing w:line="360" w:lineRule="auto"/>
        <w:ind w:left="360"/>
        <w:jc w:val="both"/>
        <w:rPr>
          <w:color w:val="auto"/>
        </w:rPr>
      </w:pPr>
    </w:p>
    <w:p w:rsidR="00384886" w:rsidRPr="008467D2" w:rsidRDefault="008F13D6" w:rsidP="00550FA2">
      <w:pPr>
        <w:pStyle w:val="Default"/>
        <w:spacing w:line="360" w:lineRule="auto"/>
        <w:ind w:left="360"/>
        <w:jc w:val="both"/>
        <w:rPr>
          <w:color w:val="auto"/>
        </w:rPr>
      </w:pPr>
      <w:r>
        <w:rPr>
          <w:b/>
          <w:bCs/>
          <w:color w:val="auto"/>
        </w:rPr>
        <w:t xml:space="preserve">6.1.2) No </w:t>
      </w:r>
      <w:proofErr w:type="gramStart"/>
      <w:r>
        <w:rPr>
          <w:b/>
          <w:bCs/>
          <w:color w:val="auto"/>
        </w:rPr>
        <w:t>cumplidas</w:t>
      </w:r>
      <w:proofErr w:type="gramEnd"/>
    </w:p>
    <w:p w:rsidR="00384886" w:rsidRPr="008467D2" w:rsidRDefault="00384886" w:rsidP="00550FA2">
      <w:pPr>
        <w:pStyle w:val="Default"/>
        <w:spacing w:line="360" w:lineRule="auto"/>
        <w:ind w:left="360"/>
        <w:jc w:val="both"/>
        <w:rPr>
          <w:color w:val="auto"/>
        </w:rPr>
      </w:pPr>
      <w:r w:rsidRPr="008467D2">
        <w:rPr>
          <w:b/>
          <w:bCs/>
          <w:color w:val="auto"/>
        </w:rPr>
        <w:t xml:space="preserve">6.1.2.1 </w:t>
      </w:r>
      <w:r w:rsidRPr="008467D2">
        <w:rPr>
          <w:color w:val="auto"/>
        </w:rPr>
        <w:t xml:space="preserve">Revelar en Notas a los Estados Financieros Consolidados e Individuales de ANCAP todos los análisis de deterioro de activos, y expresar los posibles efectos sobre el valor de las inversiones, tanto los que dan lugar a ajustes por deterioro, como aquellos cuyas resultancias verifiquen que los valores en libros de sus activos se ajustan al valor recuperable. (Numeral </w:t>
      </w:r>
      <w:r w:rsidRPr="0060056F">
        <w:rPr>
          <w:bCs/>
          <w:color w:val="auto"/>
        </w:rPr>
        <w:t>2</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6.1.2.2 </w:t>
      </w:r>
      <w:r>
        <w:rPr>
          <w:color w:val="auto"/>
        </w:rPr>
        <w:t>Exponer en N</w:t>
      </w:r>
      <w:r w:rsidRPr="008467D2">
        <w:rPr>
          <w:color w:val="auto"/>
        </w:rPr>
        <w:t xml:space="preserve">otas a los Estados Financieros la probable repercusión que tendría en el patrimonio del Organismo, la pérdida de más del 50% del capital integrado de las empresas vinculadas a ANCAP: Gas Sayago S.A., ANCSOL S.A. y CONECTA S.A. (Numeral </w:t>
      </w:r>
      <w:r w:rsidRPr="0060056F">
        <w:rPr>
          <w:bCs/>
          <w:color w:val="auto"/>
        </w:rPr>
        <w:t>2</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6.1.2.3 </w:t>
      </w:r>
      <w:r w:rsidRPr="008467D2">
        <w:rPr>
          <w:color w:val="auto"/>
        </w:rPr>
        <w:t xml:space="preserve">El sector contable no procedió a reclasificar en sus registros contables y a verificar la valuación de la información de los inmuebles y muebles cedidos en comodato. (Numeral </w:t>
      </w:r>
      <w:r w:rsidRPr="0060056F">
        <w:rPr>
          <w:bCs/>
          <w:color w:val="auto"/>
        </w:rPr>
        <w:t>4.3.5</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6.1.2.4 </w:t>
      </w:r>
      <w:r w:rsidRPr="008467D2">
        <w:rPr>
          <w:color w:val="auto"/>
        </w:rPr>
        <w:t xml:space="preserve">Realizar oportunamente los ajustes y correcciones contables que ameritan las constataciones efectuadas en los recuentos físicos realizados por Auditoría Interna. (Numeral </w:t>
      </w:r>
      <w:r w:rsidRPr="0060056F">
        <w:rPr>
          <w:bCs/>
          <w:color w:val="auto"/>
        </w:rPr>
        <w:t>4.3.6</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6.1.2.5 </w:t>
      </w:r>
      <w:r w:rsidRPr="008467D2">
        <w:rPr>
          <w:color w:val="auto"/>
        </w:rPr>
        <w:t xml:space="preserve">Incluir en el “Manual de Procedimiento para Recepción y Pago de Etanol Comprado a ALUR”, la operativa de documentación en Notas de Crédito de los saldos restantes de etanol en tanques ya vendidos y facturados a ANCAP que se reutilizan para almacenar nuevas producciones de etanol. (Numeral </w:t>
      </w:r>
      <w:r w:rsidRPr="0060056F">
        <w:rPr>
          <w:bCs/>
          <w:color w:val="auto"/>
        </w:rPr>
        <w:t>4.4.1</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6.1.2.6 </w:t>
      </w:r>
      <w:r w:rsidRPr="008467D2">
        <w:rPr>
          <w:color w:val="auto"/>
        </w:rPr>
        <w:t xml:space="preserve">Elaborar Manuales que establezcan los procedimientos de custodia, vigilancia, mantenimiento de inventarios y registro en todos los depósitos de Bienes de Cambio, así como las acciones a seguir a efectos de confeccionar informes periódicos de bienes antiguos, estropeados, obsoletos o stocks en exceso. (Numeral </w:t>
      </w:r>
      <w:r w:rsidRPr="0060056F">
        <w:rPr>
          <w:bCs/>
          <w:color w:val="auto"/>
        </w:rPr>
        <w:t>4.4.2</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6.1.2.7 </w:t>
      </w:r>
      <w:r w:rsidRPr="008467D2">
        <w:rPr>
          <w:color w:val="auto"/>
        </w:rPr>
        <w:t xml:space="preserve">Elaborar Manuales de Procedimientos relativos a la custodia, vigilancia y mantenimiento de inventarios que aseguren una adecuada segregación de funciones, registro y control en las distintas plantas de elaboración y en los depósitos de combustibles. (Numeral </w:t>
      </w:r>
      <w:r w:rsidRPr="0060056F">
        <w:rPr>
          <w:bCs/>
          <w:color w:val="auto"/>
        </w:rPr>
        <w:t>4.4.3</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6.1.2.8 </w:t>
      </w:r>
      <w:r w:rsidRPr="008467D2">
        <w:rPr>
          <w:color w:val="auto"/>
        </w:rPr>
        <w:t xml:space="preserve">Ampliar el horario de vigilancia a las 24 horas en los locales de depósito de la Planta de Carrasco y restringir el acceso a la Planta de Lubricantes de la Teja, al personal autorizado. (Numeral </w:t>
      </w:r>
      <w:r w:rsidRPr="0060056F">
        <w:rPr>
          <w:bCs/>
          <w:color w:val="auto"/>
        </w:rPr>
        <w:t>4.4.4</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6.1.2.9 </w:t>
      </w:r>
      <w:r w:rsidRPr="008467D2">
        <w:rPr>
          <w:color w:val="auto"/>
        </w:rPr>
        <w:t xml:space="preserve">Documentar en Manuales de Procedimientos los requisitos mínimos a cumplir, previo al recuento físico de bienes y materiales en las distintas plantas. (Numeral </w:t>
      </w:r>
      <w:r w:rsidRPr="0060056F">
        <w:rPr>
          <w:bCs/>
          <w:color w:val="auto"/>
        </w:rPr>
        <w:t>4.4.5</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6.1.2.10 </w:t>
      </w:r>
      <w:r w:rsidRPr="008467D2">
        <w:rPr>
          <w:color w:val="auto"/>
        </w:rPr>
        <w:t xml:space="preserve">Establecer el registro y control por parte de terceros ajenos a la operativa, con relación a la recepción, custodia, mantenimiento y aplicación de los bienes de terceros que se mantienen y utilizan en la Planta de Producción de Lubricantes, así como a envases, bolsas y bolsones pertenecientes a Cementos del Plata que se mantienen y utilizan en la Planta de Portland-Paysandú. (Numeral </w:t>
      </w:r>
      <w:r w:rsidRPr="0060056F">
        <w:rPr>
          <w:bCs/>
          <w:color w:val="auto"/>
        </w:rPr>
        <w:t>4.4.6</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6.1.2.11 </w:t>
      </w:r>
      <w:r>
        <w:rPr>
          <w:color w:val="auto"/>
        </w:rPr>
        <w:t xml:space="preserve">Contar </w:t>
      </w:r>
      <w:r w:rsidRPr="008467D2">
        <w:rPr>
          <w:color w:val="auto"/>
        </w:rPr>
        <w:t>con Manuales de Procedimientos que definan las responsabilidades y los procedimientos concernientes al mismo y sus funcionarios</w:t>
      </w:r>
      <w:r>
        <w:rPr>
          <w:color w:val="auto"/>
        </w:rPr>
        <w:t xml:space="preserve"> de</w:t>
      </w:r>
      <w:r w:rsidRPr="008467D2">
        <w:rPr>
          <w:color w:val="auto"/>
        </w:rPr>
        <w:t xml:space="preserve">l Sector de Cuentas Corrientes deberá contar. (Numeral </w:t>
      </w:r>
      <w:r w:rsidRPr="0060056F">
        <w:rPr>
          <w:bCs/>
          <w:color w:val="auto"/>
        </w:rPr>
        <w:t>4.5</w:t>
      </w:r>
      <w:r w:rsidRPr="008467D2">
        <w:rPr>
          <w:color w:val="auto"/>
        </w:rPr>
        <w:t xml:space="preserve">) </w:t>
      </w:r>
    </w:p>
    <w:p w:rsidR="00384886" w:rsidRPr="008467D2" w:rsidRDefault="00384886" w:rsidP="00550FA2">
      <w:pPr>
        <w:pStyle w:val="Default"/>
        <w:spacing w:line="360" w:lineRule="auto"/>
        <w:ind w:left="360"/>
        <w:jc w:val="both"/>
        <w:rPr>
          <w:color w:val="auto"/>
        </w:rPr>
      </w:pPr>
      <w:r w:rsidRPr="008467D2">
        <w:rPr>
          <w:b/>
          <w:bCs/>
          <w:color w:val="auto"/>
        </w:rPr>
        <w:t xml:space="preserve">6.1.2.12 </w:t>
      </w:r>
      <w:r w:rsidRPr="008467D2">
        <w:rPr>
          <w:color w:val="auto"/>
        </w:rPr>
        <w:t xml:space="preserve">Elaborar un Manual de Procedimientos que determine las responsabilidades de cada sector en la contratación y renovación de préstamos, su registro, la custodia de su documentación, los cálculos correspondientes y los controles de saldos contables. (Numeral </w:t>
      </w:r>
      <w:r w:rsidRPr="0060056F">
        <w:rPr>
          <w:bCs/>
          <w:color w:val="auto"/>
        </w:rPr>
        <w:t>4.6</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6.1.2.13 </w:t>
      </w:r>
      <w:r w:rsidRPr="008467D2">
        <w:rPr>
          <w:color w:val="auto"/>
        </w:rPr>
        <w:t xml:space="preserve">Incluir entre los objetivos de Gestión Integral de Riesgos los derivados de la suscripción de fianzas, avales, garantías reales y otras genéricas. (Numeral </w:t>
      </w:r>
      <w:r w:rsidRPr="0060056F">
        <w:rPr>
          <w:bCs/>
          <w:color w:val="auto"/>
        </w:rPr>
        <w:t>4.7.1</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6.1.2.14 </w:t>
      </w:r>
      <w:r w:rsidRPr="008467D2">
        <w:rPr>
          <w:color w:val="auto"/>
        </w:rPr>
        <w:t xml:space="preserve">Elaborar un Manual de Procedimientos para el Sector Riesgos que defina qué coberturas se deben contratar en forma centralizada para sus sociedades vinculadas (a través de ANCAP), ya sea sobre bienes de cambio o bienes de uso, así como realizar un seguimiento integral de las políticas de riesgo o coberturas contratadas por las mismas. (Numeral </w:t>
      </w:r>
      <w:r w:rsidRPr="0060056F">
        <w:rPr>
          <w:bCs/>
          <w:color w:val="auto"/>
        </w:rPr>
        <w:t>4.7.2</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6.1.2.15 </w:t>
      </w:r>
      <w:r w:rsidRPr="008467D2">
        <w:rPr>
          <w:color w:val="auto"/>
        </w:rPr>
        <w:t xml:space="preserve">Establecer procedimientos de control, a seguir por Auditoria Interna en oportunidad de realizar arqueos en la Tesorería General, con relación a la documentación y valores relacionados con garantías recibidas. (Numeral </w:t>
      </w:r>
      <w:r w:rsidRPr="0060056F">
        <w:rPr>
          <w:bCs/>
          <w:color w:val="auto"/>
        </w:rPr>
        <w:t>4.8.1</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 xml:space="preserve">6.1.2.16 </w:t>
      </w:r>
      <w:r w:rsidRPr="008467D2">
        <w:rPr>
          <w:color w:val="auto"/>
        </w:rPr>
        <w:t xml:space="preserve">Revelar en Notas a los Estados Financieros la totalidad de Garantías Recibidas. (Numeral </w:t>
      </w:r>
      <w:r w:rsidRPr="0060056F">
        <w:rPr>
          <w:bCs/>
          <w:color w:val="auto"/>
        </w:rPr>
        <w:t>4.8.2</w:t>
      </w:r>
      <w:r w:rsidR="008F13D6">
        <w:rPr>
          <w:color w:val="auto"/>
        </w:rPr>
        <w:t>)</w:t>
      </w:r>
    </w:p>
    <w:p w:rsidR="00384886" w:rsidRDefault="00384886" w:rsidP="00550FA2">
      <w:pPr>
        <w:pStyle w:val="Default"/>
        <w:spacing w:line="360" w:lineRule="auto"/>
        <w:ind w:left="360"/>
        <w:jc w:val="both"/>
        <w:rPr>
          <w:i/>
          <w:color w:val="auto"/>
        </w:rPr>
      </w:pPr>
      <w:r w:rsidRPr="008467D2">
        <w:rPr>
          <w:b/>
          <w:bCs/>
          <w:color w:val="auto"/>
        </w:rPr>
        <w:t>6.1.2.1</w:t>
      </w:r>
      <w:r>
        <w:rPr>
          <w:b/>
          <w:bCs/>
          <w:color w:val="auto"/>
        </w:rPr>
        <w:t>7</w:t>
      </w:r>
      <w:r w:rsidRPr="008467D2">
        <w:rPr>
          <w:b/>
          <w:bCs/>
          <w:color w:val="auto"/>
        </w:rPr>
        <w:t xml:space="preserve"> </w:t>
      </w:r>
      <w:r w:rsidRPr="008467D2">
        <w:rPr>
          <w:color w:val="auto"/>
        </w:rPr>
        <w:t xml:space="preserve">Realizar los procedimientos tendientes a evitar las responsabilidades determinadas por la normativa legal vigente, por parte del Departamento de Control de Procedimientos y Operaciones y la Gerencia de Comercialización, con relación a los contratos </w:t>
      </w:r>
      <w:r>
        <w:rPr>
          <w:color w:val="auto"/>
        </w:rPr>
        <w:t xml:space="preserve">por servicios que prestan a ANCAP sus </w:t>
      </w:r>
      <w:r w:rsidRPr="008467D2">
        <w:rPr>
          <w:color w:val="auto"/>
        </w:rPr>
        <w:t>empresas vinculadas. (</w:t>
      </w:r>
      <w:r w:rsidRPr="0060056F">
        <w:rPr>
          <w:color w:val="auto"/>
        </w:rPr>
        <w:t xml:space="preserve">Numeral </w:t>
      </w:r>
      <w:r w:rsidRPr="0060056F">
        <w:rPr>
          <w:bCs/>
          <w:color w:val="auto"/>
        </w:rPr>
        <w:t>4.9</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6.1.2.1</w:t>
      </w:r>
      <w:r>
        <w:rPr>
          <w:b/>
          <w:bCs/>
          <w:color w:val="auto"/>
        </w:rPr>
        <w:t>8</w:t>
      </w:r>
      <w:r w:rsidRPr="008467D2">
        <w:rPr>
          <w:b/>
          <w:bCs/>
          <w:color w:val="auto"/>
        </w:rPr>
        <w:t xml:space="preserve"> </w:t>
      </w:r>
      <w:r w:rsidRPr="008467D2">
        <w:rPr>
          <w:color w:val="auto"/>
        </w:rPr>
        <w:t xml:space="preserve">Documentar y aprobar el procedimiento de autorización, pago descuento y contabilización de adelantos de sueldos. (Numeral </w:t>
      </w:r>
      <w:r w:rsidRPr="0060056F">
        <w:rPr>
          <w:bCs/>
          <w:color w:val="auto"/>
        </w:rPr>
        <w:t>4.10.1</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6.1.2.</w:t>
      </w:r>
      <w:r>
        <w:rPr>
          <w:b/>
          <w:bCs/>
          <w:color w:val="auto"/>
        </w:rPr>
        <w:t>19</w:t>
      </w:r>
      <w:r w:rsidRPr="008467D2">
        <w:rPr>
          <w:b/>
          <w:bCs/>
          <w:color w:val="auto"/>
        </w:rPr>
        <w:t xml:space="preserve"> </w:t>
      </w:r>
      <w:r w:rsidRPr="008467D2">
        <w:rPr>
          <w:color w:val="auto"/>
        </w:rPr>
        <w:t xml:space="preserve">Ajustar en el saldo de Adelantos de Sueldos las partidas de ejercicios anteriores que correspondan. (Numeral </w:t>
      </w:r>
      <w:r w:rsidRPr="0060056F">
        <w:rPr>
          <w:bCs/>
          <w:color w:val="auto"/>
        </w:rPr>
        <w:t>4.10.2</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6.1.2.2</w:t>
      </w:r>
      <w:r>
        <w:rPr>
          <w:b/>
          <w:bCs/>
          <w:color w:val="auto"/>
        </w:rPr>
        <w:t>0</w:t>
      </w:r>
      <w:r w:rsidRPr="008467D2">
        <w:rPr>
          <w:b/>
          <w:bCs/>
          <w:color w:val="auto"/>
        </w:rPr>
        <w:t xml:space="preserve"> </w:t>
      </w:r>
      <w:r w:rsidRPr="008467D2">
        <w:rPr>
          <w:color w:val="auto"/>
        </w:rPr>
        <w:t xml:space="preserve">Disponer un rubro contable específico para la publicidad en medios televisivos y radiales, a efectos de contar con información contable desagregada de los importes aplicados a este tipo de publicidad, que permitan un efectivo control del cumplimiento de la normativa legal vigente. (Numeral </w:t>
      </w:r>
      <w:r w:rsidRPr="0060056F">
        <w:rPr>
          <w:bCs/>
          <w:color w:val="auto"/>
        </w:rPr>
        <w:t>4.11</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6.1.2.2</w:t>
      </w:r>
      <w:r>
        <w:rPr>
          <w:b/>
          <w:bCs/>
          <w:color w:val="auto"/>
        </w:rPr>
        <w:t>1</w:t>
      </w:r>
      <w:r w:rsidRPr="008467D2">
        <w:rPr>
          <w:b/>
          <w:bCs/>
          <w:color w:val="auto"/>
        </w:rPr>
        <w:t xml:space="preserve"> </w:t>
      </w:r>
      <w:r w:rsidRPr="008467D2">
        <w:rPr>
          <w:color w:val="auto"/>
        </w:rPr>
        <w:t xml:space="preserve">Establecer procedimientos de control interno que permitan verificar y rectificar las diferencias que determina el Banco de Previsión Social en relación a las retenciones del IRPF, practicadas en las remuneraciones del personal dependiente. (Numeral </w:t>
      </w:r>
      <w:r w:rsidRPr="0060056F">
        <w:rPr>
          <w:bCs/>
          <w:color w:val="auto"/>
        </w:rPr>
        <w:t>4.12</w:t>
      </w:r>
      <w:r w:rsidR="008F13D6">
        <w:rPr>
          <w:color w:val="auto"/>
        </w:rPr>
        <w:t>)</w:t>
      </w:r>
    </w:p>
    <w:p w:rsidR="00384886" w:rsidRPr="008467D2" w:rsidRDefault="00384886" w:rsidP="00550FA2">
      <w:pPr>
        <w:pStyle w:val="Default"/>
        <w:spacing w:line="360" w:lineRule="auto"/>
        <w:ind w:left="360"/>
        <w:jc w:val="both"/>
        <w:rPr>
          <w:color w:val="auto"/>
        </w:rPr>
      </w:pPr>
      <w:r w:rsidRPr="008467D2">
        <w:rPr>
          <w:b/>
          <w:bCs/>
          <w:color w:val="auto"/>
        </w:rPr>
        <w:t>6.1.2.2</w:t>
      </w:r>
      <w:r>
        <w:rPr>
          <w:b/>
          <w:bCs/>
          <w:color w:val="auto"/>
        </w:rPr>
        <w:t>2</w:t>
      </w:r>
      <w:r w:rsidRPr="008467D2">
        <w:rPr>
          <w:b/>
          <w:bCs/>
          <w:color w:val="auto"/>
        </w:rPr>
        <w:t xml:space="preserve"> </w:t>
      </w:r>
      <w:r w:rsidRPr="008467D2">
        <w:rPr>
          <w:color w:val="auto"/>
        </w:rPr>
        <w:t xml:space="preserve">Realizar el análisis y ajuste de los rubros de anticipos, en especial del rubro contable 132014100 “Anticipos por seguros”, a efectos de corregir la composición del saldo de ANCAP. (Numeral </w:t>
      </w:r>
      <w:r w:rsidRPr="0060056F">
        <w:rPr>
          <w:bCs/>
          <w:color w:val="auto"/>
        </w:rPr>
        <w:t>5.1</w:t>
      </w:r>
      <w:r w:rsidR="008F13D6">
        <w:rPr>
          <w:color w:val="auto"/>
        </w:rPr>
        <w:t>)</w:t>
      </w:r>
    </w:p>
    <w:p w:rsidR="00384886" w:rsidRDefault="00384886" w:rsidP="00550FA2">
      <w:pPr>
        <w:pStyle w:val="Default"/>
        <w:spacing w:line="360" w:lineRule="auto"/>
        <w:ind w:left="360"/>
        <w:jc w:val="both"/>
        <w:rPr>
          <w:color w:val="auto"/>
        </w:rPr>
      </w:pPr>
      <w:r w:rsidRPr="008467D2">
        <w:rPr>
          <w:b/>
          <w:bCs/>
          <w:color w:val="auto"/>
        </w:rPr>
        <w:t>6.1.2.2</w:t>
      </w:r>
      <w:r>
        <w:rPr>
          <w:b/>
          <w:bCs/>
          <w:color w:val="auto"/>
        </w:rPr>
        <w:t>3</w:t>
      </w:r>
      <w:r w:rsidRPr="008467D2">
        <w:rPr>
          <w:b/>
          <w:bCs/>
          <w:color w:val="auto"/>
        </w:rPr>
        <w:t xml:space="preserve"> </w:t>
      </w:r>
      <w:r w:rsidRPr="008467D2">
        <w:rPr>
          <w:color w:val="auto"/>
        </w:rPr>
        <w:t xml:space="preserve">Revelar en las Notas a los Estados Financieros la información detallada de la totalidad de las garantías, fianzas y avales otorgados por el Ente, tanto en Uruguay como en el extranjero. (Numeral </w:t>
      </w:r>
      <w:r w:rsidRPr="00100463">
        <w:rPr>
          <w:bCs/>
          <w:color w:val="auto"/>
        </w:rPr>
        <w:t>5.2</w:t>
      </w:r>
      <w:r w:rsidR="008F13D6">
        <w:rPr>
          <w:color w:val="auto"/>
        </w:rPr>
        <w:t>)</w:t>
      </w:r>
    </w:p>
    <w:p w:rsidR="00384886" w:rsidRDefault="00384886" w:rsidP="00CC5C50">
      <w:pPr>
        <w:tabs>
          <w:tab w:val="left" w:pos="426"/>
          <w:tab w:val="right" w:pos="5387"/>
          <w:tab w:val="right" w:pos="8222"/>
        </w:tabs>
        <w:spacing w:after="0" w:line="360" w:lineRule="auto"/>
        <w:ind w:left="425"/>
        <w:rPr>
          <w:rFonts w:cs="Arial"/>
          <w:szCs w:val="24"/>
        </w:rPr>
      </w:pPr>
      <w:r>
        <w:rPr>
          <w:rFonts w:cs="Arial"/>
          <w:b/>
          <w:szCs w:val="24"/>
        </w:rPr>
        <w:t xml:space="preserve">6.1.2.24 </w:t>
      </w:r>
      <w:r w:rsidRPr="00411FF0">
        <w:rPr>
          <w:rFonts w:cs="Arial"/>
          <w:szCs w:val="24"/>
        </w:rPr>
        <w:t>Evitar realizar ajuste</w:t>
      </w:r>
      <w:r>
        <w:rPr>
          <w:rFonts w:cs="Arial"/>
          <w:szCs w:val="24"/>
        </w:rPr>
        <w:t>s por duplicaciones de egresos con cargo a cuentas de ingresos,  cumpliendo</w:t>
      </w:r>
      <w:r w:rsidRPr="00B845EA">
        <w:rPr>
          <w:rFonts w:cs="Arial"/>
          <w:szCs w:val="24"/>
        </w:rPr>
        <w:t xml:space="preserve"> </w:t>
      </w:r>
      <w:r>
        <w:rPr>
          <w:rFonts w:cs="Arial"/>
          <w:szCs w:val="24"/>
        </w:rPr>
        <w:t>el criterio de lo percibido para los mismos. (</w:t>
      </w:r>
      <w:r w:rsidRPr="002606B3">
        <w:rPr>
          <w:rFonts w:cs="Arial"/>
          <w:szCs w:val="24"/>
        </w:rPr>
        <w:t>Numeral</w:t>
      </w:r>
      <w:r>
        <w:rPr>
          <w:rFonts w:cs="Arial"/>
          <w:szCs w:val="24"/>
        </w:rPr>
        <w:t xml:space="preserve"> </w:t>
      </w:r>
      <w:r w:rsidRPr="00100463">
        <w:rPr>
          <w:rFonts w:cs="Arial"/>
          <w:szCs w:val="24"/>
        </w:rPr>
        <w:t>5.4.1</w:t>
      </w:r>
      <w:r>
        <w:rPr>
          <w:rFonts w:cs="Arial"/>
          <w:szCs w:val="24"/>
        </w:rPr>
        <w:t>)</w:t>
      </w:r>
    </w:p>
    <w:p w:rsidR="00384886" w:rsidRDefault="00384886" w:rsidP="00100463">
      <w:pPr>
        <w:tabs>
          <w:tab w:val="left" w:pos="426"/>
          <w:tab w:val="right" w:pos="5387"/>
          <w:tab w:val="right" w:pos="8222"/>
        </w:tabs>
        <w:spacing w:after="0" w:line="360" w:lineRule="auto"/>
        <w:ind w:left="425"/>
        <w:rPr>
          <w:rFonts w:cs="Arial"/>
          <w:szCs w:val="24"/>
        </w:rPr>
      </w:pPr>
      <w:r>
        <w:rPr>
          <w:rFonts w:cs="Arial"/>
          <w:b/>
          <w:szCs w:val="24"/>
        </w:rPr>
        <w:t xml:space="preserve">6.1.2.25 </w:t>
      </w:r>
      <w:r w:rsidRPr="00E95A1C">
        <w:rPr>
          <w:rFonts w:cs="Arial"/>
          <w:szCs w:val="24"/>
        </w:rPr>
        <w:t xml:space="preserve">Exponer </w:t>
      </w:r>
      <w:r>
        <w:rPr>
          <w:rFonts w:cs="Arial"/>
          <w:szCs w:val="24"/>
        </w:rPr>
        <w:t>en los</w:t>
      </w:r>
      <w:r w:rsidRPr="00E95A1C">
        <w:rPr>
          <w:rFonts w:cs="Arial"/>
          <w:szCs w:val="24"/>
          <w:lang w:val="es-ES" w:eastAsia="es-ES"/>
        </w:rPr>
        <w:t xml:space="preserve"> recursos de financiamiento</w:t>
      </w:r>
      <w:r>
        <w:rPr>
          <w:rFonts w:cs="Arial"/>
          <w:szCs w:val="24"/>
          <w:lang w:val="es-ES" w:eastAsia="es-ES"/>
        </w:rPr>
        <w:t xml:space="preserve"> bancario,</w:t>
      </w:r>
      <w:r w:rsidRPr="00E95A1C">
        <w:rPr>
          <w:rFonts w:cs="Arial"/>
          <w:szCs w:val="24"/>
          <w:lang w:val="es-ES" w:eastAsia="es-ES"/>
        </w:rPr>
        <w:t xml:space="preserve"> s</w:t>
      </w:r>
      <w:r>
        <w:rPr>
          <w:rFonts w:cs="Arial"/>
          <w:szCs w:val="24"/>
          <w:lang w:val="es-ES" w:eastAsia="es-ES"/>
        </w:rPr>
        <w:t>ó</w:t>
      </w:r>
      <w:r w:rsidRPr="00E95A1C">
        <w:rPr>
          <w:rFonts w:cs="Arial"/>
          <w:szCs w:val="24"/>
          <w:lang w:val="es-ES" w:eastAsia="es-ES"/>
        </w:rPr>
        <w:t xml:space="preserve">lo partidas </w:t>
      </w:r>
      <w:r w:rsidRPr="00100463">
        <w:rPr>
          <w:rFonts w:cs="Arial"/>
          <w:szCs w:val="24"/>
          <w:lang w:val="es-ES" w:eastAsia="es-ES"/>
        </w:rPr>
        <w:t>que corresponden a dicho concepto</w:t>
      </w:r>
      <w:r w:rsidRPr="00100463">
        <w:rPr>
          <w:rFonts w:cs="Arial"/>
          <w:szCs w:val="24"/>
        </w:rPr>
        <w:t xml:space="preserve"> (Numeral 5.4.2).</w:t>
      </w:r>
    </w:p>
    <w:p w:rsidR="00384886" w:rsidRPr="00100463" w:rsidRDefault="00384886" w:rsidP="00100463">
      <w:pPr>
        <w:tabs>
          <w:tab w:val="left" w:pos="426"/>
          <w:tab w:val="right" w:pos="5387"/>
          <w:tab w:val="right" w:pos="8222"/>
        </w:tabs>
        <w:spacing w:after="0" w:line="360" w:lineRule="auto"/>
        <w:ind w:left="425"/>
        <w:rPr>
          <w:rFonts w:cs="Arial"/>
          <w:szCs w:val="24"/>
        </w:rPr>
      </w:pPr>
    </w:p>
    <w:p w:rsidR="00384886" w:rsidRPr="00100463" w:rsidRDefault="00384886" w:rsidP="00100463">
      <w:pPr>
        <w:tabs>
          <w:tab w:val="left" w:pos="426"/>
          <w:tab w:val="right" w:pos="5387"/>
          <w:tab w:val="right" w:pos="8222"/>
        </w:tabs>
        <w:spacing w:after="0" w:line="360" w:lineRule="auto"/>
        <w:ind w:left="425" w:hanging="141"/>
        <w:rPr>
          <w:rFonts w:cs="Arial"/>
          <w:szCs w:val="24"/>
        </w:rPr>
      </w:pPr>
      <w:r w:rsidRPr="00100463">
        <w:rPr>
          <w:rFonts w:cs="Arial"/>
          <w:b/>
          <w:bCs/>
          <w:szCs w:val="24"/>
        </w:rPr>
        <w:t>6.2</w:t>
      </w:r>
      <w:r>
        <w:rPr>
          <w:rFonts w:cs="Arial"/>
          <w:b/>
          <w:bCs/>
          <w:szCs w:val="24"/>
        </w:rPr>
        <w:t>) Recomendaciones del presente E</w:t>
      </w:r>
      <w:r w:rsidR="008F13D6">
        <w:rPr>
          <w:rFonts w:cs="Arial"/>
          <w:b/>
          <w:bCs/>
          <w:szCs w:val="24"/>
        </w:rPr>
        <w:t>jercicio.</w:t>
      </w:r>
    </w:p>
    <w:p w:rsidR="00384886" w:rsidRPr="008467D2" w:rsidRDefault="00384886" w:rsidP="00550FA2">
      <w:pPr>
        <w:pStyle w:val="Default"/>
        <w:spacing w:line="360" w:lineRule="auto"/>
        <w:ind w:left="360"/>
        <w:jc w:val="both"/>
        <w:rPr>
          <w:color w:val="auto"/>
        </w:rPr>
      </w:pPr>
      <w:r w:rsidRPr="008467D2">
        <w:rPr>
          <w:b/>
          <w:bCs/>
          <w:color w:val="auto"/>
        </w:rPr>
        <w:t xml:space="preserve">6.2.1 </w:t>
      </w:r>
      <w:r w:rsidRPr="008467D2">
        <w:rPr>
          <w:color w:val="auto"/>
        </w:rPr>
        <w:t xml:space="preserve">Recabar la conformidad por parte del comprador, en las entregas por ventas de </w:t>
      </w:r>
      <w:proofErr w:type="spellStart"/>
      <w:r w:rsidRPr="008467D2">
        <w:rPr>
          <w:color w:val="auto"/>
        </w:rPr>
        <w:t>Petcoke</w:t>
      </w:r>
      <w:proofErr w:type="spellEnd"/>
      <w:r w:rsidRPr="008467D2">
        <w:rPr>
          <w:color w:val="auto"/>
        </w:rPr>
        <w:t xml:space="preserve">. (Numeral </w:t>
      </w:r>
      <w:r w:rsidRPr="00100463">
        <w:rPr>
          <w:bCs/>
          <w:color w:val="auto"/>
        </w:rPr>
        <w:t>4.1</w:t>
      </w:r>
      <w:r w:rsidR="008F13D6">
        <w:rPr>
          <w:color w:val="auto"/>
        </w:rPr>
        <w:t>)</w:t>
      </w:r>
    </w:p>
    <w:p w:rsidR="00384886" w:rsidRDefault="00384886" w:rsidP="00550FA2">
      <w:pPr>
        <w:pStyle w:val="Default"/>
        <w:spacing w:line="360" w:lineRule="auto"/>
        <w:ind w:left="360"/>
        <w:jc w:val="both"/>
        <w:rPr>
          <w:color w:val="auto"/>
        </w:rPr>
      </w:pPr>
      <w:r w:rsidRPr="008467D2">
        <w:rPr>
          <w:b/>
          <w:bCs/>
          <w:color w:val="auto"/>
        </w:rPr>
        <w:t>6.2.</w:t>
      </w:r>
      <w:r>
        <w:rPr>
          <w:b/>
          <w:bCs/>
          <w:color w:val="auto"/>
        </w:rPr>
        <w:t>2</w:t>
      </w:r>
      <w:r w:rsidRPr="008467D2">
        <w:rPr>
          <w:b/>
          <w:bCs/>
          <w:color w:val="auto"/>
        </w:rPr>
        <w:t xml:space="preserve"> </w:t>
      </w:r>
      <w:r w:rsidRPr="008467D2">
        <w:rPr>
          <w:color w:val="auto"/>
        </w:rPr>
        <w:t xml:space="preserve">Realizar conciliaciones entre los saldos de Préstamos Sociales, que figuran en el sistema de Sueldos, con el saldo contable correspondiente y reclasificar la porción no corriente de los préstamos en la contabilidad. (Numeral </w:t>
      </w:r>
      <w:r w:rsidRPr="00100463">
        <w:rPr>
          <w:bCs/>
          <w:color w:val="auto"/>
        </w:rPr>
        <w:t>4.2</w:t>
      </w:r>
      <w:r w:rsidR="008F13D6">
        <w:rPr>
          <w:color w:val="auto"/>
        </w:rPr>
        <w:t>)</w:t>
      </w:r>
    </w:p>
    <w:p w:rsidR="00384886" w:rsidRDefault="00384886" w:rsidP="00550FA2">
      <w:pPr>
        <w:pStyle w:val="Default"/>
        <w:spacing w:line="360" w:lineRule="auto"/>
        <w:ind w:left="360"/>
        <w:jc w:val="both"/>
        <w:rPr>
          <w:color w:val="auto"/>
        </w:rPr>
      </w:pPr>
    </w:p>
    <w:p w:rsidR="00384886" w:rsidRPr="008467D2" w:rsidRDefault="00384886" w:rsidP="00550FA2">
      <w:pPr>
        <w:pStyle w:val="Default"/>
        <w:spacing w:line="360" w:lineRule="auto"/>
        <w:ind w:left="360"/>
        <w:jc w:val="both"/>
        <w:rPr>
          <w:color w:val="auto"/>
        </w:rPr>
      </w:pPr>
    </w:p>
    <w:p w:rsidR="00384886" w:rsidRPr="008467D2" w:rsidRDefault="00384886" w:rsidP="00550FA2">
      <w:pPr>
        <w:pStyle w:val="Default"/>
        <w:spacing w:line="360" w:lineRule="auto"/>
        <w:ind w:left="360"/>
        <w:jc w:val="both"/>
        <w:rPr>
          <w:color w:val="auto"/>
        </w:rPr>
      </w:pPr>
      <w:r w:rsidRPr="008467D2">
        <w:rPr>
          <w:b/>
          <w:bCs/>
          <w:color w:val="auto"/>
        </w:rPr>
        <w:t>6.2.</w:t>
      </w:r>
      <w:r>
        <w:rPr>
          <w:b/>
          <w:bCs/>
          <w:color w:val="auto"/>
        </w:rPr>
        <w:t>3</w:t>
      </w:r>
      <w:r w:rsidRPr="008467D2">
        <w:rPr>
          <w:b/>
          <w:bCs/>
          <w:color w:val="auto"/>
        </w:rPr>
        <w:t xml:space="preserve"> </w:t>
      </w:r>
      <w:r w:rsidRPr="008467D2">
        <w:rPr>
          <w:color w:val="auto"/>
        </w:rPr>
        <w:t>Aplicar los procedimientos existentes en relación a los movimientos de activo fijo para evitar los errores detectados. (Numeral</w:t>
      </w:r>
      <w:r w:rsidRPr="00100463">
        <w:rPr>
          <w:color w:val="auto"/>
        </w:rPr>
        <w:t xml:space="preserve"> </w:t>
      </w:r>
      <w:r w:rsidRPr="00100463">
        <w:rPr>
          <w:bCs/>
          <w:color w:val="auto"/>
        </w:rPr>
        <w:t>4.3.1, 4.3.2, 4.3.3 y 4.3.4</w:t>
      </w:r>
      <w:r w:rsidR="008F13D6">
        <w:rPr>
          <w:color w:val="auto"/>
        </w:rPr>
        <w:t>)</w:t>
      </w:r>
    </w:p>
    <w:p w:rsidR="00384886" w:rsidRDefault="00384886" w:rsidP="00550FA2">
      <w:pPr>
        <w:keepNext/>
        <w:spacing w:after="0" w:line="360" w:lineRule="auto"/>
        <w:jc w:val="right"/>
        <w:outlineLvl w:val="2"/>
        <w:rPr>
          <w:rFonts w:eastAsia="Times New Roman" w:cs="Arial"/>
          <w:bCs/>
          <w:snapToGrid w:val="0"/>
          <w:szCs w:val="24"/>
          <w:lang w:val="es-ES" w:eastAsia="es-ES"/>
        </w:rPr>
      </w:pPr>
      <w:r w:rsidRPr="008467D2">
        <w:rPr>
          <w:rFonts w:eastAsia="Times New Roman" w:cs="Arial"/>
          <w:bCs/>
          <w:snapToGrid w:val="0"/>
          <w:szCs w:val="24"/>
          <w:lang w:val="es-ES" w:eastAsia="es-ES"/>
        </w:rPr>
        <w:t>Montevideo, 18 de enero de 2019</w:t>
      </w:r>
    </w:p>
    <w:p w:rsidR="008F13D6" w:rsidRDefault="008F13D6" w:rsidP="00550FA2">
      <w:pPr>
        <w:keepNext/>
        <w:spacing w:after="0" w:line="360" w:lineRule="auto"/>
        <w:jc w:val="right"/>
        <w:outlineLvl w:val="2"/>
        <w:rPr>
          <w:rFonts w:eastAsia="Times New Roman" w:cs="Arial"/>
          <w:bCs/>
          <w:snapToGrid w:val="0"/>
          <w:szCs w:val="24"/>
          <w:lang w:val="es-ES" w:eastAsia="es-ES"/>
        </w:rPr>
      </w:pPr>
    </w:p>
    <w:p w:rsidR="008F13D6" w:rsidRPr="008467D2" w:rsidRDefault="008F13D6" w:rsidP="00550FA2">
      <w:pPr>
        <w:keepNext/>
        <w:spacing w:after="0" w:line="360" w:lineRule="auto"/>
        <w:jc w:val="right"/>
        <w:outlineLvl w:val="2"/>
        <w:rPr>
          <w:rFonts w:eastAsia="Times New Roman" w:cs="Arial"/>
          <w:b/>
          <w:bCs/>
          <w:szCs w:val="24"/>
          <w:lang w:val="es-ES" w:eastAsia="es-ES"/>
        </w:rPr>
      </w:pPr>
    </w:p>
    <w:p w:rsidR="00384886" w:rsidRDefault="00384886" w:rsidP="00384886">
      <w:pPr>
        <w:autoSpaceDE w:val="0"/>
        <w:autoSpaceDN w:val="0"/>
        <w:adjustRightInd w:val="0"/>
        <w:spacing w:after="0" w:line="360" w:lineRule="auto"/>
        <w:ind w:hanging="426"/>
        <w:rPr>
          <w:rFonts w:cs="Arial"/>
          <w:szCs w:val="24"/>
        </w:rPr>
      </w:pPr>
      <w:proofErr w:type="gramStart"/>
      <w:r>
        <w:rPr>
          <w:rFonts w:cs="Arial"/>
          <w:szCs w:val="24"/>
        </w:rPr>
        <w:t>dc</w:t>
      </w:r>
      <w:proofErr w:type="gramEnd"/>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8F13D6" w:rsidRDefault="008F13D6" w:rsidP="008502F4">
      <w:pPr>
        <w:spacing w:line="360" w:lineRule="auto"/>
        <w:jc w:val="right"/>
        <w:rPr>
          <w:rFonts w:cs="Arial"/>
        </w:rPr>
      </w:pPr>
    </w:p>
    <w:p w:rsidR="002E3996" w:rsidRDefault="002E3996" w:rsidP="008502F4">
      <w:pPr>
        <w:spacing w:line="360" w:lineRule="auto"/>
        <w:jc w:val="right"/>
        <w:rPr>
          <w:rFonts w:cs="Arial"/>
        </w:rPr>
      </w:pPr>
      <w:r>
        <w:rPr>
          <w:rFonts w:cs="Arial"/>
        </w:rPr>
        <w:t>Montevideo, 8 de abril de 2019.-</w:t>
      </w:r>
    </w:p>
    <w:p w:rsidR="002E3996" w:rsidRPr="002E3996" w:rsidRDefault="002E3996" w:rsidP="008502F4">
      <w:pPr>
        <w:spacing w:line="360" w:lineRule="auto"/>
        <w:jc w:val="right"/>
        <w:rPr>
          <w:rFonts w:cs="Arial"/>
          <w:szCs w:val="24"/>
        </w:rPr>
      </w:pPr>
    </w:p>
    <w:p w:rsidR="002E3996" w:rsidRPr="002E3996" w:rsidRDefault="008F13D6" w:rsidP="008F13D6">
      <w:pPr>
        <w:spacing w:line="240" w:lineRule="auto"/>
        <w:rPr>
          <w:rFonts w:cs="Arial"/>
          <w:szCs w:val="24"/>
        </w:rPr>
      </w:pPr>
      <w:r>
        <w:rPr>
          <w:rFonts w:cs="Arial"/>
          <w:szCs w:val="24"/>
        </w:rPr>
        <w:t>Señor</w:t>
      </w:r>
    </w:p>
    <w:p w:rsidR="002E3996" w:rsidRPr="002E3996" w:rsidRDefault="002E3996" w:rsidP="008F13D6">
      <w:pPr>
        <w:spacing w:line="240" w:lineRule="auto"/>
        <w:rPr>
          <w:rFonts w:cs="Arial"/>
          <w:szCs w:val="24"/>
        </w:rPr>
      </w:pPr>
      <w:r w:rsidRPr="002E3996">
        <w:rPr>
          <w:rFonts w:cs="Arial"/>
          <w:szCs w:val="24"/>
        </w:rPr>
        <w:t>Presidente del Servicio de</w:t>
      </w:r>
    </w:p>
    <w:p w:rsidR="002E3996" w:rsidRPr="002E3996" w:rsidRDefault="002E3996" w:rsidP="008F13D6">
      <w:pPr>
        <w:spacing w:line="240" w:lineRule="auto"/>
        <w:rPr>
          <w:rFonts w:cs="Arial"/>
          <w:szCs w:val="24"/>
        </w:rPr>
      </w:pPr>
      <w:r w:rsidRPr="002E3996">
        <w:rPr>
          <w:rFonts w:cs="Arial"/>
          <w:szCs w:val="24"/>
        </w:rPr>
        <w:t>Comunicación Audiovisual Nacional (SECAN)</w:t>
      </w:r>
    </w:p>
    <w:p w:rsidR="002E3996" w:rsidRPr="002E3996" w:rsidRDefault="002E3996" w:rsidP="008F13D6">
      <w:pPr>
        <w:widowControl w:val="0"/>
        <w:spacing w:line="240" w:lineRule="auto"/>
        <w:rPr>
          <w:rFonts w:cs="Arial"/>
          <w:szCs w:val="24"/>
        </w:rPr>
      </w:pPr>
      <w:r w:rsidRPr="002E3996">
        <w:rPr>
          <w:rFonts w:cs="Arial"/>
          <w:szCs w:val="24"/>
        </w:rPr>
        <w:t xml:space="preserve">Ernesto </w:t>
      </w:r>
      <w:proofErr w:type="spellStart"/>
      <w:r w:rsidRPr="002E3996">
        <w:rPr>
          <w:rFonts w:cs="Arial"/>
          <w:szCs w:val="24"/>
        </w:rPr>
        <w:t>Kreimerman</w:t>
      </w:r>
      <w:proofErr w:type="spellEnd"/>
    </w:p>
    <w:p w:rsidR="002E3996" w:rsidRPr="002E3996" w:rsidRDefault="002E3996">
      <w:pPr>
        <w:rPr>
          <w:rFonts w:cs="Arial"/>
          <w:szCs w:val="24"/>
        </w:rPr>
      </w:pPr>
    </w:p>
    <w:p w:rsidR="002E3996" w:rsidRPr="002E3996" w:rsidRDefault="002E3996" w:rsidP="00682ECE">
      <w:pPr>
        <w:spacing w:line="360" w:lineRule="auto"/>
        <w:rPr>
          <w:rFonts w:cs="Arial"/>
          <w:szCs w:val="24"/>
        </w:rPr>
      </w:pPr>
    </w:p>
    <w:p w:rsidR="002E3996" w:rsidRPr="002E3996" w:rsidRDefault="002E3996" w:rsidP="008F13D6">
      <w:pPr>
        <w:spacing w:line="240" w:lineRule="auto"/>
        <w:jc w:val="right"/>
        <w:rPr>
          <w:rFonts w:cs="Arial"/>
          <w:szCs w:val="24"/>
        </w:rPr>
      </w:pPr>
      <w:r w:rsidRPr="002E3996">
        <w:rPr>
          <w:rFonts w:cs="Arial"/>
          <w:szCs w:val="24"/>
        </w:rPr>
        <w:t>E.</w:t>
      </w:r>
      <w:r w:rsidR="006F6717">
        <w:rPr>
          <w:rFonts w:cs="Arial"/>
          <w:szCs w:val="24"/>
        </w:rPr>
        <w:t xml:space="preserve"> E. 2018-17-1-0002239</w:t>
      </w:r>
    </w:p>
    <w:p w:rsidR="002E3996" w:rsidRPr="002E3996" w:rsidRDefault="002E3996" w:rsidP="008F13D6">
      <w:pPr>
        <w:spacing w:line="240" w:lineRule="auto"/>
        <w:jc w:val="right"/>
        <w:rPr>
          <w:rFonts w:cs="Arial"/>
          <w:szCs w:val="24"/>
        </w:rPr>
      </w:pPr>
      <w:proofErr w:type="spellStart"/>
      <w:r w:rsidRPr="002E3996">
        <w:rPr>
          <w:rFonts w:cs="Arial"/>
          <w:szCs w:val="24"/>
        </w:rPr>
        <w:t>Ents</w:t>
      </w:r>
      <w:proofErr w:type="spellEnd"/>
      <w:r w:rsidRPr="002E3996">
        <w:rPr>
          <w:rFonts w:cs="Arial"/>
          <w:szCs w:val="24"/>
        </w:rPr>
        <w:t xml:space="preserve">. 1556/18 y 1626/19 </w:t>
      </w:r>
    </w:p>
    <w:p w:rsidR="002E3996" w:rsidRDefault="002E3996" w:rsidP="008F13D6">
      <w:pPr>
        <w:spacing w:line="240" w:lineRule="auto"/>
        <w:jc w:val="right"/>
        <w:rPr>
          <w:rFonts w:cs="Arial"/>
          <w:szCs w:val="24"/>
        </w:rPr>
      </w:pPr>
      <w:r w:rsidRPr="002E3996">
        <w:rPr>
          <w:rFonts w:cs="Arial"/>
          <w:szCs w:val="24"/>
        </w:rPr>
        <w:t>Oficio 1925/19</w:t>
      </w:r>
    </w:p>
    <w:p w:rsidR="008F13D6" w:rsidRPr="002E3996" w:rsidRDefault="008F13D6" w:rsidP="008F13D6">
      <w:pPr>
        <w:spacing w:line="240" w:lineRule="auto"/>
        <w:jc w:val="right"/>
        <w:rPr>
          <w:rFonts w:cs="Arial"/>
          <w:szCs w:val="24"/>
        </w:rPr>
      </w:pPr>
    </w:p>
    <w:p w:rsidR="002E3996" w:rsidRPr="002E3996" w:rsidRDefault="002E3996" w:rsidP="00EA70D3">
      <w:pPr>
        <w:pStyle w:val="Prrafodelista"/>
        <w:keepLines/>
        <w:spacing w:line="360" w:lineRule="auto"/>
        <w:ind w:left="0" w:firstLine="851"/>
        <w:jc w:val="both"/>
        <w:rPr>
          <w:rFonts w:ascii="Arial" w:hAnsi="Arial" w:cs="Arial"/>
          <w:sz w:val="24"/>
          <w:szCs w:val="24"/>
        </w:rPr>
      </w:pPr>
      <w:r w:rsidRPr="002E3996">
        <w:rPr>
          <w:rFonts w:ascii="Arial" w:hAnsi="Arial" w:cs="Arial"/>
          <w:sz w:val="24"/>
          <w:szCs w:val="24"/>
        </w:rPr>
        <w:t>Con fecha 22 de marzo de 2018 la Administración Nacional de Combustibles, Alcohol y Portland (ANCAP) remitió al Tribunal de Cuentas el Estado de Ejecución Presupuestal correspondiente al Ejercicio 2017.</w:t>
      </w:r>
    </w:p>
    <w:p w:rsidR="002E3996" w:rsidRPr="002E3996" w:rsidRDefault="002E3996" w:rsidP="00EA70D3">
      <w:pPr>
        <w:pStyle w:val="Prrafodelista"/>
        <w:keepLines/>
        <w:spacing w:line="360" w:lineRule="auto"/>
        <w:ind w:left="0" w:firstLine="851"/>
        <w:jc w:val="both"/>
        <w:rPr>
          <w:rFonts w:ascii="Arial" w:hAnsi="Arial" w:cs="Arial"/>
          <w:sz w:val="24"/>
          <w:szCs w:val="24"/>
        </w:rPr>
      </w:pPr>
      <w:r w:rsidRPr="002E3996">
        <w:rPr>
          <w:rFonts w:ascii="Arial" w:hAnsi="Arial" w:cs="Arial"/>
          <w:sz w:val="24"/>
          <w:szCs w:val="24"/>
        </w:rPr>
        <w:t>Este Tribunal, en oportunidad de dictaminar sobre el referido Estado, ha analizado el cumplimiento por parte del Organismo del Artículo 226 de la Ley N° 18.172 de 31/08/07 y Artículo 17 de la Ley Nº 17.904 de 07/10/05.</w:t>
      </w:r>
    </w:p>
    <w:p w:rsidR="002E3996" w:rsidRPr="002E3996" w:rsidRDefault="002E3996" w:rsidP="00682ECE">
      <w:pPr>
        <w:pStyle w:val="Prrafodelista"/>
        <w:keepLines/>
        <w:spacing w:line="360" w:lineRule="auto"/>
        <w:ind w:left="0" w:firstLine="851"/>
        <w:jc w:val="both"/>
        <w:rPr>
          <w:rFonts w:ascii="Arial" w:hAnsi="Arial" w:cs="Arial"/>
          <w:sz w:val="24"/>
          <w:szCs w:val="24"/>
        </w:rPr>
      </w:pPr>
      <w:r w:rsidRPr="002E3996">
        <w:rPr>
          <w:rFonts w:ascii="Arial" w:hAnsi="Arial" w:cs="Arial"/>
          <w:sz w:val="24"/>
          <w:szCs w:val="24"/>
        </w:rPr>
        <w:t>La Administración Nacional de Combustibles, Alcohol y Portland no realizó gastos de publicidad radial y televisiva durante el Ejercicio 2017.</w:t>
      </w:r>
    </w:p>
    <w:p w:rsidR="002E3996" w:rsidRPr="002E3996" w:rsidRDefault="002E3996" w:rsidP="00682ECE">
      <w:pPr>
        <w:pStyle w:val="Prrafodelista"/>
        <w:keepLines/>
        <w:spacing w:line="360" w:lineRule="auto"/>
        <w:ind w:left="0" w:firstLine="851"/>
        <w:jc w:val="both"/>
        <w:rPr>
          <w:rFonts w:ascii="Arial" w:hAnsi="Arial" w:cs="Arial"/>
          <w:sz w:val="24"/>
          <w:szCs w:val="24"/>
        </w:rPr>
      </w:pPr>
      <w:r w:rsidRPr="002E3996">
        <w:rPr>
          <w:rFonts w:ascii="Arial" w:hAnsi="Arial" w:cs="Arial"/>
          <w:sz w:val="24"/>
          <w:szCs w:val="24"/>
        </w:rPr>
        <w:t>Es cuanto corresponde informar.</w:t>
      </w:r>
    </w:p>
    <w:p w:rsidR="002E3996" w:rsidRPr="002E3996" w:rsidRDefault="008F13D6" w:rsidP="00682ECE">
      <w:pPr>
        <w:spacing w:line="360" w:lineRule="auto"/>
        <w:jc w:val="right"/>
        <w:rPr>
          <w:rFonts w:cs="Arial"/>
          <w:szCs w:val="24"/>
        </w:rPr>
      </w:pPr>
      <w:r>
        <w:rPr>
          <w:rFonts w:cs="Arial"/>
          <w:szCs w:val="24"/>
        </w:rPr>
        <w:t>Saludo a Usted atentamente</w:t>
      </w:r>
    </w:p>
    <w:p w:rsidR="002E3996" w:rsidRPr="002E3996" w:rsidRDefault="002E3996" w:rsidP="002E3996">
      <w:pPr>
        <w:spacing w:line="360" w:lineRule="auto"/>
        <w:ind w:hanging="284"/>
        <w:rPr>
          <w:rFonts w:cs="Arial"/>
        </w:rPr>
      </w:pPr>
      <w:proofErr w:type="gramStart"/>
      <w:r>
        <w:rPr>
          <w:rFonts w:cs="Arial"/>
        </w:rPr>
        <w:t>dc</w:t>
      </w:r>
      <w:proofErr w:type="gramEnd"/>
    </w:p>
    <w:sectPr w:rsidR="002E3996" w:rsidRPr="002E3996" w:rsidSect="003D610E">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2B2F"/>
    <w:multiLevelType w:val="hybridMultilevel"/>
    <w:tmpl w:val="0B62EA58"/>
    <w:lvl w:ilvl="0" w:tplc="38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30733A2"/>
    <w:multiLevelType w:val="hybridMultilevel"/>
    <w:tmpl w:val="25409296"/>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1A2F316B"/>
    <w:multiLevelType w:val="multilevel"/>
    <w:tmpl w:val="AFD89F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469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DF0532"/>
    <w:multiLevelType w:val="hybridMultilevel"/>
    <w:tmpl w:val="A54CC9EE"/>
    <w:lvl w:ilvl="0" w:tplc="96968B1E">
      <w:start w:val="1"/>
      <w:numFmt w:val="decimal"/>
      <w:lvlText w:val="%1)"/>
      <w:lvlJc w:val="left"/>
      <w:pPr>
        <w:ind w:left="720" w:hanging="360"/>
      </w:pPr>
      <w:rPr>
        <w:rFonts w:ascii="Arial" w:hAnsi="Arial" w:hint="default"/>
        <w:b/>
        <w:i w:val="0"/>
        <w:sz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22583DC9"/>
    <w:multiLevelType w:val="hybridMultilevel"/>
    <w:tmpl w:val="EF727224"/>
    <w:lvl w:ilvl="0" w:tplc="41085970">
      <w:start w:val="1"/>
      <w:numFmt w:val="decimal"/>
      <w:lvlText w:val="%1"/>
      <w:lvlJc w:val="left"/>
      <w:pPr>
        <w:ind w:left="720" w:hanging="360"/>
      </w:pPr>
      <w:rPr>
        <w:rFonts w:hint="default"/>
        <w:b/>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3AA227C2"/>
    <w:multiLevelType w:val="hybridMultilevel"/>
    <w:tmpl w:val="39225398"/>
    <w:lvl w:ilvl="0" w:tplc="1676FC86">
      <w:start w:val="4"/>
      <w:numFmt w:val="bullet"/>
      <w:lvlText w:val="-"/>
      <w:lvlJc w:val="left"/>
      <w:pPr>
        <w:ind w:left="1778" w:hanging="360"/>
      </w:pPr>
      <w:rPr>
        <w:rFonts w:ascii="Arial" w:eastAsia="Calibri" w:hAnsi="Arial" w:cs="Arial" w:hint="default"/>
      </w:rPr>
    </w:lvl>
    <w:lvl w:ilvl="1" w:tplc="380A0003" w:tentative="1">
      <w:start w:val="1"/>
      <w:numFmt w:val="bullet"/>
      <w:lvlText w:val="o"/>
      <w:lvlJc w:val="left"/>
      <w:pPr>
        <w:ind w:left="2498" w:hanging="360"/>
      </w:pPr>
      <w:rPr>
        <w:rFonts w:ascii="Courier New" w:hAnsi="Courier New" w:cs="Courier New" w:hint="default"/>
      </w:rPr>
    </w:lvl>
    <w:lvl w:ilvl="2" w:tplc="380A0005" w:tentative="1">
      <w:start w:val="1"/>
      <w:numFmt w:val="bullet"/>
      <w:lvlText w:val=""/>
      <w:lvlJc w:val="left"/>
      <w:pPr>
        <w:ind w:left="3218" w:hanging="360"/>
      </w:pPr>
      <w:rPr>
        <w:rFonts w:ascii="Wingdings" w:hAnsi="Wingdings" w:hint="default"/>
      </w:rPr>
    </w:lvl>
    <w:lvl w:ilvl="3" w:tplc="380A0001" w:tentative="1">
      <w:start w:val="1"/>
      <w:numFmt w:val="bullet"/>
      <w:lvlText w:val=""/>
      <w:lvlJc w:val="left"/>
      <w:pPr>
        <w:ind w:left="3938" w:hanging="360"/>
      </w:pPr>
      <w:rPr>
        <w:rFonts w:ascii="Symbol" w:hAnsi="Symbol" w:hint="default"/>
      </w:rPr>
    </w:lvl>
    <w:lvl w:ilvl="4" w:tplc="380A0003" w:tentative="1">
      <w:start w:val="1"/>
      <w:numFmt w:val="bullet"/>
      <w:lvlText w:val="o"/>
      <w:lvlJc w:val="left"/>
      <w:pPr>
        <w:ind w:left="4658" w:hanging="360"/>
      </w:pPr>
      <w:rPr>
        <w:rFonts w:ascii="Courier New" w:hAnsi="Courier New" w:cs="Courier New" w:hint="default"/>
      </w:rPr>
    </w:lvl>
    <w:lvl w:ilvl="5" w:tplc="380A0005" w:tentative="1">
      <w:start w:val="1"/>
      <w:numFmt w:val="bullet"/>
      <w:lvlText w:val=""/>
      <w:lvlJc w:val="left"/>
      <w:pPr>
        <w:ind w:left="5378" w:hanging="360"/>
      </w:pPr>
      <w:rPr>
        <w:rFonts w:ascii="Wingdings" w:hAnsi="Wingdings" w:hint="default"/>
      </w:rPr>
    </w:lvl>
    <w:lvl w:ilvl="6" w:tplc="380A0001" w:tentative="1">
      <w:start w:val="1"/>
      <w:numFmt w:val="bullet"/>
      <w:lvlText w:val=""/>
      <w:lvlJc w:val="left"/>
      <w:pPr>
        <w:ind w:left="6098" w:hanging="360"/>
      </w:pPr>
      <w:rPr>
        <w:rFonts w:ascii="Symbol" w:hAnsi="Symbol" w:hint="default"/>
      </w:rPr>
    </w:lvl>
    <w:lvl w:ilvl="7" w:tplc="380A0003" w:tentative="1">
      <w:start w:val="1"/>
      <w:numFmt w:val="bullet"/>
      <w:lvlText w:val="o"/>
      <w:lvlJc w:val="left"/>
      <w:pPr>
        <w:ind w:left="6818" w:hanging="360"/>
      </w:pPr>
      <w:rPr>
        <w:rFonts w:ascii="Courier New" w:hAnsi="Courier New" w:cs="Courier New" w:hint="default"/>
      </w:rPr>
    </w:lvl>
    <w:lvl w:ilvl="8" w:tplc="380A0005" w:tentative="1">
      <w:start w:val="1"/>
      <w:numFmt w:val="bullet"/>
      <w:lvlText w:val=""/>
      <w:lvlJc w:val="left"/>
      <w:pPr>
        <w:ind w:left="7538" w:hanging="360"/>
      </w:pPr>
      <w:rPr>
        <w:rFonts w:ascii="Wingdings" w:hAnsi="Wingdings" w:hint="default"/>
      </w:rPr>
    </w:lvl>
  </w:abstractNum>
  <w:abstractNum w:abstractNumId="6">
    <w:nsid w:val="474743D9"/>
    <w:multiLevelType w:val="hybridMultilevel"/>
    <w:tmpl w:val="5C14E278"/>
    <w:lvl w:ilvl="0" w:tplc="04A0DA04">
      <w:start w:val="4"/>
      <w:numFmt w:val="bullet"/>
      <w:lvlText w:val="-"/>
      <w:lvlJc w:val="left"/>
      <w:pPr>
        <w:ind w:left="2203" w:hanging="360"/>
      </w:pPr>
      <w:rPr>
        <w:rFonts w:ascii="Arial" w:eastAsia="Calibri" w:hAnsi="Arial" w:cs="Arial" w:hint="default"/>
      </w:rPr>
    </w:lvl>
    <w:lvl w:ilvl="1" w:tplc="380A0003" w:tentative="1">
      <w:start w:val="1"/>
      <w:numFmt w:val="bullet"/>
      <w:lvlText w:val="o"/>
      <w:lvlJc w:val="left"/>
      <w:pPr>
        <w:ind w:left="2923" w:hanging="360"/>
      </w:pPr>
      <w:rPr>
        <w:rFonts w:ascii="Courier New" w:hAnsi="Courier New" w:cs="Courier New" w:hint="default"/>
      </w:rPr>
    </w:lvl>
    <w:lvl w:ilvl="2" w:tplc="380A0005" w:tentative="1">
      <w:start w:val="1"/>
      <w:numFmt w:val="bullet"/>
      <w:lvlText w:val=""/>
      <w:lvlJc w:val="left"/>
      <w:pPr>
        <w:ind w:left="3643" w:hanging="360"/>
      </w:pPr>
      <w:rPr>
        <w:rFonts w:ascii="Wingdings" w:hAnsi="Wingdings" w:hint="default"/>
      </w:rPr>
    </w:lvl>
    <w:lvl w:ilvl="3" w:tplc="380A0001" w:tentative="1">
      <w:start w:val="1"/>
      <w:numFmt w:val="bullet"/>
      <w:lvlText w:val=""/>
      <w:lvlJc w:val="left"/>
      <w:pPr>
        <w:ind w:left="4363" w:hanging="360"/>
      </w:pPr>
      <w:rPr>
        <w:rFonts w:ascii="Symbol" w:hAnsi="Symbol" w:hint="default"/>
      </w:rPr>
    </w:lvl>
    <w:lvl w:ilvl="4" w:tplc="380A0003" w:tentative="1">
      <w:start w:val="1"/>
      <w:numFmt w:val="bullet"/>
      <w:lvlText w:val="o"/>
      <w:lvlJc w:val="left"/>
      <w:pPr>
        <w:ind w:left="5083" w:hanging="360"/>
      </w:pPr>
      <w:rPr>
        <w:rFonts w:ascii="Courier New" w:hAnsi="Courier New" w:cs="Courier New" w:hint="default"/>
      </w:rPr>
    </w:lvl>
    <w:lvl w:ilvl="5" w:tplc="380A0005" w:tentative="1">
      <w:start w:val="1"/>
      <w:numFmt w:val="bullet"/>
      <w:lvlText w:val=""/>
      <w:lvlJc w:val="left"/>
      <w:pPr>
        <w:ind w:left="5803" w:hanging="360"/>
      </w:pPr>
      <w:rPr>
        <w:rFonts w:ascii="Wingdings" w:hAnsi="Wingdings" w:hint="default"/>
      </w:rPr>
    </w:lvl>
    <w:lvl w:ilvl="6" w:tplc="380A0001" w:tentative="1">
      <w:start w:val="1"/>
      <w:numFmt w:val="bullet"/>
      <w:lvlText w:val=""/>
      <w:lvlJc w:val="left"/>
      <w:pPr>
        <w:ind w:left="6523" w:hanging="360"/>
      </w:pPr>
      <w:rPr>
        <w:rFonts w:ascii="Symbol" w:hAnsi="Symbol" w:hint="default"/>
      </w:rPr>
    </w:lvl>
    <w:lvl w:ilvl="7" w:tplc="380A0003" w:tentative="1">
      <w:start w:val="1"/>
      <w:numFmt w:val="bullet"/>
      <w:lvlText w:val="o"/>
      <w:lvlJc w:val="left"/>
      <w:pPr>
        <w:ind w:left="7243" w:hanging="360"/>
      </w:pPr>
      <w:rPr>
        <w:rFonts w:ascii="Courier New" w:hAnsi="Courier New" w:cs="Courier New" w:hint="default"/>
      </w:rPr>
    </w:lvl>
    <w:lvl w:ilvl="8" w:tplc="380A0005" w:tentative="1">
      <w:start w:val="1"/>
      <w:numFmt w:val="bullet"/>
      <w:lvlText w:val=""/>
      <w:lvlJc w:val="left"/>
      <w:pPr>
        <w:ind w:left="7963" w:hanging="360"/>
      </w:pPr>
      <w:rPr>
        <w:rFonts w:ascii="Wingdings" w:hAnsi="Wingdings" w:hint="default"/>
      </w:rPr>
    </w:lvl>
  </w:abstractNum>
  <w:abstractNum w:abstractNumId="7">
    <w:nsid w:val="5D623E45"/>
    <w:multiLevelType w:val="hybridMultilevel"/>
    <w:tmpl w:val="32CE8E20"/>
    <w:lvl w:ilvl="0" w:tplc="380A0005">
      <w:start w:val="1"/>
      <w:numFmt w:val="bullet"/>
      <w:lvlText w:val=""/>
      <w:lvlJc w:val="left"/>
      <w:pPr>
        <w:ind w:left="1139" w:hanging="495"/>
      </w:pPr>
      <w:rPr>
        <w:rFonts w:ascii="Wingdings" w:hAnsi="Wingdings" w:hint="default"/>
      </w:rPr>
    </w:lvl>
    <w:lvl w:ilvl="1" w:tplc="380A0019" w:tentative="1">
      <w:start w:val="1"/>
      <w:numFmt w:val="lowerLetter"/>
      <w:lvlText w:val="%2."/>
      <w:lvlJc w:val="left"/>
      <w:pPr>
        <w:ind w:left="1724" w:hanging="360"/>
      </w:pPr>
    </w:lvl>
    <w:lvl w:ilvl="2" w:tplc="380A001B" w:tentative="1">
      <w:start w:val="1"/>
      <w:numFmt w:val="lowerRoman"/>
      <w:lvlText w:val="%3."/>
      <w:lvlJc w:val="right"/>
      <w:pPr>
        <w:ind w:left="2444" w:hanging="180"/>
      </w:pPr>
    </w:lvl>
    <w:lvl w:ilvl="3" w:tplc="380A000F" w:tentative="1">
      <w:start w:val="1"/>
      <w:numFmt w:val="decimal"/>
      <w:lvlText w:val="%4."/>
      <w:lvlJc w:val="left"/>
      <w:pPr>
        <w:ind w:left="3164" w:hanging="360"/>
      </w:pPr>
    </w:lvl>
    <w:lvl w:ilvl="4" w:tplc="380A0019" w:tentative="1">
      <w:start w:val="1"/>
      <w:numFmt w:val="lowerLetter"/>
      <w:lvlText w:val="%5."/>
      <w:lvlJc w:val="left"/>
      <w:pPr>
        <w:ind w:left="3884" w:hanging="360"/>
      </w:pPr>
    </w:lvl>
    <w:lvl w:ilvl="5" w:tplc="380A001B" w:tentative="1">
      <w:start w:val="1"/>
      <w:numFmt w:val="lowerRoman"/>
      <w:lvlText w:val="%6."/>
      <w:lvlJc w:val="right"/>
      <w:pPr>
        <w:ind w:left="4604" w:hanging="180"/>
      </w:pPr>
    </w:lvl>
    <w:lvl w:ilvl="6" w:tplc="380A000F" w:tentative="1">
      <w:start w:val="1"/>
      <w:numFmt w:val="decimal"/>
      <w:lvlText w:val="%7."/>
      <w:lvlJc w:val="left"/>
      <w:pPr>
        <w:ind w:left="5324" w:hanging="360"/>
      </w:pPr>
    </w:lvl>
    <w:lvl w:ilvl="7" w:tplc="380A0019" w:tentative="1">
      <w:start w:val="1"/>
      <w:numFmt w:val="lowerLetter"/>
      <w:lvlText w:val="%8."/>
      <w:lvlJc w:val="left"/>
      <w:pPr>
        <w:ind w:left="6044" w:hanging="360"/>
      </w:pPr>
    </w:lvl>
    <w:lvl w:ilvl="8" w:tplc="380A001B" w:tentative="1">
      <w:start w:val="1"/>
      <w:numFmt w:val="lowerRoman"/>
      <w:lvlText w:val="%9."/>
      <w:lvlJc w:val="right"/>
      <w:pPr>
        <w:ind w:left="6764" w:hanging="180"/>
      </w:pPr>
    </w:lvl>
  </w:abstractNum>
  <w:abstractNum w:abstractNumId="8">
    <w:nsid w:val="63F6131C"/>
    <w:multiLevelType w:val="hybridMultilevel"/>
    <w:tmpl w:val="9C40E24C"/>
    <w:lvl w:ilvl="0" w:tplc="380A0005">
      <w:start w:val="1"/>
      <w:numFmt w:val="bullet"/>
      <w:lvlText w:val=""/>
      <w:lvlJc w:val="left"/>
      <w:pPr>
        <w:ind w:left="720" w:hanging="360"/>
      </w:pPr>
      <w:rPr>
        <w:rFonts w:ascii="Wingdings" w:hAnsi="Wingdings" w:hint="default"/>
        <w:b/>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66592E72"/>
    <w:multiLevelType w:val="hybridMultilevel"/>
    <w:tmpl w:val="B67665C6"/>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5"/>
  </w:num>
  <w:num w:numId="5">
    <w:abstractNumId w:val="8"/>
  </w:num>
  <w:num w:numId="6">
    <w:abstractNumId w:val="7"/>
  </w:num>
  <w:num w:numId="7">
    <w:abstractNumId w:val="4"/>
  </w:num>
  <w:num w:numId="8">
    <w:abstractNumId w:val="0"/>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21"/>
    <w:rsid w:val="000D081E"/>
    <w:rsid w:val="00100FEE"/>
    <w:rsid w:val="001127A7"/>
    <w:rsid w:val="00273EFD"/>
    <w:rsid w:val="002E3996"/>
    <w:rsid w:val="00384886"/>
    <w:rsid w:val="003D610E"/>
    <w:rsid w:val="00465921"/>
    <w:rsid w:val="004D3024"/>
    <w:rsid w:val="006F6717"/>
    <w:rsid w:val="00877320"/>
    <w:rsid w:val="008F13D6"/>
    <w:rsid w:val="009F0F91"/>
    <w:rsid w:val="00B047A6"/>
    <w:rsid w:val="00B471E0"/>
    <w:rsid w:val="00B71A7E"/>
    <w:rsid w:val="00D95545"/>
    <w:rsid w:val="00E51272"/>
    <w:rsid w:val="00EB30CE"/>
    <w:rsid w:val="00EF1D7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21"/>
    <w:pPr>
      <w:jc w:val="both"/>
    </w:pPr>
    <w:rPr>
      <w:rFonts w:ascii="Arial" w:eastAsia="Calibri" w:hAnsi="Arial" w:cs="Times New Roman"/>
      <w:sz w:val="24"/>
    </w:rPr>
  </w:style>
  <w:style w:type="paragraph" w:styleId="Ttulo1">
    <w:name w:val="heading 1"/>
    <w:basedOn w:val="Normal"/>
    <w:next w:val="Normal"/>
    <w:link w:val="Ttulo1Car"/>
    <w:uiPriority w:val="99"/>
    <w:qFormat/>
    <w:rsid w:val="00EB3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5921"/>
    <w:pPr>
      <w:ind w:left="720"/>
      <w:contextualSpacing/>
      <w:jc w:val="left"/>
    </w:pPr>
    <w:rPr>
      <w:rFonts w:ascii="Calibri" w:hAnsi="Calibri"/>
      <w:sz w:val="22"/>
    </w:rPr>
  </w:style>
  <w:style w:type="paragraph" w:styleId="Encabezado">
    <w:name w:val="header"/>
    <w:basedOn w:val="Normal"/>
    <w:link w:val="EncabezadoCar"/>
    <w:uiPriority w:val="99"/>
    <w:rsid w:val="00B047A6"/>
    <w:pPr>
      <w:tabs>
        <w:tab w:val="center" w:pos="4419"/>
        <w:tab w:val="right" w:pos="8838"/>
      </w:tabs>
      <w:spacing w:after="0" w:line="240" w:lineRule="auto"/>
      <w:jc w:val="left"/>
    </w:pPr>
    <w:rPr>
      <w:rFonts w:ascii="Bookman Old Style" w:eastAsia="Times New Roman" w:hAnsi="Bookman Old Style"/>
      <w:szCs w:val="20"/>
      <w:lang w:val="es-ES" w:eastAsia="es-ES"/>
    </w:rPr>
  </w:style>
  <w:style w:type="character" w:customStyle="1" w:styleId="EncabezadoCar">
    <w:name w:val="Encabezado Car"/>
    <w:basedOn w:val="Fuentedeprrafopredeter"/>
    <w:link w:val="Encabezado"/>
    <w:uiPriority w:val="99"/>
    <w:rsid w:val="00B047A6"/>
    <w:rPr>
      <w:rFonts w:ascii="Bookman Old Style" w:eastAsia="Times New Roman" w:hAnsi="Bookman Old Style" w:cs="Times New Roman"/>
      <w:sz w:val="24"/>
      <w:szCs w:val="20"/>
      <w:lang w:val="es-ES" w:eastAsia="es-ES"/>
    </w:rPr>
  </w:style>
  <w:style w:type="character" w:customStyle="1" w:styleId="Ttulo1Car">
    <w:name w:val="Título 1 Car"/>
    <w:basedOn w:val="Fuentedeprrafopredeter"/>
    <w:link w:val="Ttulo1"/>
    <w:uiPriority w:val="99"/>
    <w:rsid w:val="00EB30CE"/>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nhideWhenUsed/>
    <w:rsid w:val="00EB30CE"/>
    <w:pPr>
      <w:spacing w:after="120"/>
    </w:pPr>
  </w:style>
  <w:style w:type="character" w:customStyle="1" w:styleId="TextoindependienteCar">
    <w:name w:val="Texto independiente Car"/>
    <w:basedOn w:val="Fuentedeprrafopredeter"/>
    <w:link w:val="Textoindependiente"/>
    <w:rsid w:val="00EB30CE"/>
    <w:rPr>
      <w:rFonts w:ascii="Arial" w:eastAsia="Calibri" w:hAnsi="Arial" w:cs="Times New Roman"/>
      <w:sz w:val="24"/>
    </w:rPr>
  </w:style>
  <w:style w:type="paragraph" w:customStyle="1" w:styleId="Textonormal">
    <w:name w:val="Texto normal"/>
    <w:basedOn w:val="Textoindependiente"/>
    <w:rsid w:val="00384886"/>
    <w:pPr>
      <w:widowControl w:val="0"/>
      <w:tabs>
        <w:tab w:val="left" w:pos="-720"/>
      </w:tabs>
      <w:suppressAutoHyphens/>
      <w:spacing w:after="0" w:line="480" w:lineRule="auto"/>
    </w:pPr>
    <w:rPr>
      <w:rFonts w:ascii="Courier" w:eastAsia="Times New Roman" w:hAnsi="Courier" w:cs="Courier"/>
      <w:spacing w:val="-3"/>
      <w:szCs w:val="24"/>
      <w:lang w:val="es-ES_tradnl" w:eastAsia="es-ES"/>
    </w:rPr>
  </w:style>
  <w:style w:type="paragraph" w:customStyle="1" w:styleId="Default">
    <w:name w:val="Default"/>
    <w:rsid w:val="00384886"/>
    <w:pPr>
      <w:autoSpaceDE w:val="0"/>
      <w:autoSpaceDN w:val="0"/>
      <w:adjustRightInd w:val="0"/>
      <w:spacing w:after="0" w:line="240" w:lineRule="auto"/>
    </w:pPr>
    <w:rPr>
      <w:rFonts w:ascii="Arial" w:eastAsia="Calibri" w:hAnsi="Arial" w:cs="Arial"/>
      <w:color w:val="000000"/>
      <w:sz w:val="24"/>
      <w:szCs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21"/>
    <w:pPr>
      <w:jc w:val="both"/>
    </w:pPr>
    <w:rPr>
      <w:rFonts w:ascii="Arial" w:eastAsia="Calibri" w:hAnsi="Arial" w:cs="Times New Roman"/>
      <w:sz w:val="24"/>
    </w:rPr>
  </w:style>
  <w:style w:type="paragraph" w:styleId="Ttulo1">
    <w:name w:val="heading 1"/>
    <w:basedOn w:val="Normal"/>
    <w:next w:val="Normal"/>
    <w:link w:val="Ttulo1Car"/>
    <w:uiPriority w:val="99"/>
    <w:qFormat/>
    <w:rsid w:val="00EB3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5921"/>
    <w:pPr>
      <w:ind w:left="720"/>
      <w:contextualSpacing/>
      <w:jc w:val="left"/>
    </w:pPr>
    <w:rPr>
      <w:rFonts w:ascii="Calibri" w:hAnsi="Calibri"/>
      <w:sz w:val="22"/>
    </w:rPr>
  </w:style>
  <w:style w:type="paragraph" w:styleId="Encabezado">
    <w:name w:val="header"/>
    <w:basedOn w:val="Normal"/>
    <w:link w:val="EncabezadoCar"/>
    <w:uiPriority w:val="99"/>
    <w:rsid w:val="00B047A6"/>
    <w:pPr>
      <w:tabs>
        <w:tab w:val="center" w:pos="4419"/>
        <w:tab w:val="right" w:pos="8838"/>
      </w:tabs>
      <w:spacing w:after="0" w:line="240" w:lineRule="auto"/>
      <w:jc w:val="left"/>
    </w:pPr>
    <w:rPr>
      <w:rFonts w:ascii="Bookman Old Style" w:eastAsia="Times New Roman" w:hAnsi="Bookman Old Style"/>
      <w:szCs w:val="20"/>
      <w:lang w:val="es-ES" w:eastAsia="es-ES"/>
    </w:rPr>
  </w:style>
  <w:style w:type="character" w:customStyle="1" w:styleId="EncabezadoCar">
    <w:name w:val="Encabezado Car"/>
    <w:basedOn w:val="Fuentedeprrafopredeter"/>
    <w:link w:val="Encabezado"/>
    <w:uiPriority w:val="99"/>
    <w:rsid w:val="00B047A6"/>
    <w:rPr>
      <w:rFonts w:ascii="Bookman Old Style" w:eastAsia="Times New Roman" w:hAnsi="Bookman Old Style" w:cs="Times New Roman"/>
      <w:sz w:val="24"/>
      <w:szCs w:val="20"/>
      <w:lang w:val="es-ES" w:eastAsia="es-ES"/>
    </w:rPr>
  </w:style>
  <w:style w:type="character" w:customStyle="1" w:styleId="Ttulo1Car">
    <w:name w:val="Título 1 Car"/>
    <w:basedOn w:val="Fuentedeprrafopredeter"/>
    <w:link w:val="Ttulo1"/>
    <w:uiPriority w:val="99"/>
    <w:rsid w:val="00EB30CE"/>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nhideWhenUsed/>
    <w:rsid w:val="00EB30CE"/>
    <w:pPr>
      <w:spacing w:after="120"/>
    </w:pPr>
  </w:style>
  <w:style w:type="character" w:customStyle="1" w:styleId="TextoindependienteCar">
    <w:name w:val="Texto independiente Car"/>
    <w:basedOn w:val="Fuentedeprrafopredeter"/>
    <w:link w:val="Textoindependiente"/>
    <w:rsid w:val="00EB30CE"/>
    <w:rPr>
      <w:rFonts w:ascii="Arial" w:eastAsia="Calibri" w:hAnsi="Arial" w:cs="Times New Roman"/>
      <w:sz w:val="24"/>
    </w:rPr>
  </w:style>
  <w:style w:type="paragraph" w:customStyle="1" w:styleId="Textonormal">
    <w:name w:val="Texto normal"/>
    <w:basedOn w:val="Textoindependiente"/>
    <w:rsid w:val="00384886"/>
    <w:pPr>
      <w:widowControl w:val="0"/>
      <w:tabs>
        <w:tab w:val="left" w:pos="-720"/>
      </w:tabs>
      <w:suppressAutoHyphens/>
      <w:spacing w:after="0" w:line="480" w:lineRule="auto"/>
    </w:pPr>
    <w:rPr>
      <w:rFonts w:ascii="Courier" w:eastAsia="Times New Roman" w:hAnsi="Courier" w:cs="Courier"/>
      <w:spacing w:val="-3"/>
      <w:szCs w:val="24"/>
      <w:lang w:val="es-ES_tradnl" w:eastAsia="es-ES"/>
    </w:rPr>
  </w:style>
  <w:style w:type="paragraph" w:customStyle="1" w:styleId="Default">
    <w:name w:val="Default"/>
    <w:rsid w:val="00384886"/>
    <w:pPr>
      <w:autoSpaceDE w:val="0"/>
      <w:autoSpaceDN w:val="0"/>
      <w:adjustRightInd w:val="0"/>
      <w:spacing w:after="0" w:line="240" w:lineRule="auto"/>
    </w:pPr>
    <w:rPr>
      <w:rFonts w:ascii="Arial" w:eastAsia="Calibri" w:hAnsi="Arial" w:cs="Arial"/>
      <w:color w:val="000000"/>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preciaci%C3%B3n" TargetMode="External"/><Relationship Id="rId13" Type="http://schemas.openxmlformats.org/officeDocument/2006/relationships/hyperlink" Target="https://es.wikipedia.org/wiki/Amortizaci%C3%B3n" TargetMode="External"/><Relationship Id="rId3" Type="http://schemas.microsoft.com/office/2007/relationships/stylesWithEffects" Target="stylesWithEffects.xml"/><Relationship Id="rId7" Type="http://schemas.openxmlformats.org/officeDocument/2006/relationships/hyperlink" Target="https://es.wikipedia.org/wiki/Impuestos" TargetMode="External"/><Relationship Id="rId12" Type="http://schemas.openxmlformats.org/officeDocument/2006/relationships/hyperlink" Target="https://es.wikipedia.org/wiki/Depreciaci%C3%B3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Intereses" TargetMode="External"/><Relationship Id="rId11" Type="http://schemas.openxmlformats.org/officeDocument/2006/relationships/hyperlink" Target="https://es.wikipedia.org/wiki/Impuest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wikipedia.org/wiki/Intereses" TargetMode="External"/><Relationship Id="rId4" Type="http://schemas.openxmlformats.org/officeDocument/2006/relationships/settings" Target="settings.xml"/><Relationship Id="rId9" Type="http://schemas.openxmlformats.org/officeDocument/2006/relationships/hyperlink" Target="https://es.wikipedia.org/wiki/Amortizaci%C3%B3n"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39</Pages>
  <Words>9373</Words>
  <Characters>51557</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Tribunal1</cp:lastModifiedBy>
  <cp:revision>7</cp:revision>
  <cp:lastPrinted>2019-04-08T16:19:00Z</cp:lastPrinted>
  <dcterms:created xsi:type="dcterms:W3CDTF">2019-04-08T16:20:00Z</dcterms:created>
  <dcterms:modified xsi:type="dcterms:W3CDTF">2019-05-06T19:25:00Z</dcterms:modified>
</cp:coreProperties>
</file>