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507" w:rsidRPr="00786EEB" w:rsidRDefault="00697507"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883/19</w:t>
      </w:r>
    </w:p>
    <w:p w:rsidR="00697507" w:rsidRDefault="00697507" w:rsidP="00786EEB">
      <w:pPr>
        <w:tabs>
          <w:tab w:val="center" w:pos="4253"/>
        </w:tabs>
        <w:suppressAutoHyphens/>
        <w:jc w:val="right"/>
        <w:rPr>
          <w:rFonts w:ascii="Arial" w:hAnsi="Arial" w:cs="Arial"/>
          <w:b/>
          <w:lang w:val="es-ES_tradnl"/>
        </w:rPr>
      </w:pPr>
    </w:p>
    <w:p w:rsidR="00697507" w:rsidRPr="00762B34" w:rsidRDefault="00697507">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697507" w:rsidRPr="00762B34" w:rsidRDefault="00697507">
      <w:pPr>
        <w:tabs>
          <w:tab w:val="left" w:pos="-720"/>
        </w:tabs>
        <w:suppressAutoHyphens/>
        <w:jc w:val="center"/>
        <w:rPr>
          <w:rFonts w:ascii="Arial" w:hAnsi="Arial" w:cs="Arial"/>
          <w:b/>
          <w:lang w:val="es-ES_tradnl"/>
        </w:rPr>
      </w:pPr>
    </w:p>
    <w:p w:rsidR="00697507" w:rsidRPr="00762B34" w:rsidRDefault="00697507">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697507" w:rsidRPr="00762B34" w:rsidRDefault="00697507">
      <w:pPr>
        <w:tabs>
          <w:tab w:val="left" w:pos="-720"/>
        </w:tabs>
        <w:suppressAutoHyphens/>
        <w:jc w:val="center"/>
        <w:rPr>
          <w:rFonts w:ascii="Arial" w:hAnsi="Arial" w:cs="Arial"/>
          <w:b/>
          <w:lang w:val="es-ES_tradnl"/>
        </w:rPr>
      </w:pPr>
    </w:p>
    <w:p w:rsidR="00697507" w:rsidRPr="00762B34" w:rsidRDefault="00697507">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Helvetica" w:hAnsi="Helvetica"/>
          <w:b/>
          <w:lang w:val="es-ES_tradnl"/>
        </w:rPr>
        <w:t>3 DE ABRIL DE 2019</w:t>
      </w:r>
    </w:p>
    <w:p w:rsidR="00697507" w:rsidRPr="00762B34" w:rsidRDefault="00697507">
      <w:pPr>
        <w:tabs>
          <w:tab w:val="center" w:pos="4253"/>
        </w:tabs>
        <w:suppressAutoHyphens/>
        <w:jc w:val="center"/>
        <w:rPr>
          <w:rFonts w:ascii="Arial" w:hAnsi="Arial" w:cs="Arial"/>
          <w:b/>
          <w:lang w:val="es-ES_tradnl"/>
        </w:rPr>
      </w:pPr>
    </w:p>
    <w:p w:rsidR="00697507" w:rsidRPr="00762B34" w:rsidRDefault="00697507">
      <w:pPr>
        <w:tabs>
          <w:tab w:val="center" w:pos="4253"/>
        </w:tabs>
        <w:suppressAutoHyphens/>
        <w:jc w:val="center"/>
        <w:rPr>
          <w:rFonts w:ascii="Arial" w:hAnsi="Arial" w:cs="Arial"/>
          <w:b/>
          <w:lang w:val="en-US"/>
        </w:rPr>
      </w:pPr>
      <w:r w:rsidRPr="00762B34">
        <w:rPr>
          <w:rFonts w:ascii="Arial" w:hAnsi="Arial" w:cs="Arial"/>
          <w:b/>
          <w:lang w:val="en-US"/>
        </w:rPr>
        <w:t xml:space="preserve">(E. E. Nº </w:t>
      </w:r>
      <w:r>
        <w:rPr>
          <w:rFonts w:ascii="Arial" w:hAnsi="Arial" w:cs="Arial"/>
          <w:b/>
          <w:lang w:val="en-US"/>
        </w:rPr>
        <w:t>2015-17-1-0008246</w:t>
      </w:r>
      <w:r w:rsidRPr="00762B34">
        <w:rPr>
          <w:rFonts w:ascii="Arial" w:hAnsi="Arial" w:cs="Arial"/>
          <w:b/>
          <w:lang w:val="en-US"/>
        </w:rPr>
        <w:t xml:space="preserve">, </w:t>
      </w:r>
      <w:proofErr w:type="gramStart"/>
      <w:r w:rsidRPr="00762B34">
        <w:rPr>
          <w:rFonts w:ascii="Arial" w:hAnsi="Arial" w:cs="Arial"/>
          <w:b/>
          <w:lang w:val="en-US"/>
        </w:rPr>
        <w:t>Ent</w:t>
      </w:r>
      <w:proofErr w:type="gramEnd"/>
      <w:r w:rsidRPr="00762B34">
        <w:rPr>
          <w:rFonts w:ascii="Arial" w:hAnsi="Arial" w:cs="Arial"/>
          <w:b/>
          <w:lang w:val="en-US"/>
        </w:rPr>
        <w:t xml:space="preserve">. N° </w:t>
      </w:r>
      <w:r>
        <w:rPr>
          <w:rFonts w:ascii="Arial" w:hAnsi="Arial" w:cs="Arial"/>
          <w:b/>
          <w:lang w:val="en-US"/>
        </w:rPr>
        <w:t>1031/19</w:t>
      </w:r>
      <w:r w:rsidRPr="00762B34">
        <w:rPr>
          <w:rFonts w:ascii="Arial" w:hAnsi="Arial" w:cs="Arial"/>
          <w:b/>
          <w:lang w:val="en-US"/>
        </w:rPr>
        <w:t>)</w:t>
      </w:r>
    </w:p>
    <w:p w:rsidR="00697507" w:rsidRDefault="00697507">
      <w:pPr>
        <w:tabs>
          <w:tab w:val="center" w:pos="4253"/>
        </w:tabs>
        <w:suppressAutoHyphens/>
        <w:jc w:val="center"/>
        <w:rPr>
          <w:rFonts w:ascii="Helvetica" w:hAnsi="Helvetica"/>
          <w:b/>
          <w:lang w:val="en-US"/>
        </w:rPr>
      </w:pPr>
    </w:p>
    <w:p w:rsidR="00697507" w:rsidRDefault="00F7004E" w:rsidP="00697507">
      <w:pPr>
        <w:spacing w:line="360" w:lineRule="auto"/>
        <w:ind w:firstLine="851"/>
        <w:jc w:val="both"/>
        <w:rPr>
          <w:rFonts w:ascii="Arial" w:hAnsi="Arial" w:cs="Arial"/>
        </w:rPr>
      </w:pPr>
      <w:r>
        <w:rPr>
          <w:rFonts w:ascii="Arial" w:hAnsi="Arial" w:cs="Arial"/>
          <w:b/>
        </w:rPr>
        <w:t>VISTO:</w:t>
      </w:r>
      <w:r>
        <w:rPr>
          <w:rFonts w:ascii="Arial" w:hAnsi="Arial" w:cs="Arial"/>
        </w:rPr>
        <w:t xml:space="preserve"> las nuevas actuaciones remitidas por la Administración de las Obras Sanitarias del Estado, relacionadas con la </w:t>
      </w:r>
      <w:r w:rsidR="00CB4502">
        <w:rPr>
          <w:rFonts w:ascii="Arial" w:hAnsi="Arial" w:cs="Arial"/>
        </w:rPr>
        <w:t>ampliación</w:t>
      </w:r>
      <w:r>
        <w:rPr>
          <w:rFonts w:ascii="Arial" w:hAnsi="Arial" w:cs="Arial"/>
        </w:rPr>
        <w:t xml:space="preserve"> de la Licitación Pública Internacional N° 15.292, para el suministro y ejecución de obras civiles para la detección y reducción de agua no contabilizada en la ciudad de </w:t>
      </w:r>
      <w:r w:rsidR="000767B0">
        <w:rPr>
          <w:rFonts w:ascii="Arial" w:hAnsi="Arial" w:cs="Arial"/>
        </w:rPr>
        <w:t>Rivera – Departamento de Rivera, en el marco del proyecto financiado con el Préstamo Nº 8183 UR – OSE Sustentable y Eficiente;</w:t>
      </w:r>
    </w:p>
    <w:p w:rsidR="00697507" w:rsidRDefault="00F7004E" w:rsidP="00697507">
      <w:pPr>
        <w:spacing w:line="360" w:lineRule="auto"/>
        <w:ind w:firstLine="851"/>
        <w:jc w:val="both"/>
        <w:rPr>
          <w:rFonts w:ascii="Arial" w:hAnsi="Arial" w:cs="Arial"/>
        </w:rPr>
      </w:pPr>
      <w:r>
        <w:rPr>
          <w:rFonts w:ascii="Arial" w:hAnsi="Arial" w:cs="Arial"/>
          <w:b/>
        </w:rPr>
        <w:t>RESULTANDO: 1)</w:t>
      </w:r>
      <w:r>
        <w:rPr>
          <w:rFonts w:ascii="Arial" w:hAnsi="Arial" w:cs="Arial"/>
        </w:rPr>
        <w:t xml:space="preserve"> que </w:t>
      </w:r>
      <w:r w:rsidR="0089401F">
        <w:rPr>
          <w:rFonts w:ascii="Arial" w:hAnsi="Arial" w:cs="Arial"/>
        </w:rPr>
        <w:t xml:space="preserve">por Resolución Nº 1168/15 de </w:t>
      </w:r>
      <w:r w:rsidR="00697507">
        <w:rPr>
          <w:rFonts w:ascii="Arial" w:hAnsi="Arial" w:cs="Arial"/>
        </w:rPr>
        <w:t>fecha 14/10/15, se adjudicó la L</w:t>
      </w:r>
      <w:r w:rsidR="0089401F">
        <w:rPr>
          <w:rFonts w:ascii="Arial" w:hAnsi="Arial" w:cs="Arial"/>
        </w:rPr>
        <w:t xml:space="preserve">icitación de referencia a </w:t>
      </w:r>
      <w:proofErr w:type="spellStart"/>
      <w:r w:rsidR="0089401F">
        <w:rPr>
          <w:rFonts w:ascii="Arial" w:hAnsi="Arial" w:cs="Arial"/>
        </w:rPr>
        <w:t>Montelecnor</w:t>
      </w:r>
      <w:proofErr w:type="spellEnd"/>
      <w:r w:rsidR="0089401F">
        <w:rPr>
          <w:rFonts w:ascii="Arial" w:hAnsi="Arial" w:cs="Arial"/>
        </w:rPr>
        <w:t xml:space="preserve"> S.A</w:t>
      </w:r>
      <w:r w:rsidR="00697507">
        <w:rPr>
          <w:rFonts w:ascii="Arial" w:hAnsi="Arial" w:cs="Arial"/>
        </w:rPr>
        <w:t>.</w:t>
      </w:r>
      <w:r w:rsidR="0089401F">
        <w:rPr>
          <w:rFonts w:ascii="Arial" w:hAnsi="Arial" w:cs="Arial"/>
        </w:rPr>
        <w:t>, autorizándose un crédito por las sumas de $ 126:854.888,09, U$S 178.765,72 y € 118.213,80;</w:t>
      </w:r>
    </w:p>
    <w:p w:rsidR="00697507" w:rsidRDefault="0089401F" w:rsidP="00697507">
      <w:pPr>
        <w:spacing w:line="360" w:lineRule="auto"/>
        <w:ind w:firstLine="2835"/>
        <w:jc w:val="both"/>
        <w:rPr>
          <w:rFonts w:ascii="Arial" w:hAnsi="Arial" w:cs="Arial"/>
        </w:rPr>
      </w:pPr>
      <w:r>
        <w:rPr>
          <w:rFonts w:ascii="Arial" w:hAnsi="Arial" w:cs="Arial"/>
          <w:b/>
        </w:rPr>
        <w:t>2)</w:t>
      </w:r>
      <w:r>
        <w:rPr>
          <w:rFonts w:ascii="Arial" w:hAnsi="Arial" w:cs="Arial"/>
        </w:rPr>
        <w:t xml:space="preserve"> que este Tribunal, en Sesión de fecha 23/12/15,  observó el gasto por haberse comprometido el mismo sin crédito disponible en el rubro de imputación, contra</w:t>
      </w:r>
      <w:r w:rsidR="00697507">
        <w:rPr>
          <w:rFonts w:ascii="Arial" w:hAnsi="Arial" w:cs="Arial"/>
        </w:rPr>
        <w:t>viniéndose lo dispuesto por el A</w:t>
      </w:r>
      <w:r>
        <w:rPr>
          <w:rFonts w:ascii="Arial" w:hAnsi="Arial" w:cs="Arial"/>
        </w:rPr>
        <w:t>rtículo 15 del TOCAF;</w:t>
      </w:r>
    </w:p>
    <w:p w:rsidR="00697507" w:rsidRDefault="0089401F" w:rsidP="00697507">
      <w:pPr>
        <w:spacing w:line="360" w:lineRule="auto"/>
        <w:ind w:firstLine="2835"/>
        <w:jc w:val="both"/>
        <w:rPr>
          <w:rFonts w:ascii="Arial" w:hAnsi="Arial" w:cs="Arial"/>
        </w:rPr>
      </w:pPr>
      <w:r>
        <w:rPr>
          <w:rFonts w:ascii="Arial" w:hAnsi="Arial" w:cs="Arial"/>
          <w:b/>
        </w:rPr>
        <w:t>3)</w:t>
      </w:r>
      <w:r>
        <w:rPr>
          <w:rFonts w:ascii="Arial" w:hAnsi="Arial" w:cs="Arial"/>
        </w:rPr>
        <w:t xml:space="preserve"> que por Resolución Nº 65/16 de fecha 3/2/16, el Directorio dispuso reiterar el gasto por los mencionados montos, y este Tribunal, en Sesión de 30/3/16, mantuvo la observación formulada;</w:t>
      </w:r>
    </w:p>
    <w:p w:rsidR="00697507" w:rsidRDefault="0089401F" w:rsidP="00697507">
      <w:pPr>
        <w:spacing w:line="360" w:lineRule="auto"/>
        <w:ind w:firstLine="2835"/>
        <w:jc w:val="both"/>
        <w:rPr>
          <w:rFonts w:ascii="Arial" w:hAnsi="Arial" w:cs="Arial"/>
        </w:rPr>
      </w:pPr>
      <w:r>
        <w:rPr>
          <w:rFonts w:ascii="Arial" w:hAnsi="Arial" w:cs="Arial"/>
          <w:b/>
        </w:rPr>
        <w:t>4)</w:t>
      </w:r>
      <w:r>
        <w:rPr>
          <w:rFonts w:ascii="Arial" w:hAnsi="Arial" w:cs="Arial"/>
        </w:rPr>
        <w:t xml:space="preserve"> que con fecha 7/3/17, se suscribió el contrato con </w:t>
      </w:r>
      <w:proofErr w:type="spellStart"/>
      <w:r>
        <w:rPr>
          <w:rFonts w:ascii="Arial" w:hAnsi="Arial" w:cs="Arial"/>
        </w:rPr>
        <w:t>Montelecnor</w:t>
      </w:r>
      <w:proofErr w:type="spellEnd"/>
      <w:r>
        <w:rPr>
          <w:rFonts w:ascii="Arial" w:hAnsi="Arial" w:cs="Arial"/>
        </w:rPr>
        <w:t xml:space="preserve"> S</w:t>
      </w:r>
      <w:r w:rsidR="00697507">
        <w:rPr>
          <w:rFonts w:ascii="Arial" w:hAnsi="Arial" w:cs="Arial"/>
        </w:rPr>
        <w:t>.</w:t>
      </w:r>
      <w:r>
        <w:rPr>
          <w:rFonts w:ascii="Arial" w:hAnsi="Arial" w:cs="Arial"/>
        </w:rPr>
        <w:t>A</w:t>
      </w:r>
      <w:r w:rsidR="00697507">
        <w:rPr>
          <w:rFonts w:ascii="Arial" w:hAnsi="Arial" w:cs="Arial"/>
        </w:rPr>
        <w:t>.</w:t>
      </w:r>
      <w:r>
        <w:rPr>
          <w:rFonts w:ascii="Arial" w:hAnsi="Arial" w:cs="Arial"/>
        </w:rPr>
        <w:t xml:space="preserve">, en cuya cláusula sexta se dispone que, según lo establecido en las Condiciones Especiales del Contrato, el plazo total del contrato será desde la fecha de suscripción hasta la emisión de la recepción definitiva de la obra, mientras que el plazo de ejecución de las obras será de 720 días </w:t>
      </w:r>
      <w:r w:rsidR="00697507">
        <w:rPr>
          <w:rFonts w:ascii="Arial" w:hAnsi="Arial" w:cs="Arial"/>
        </w:rPr>
        <w:lastRenderedPageBreak/>
        <w:t>calendario a partir del A</w:t>
      </w:r>
      <w:r>
        <w:rPr>
          <w:rFonts w:ascii="Arial" w:hAnsi="Arial" w:cs="Arial"/>
        </w:rPr>
        <w:t>cta de inicio y replanteo, la que deberá realizarse dentro de los 20 días siguientes a la suscripción de este documento;</w:t>
      </w:r>
    </w:p>
    <w:p w:rsidR="00697507" w:rsidRDefault="0089401F" w:rsidP="00697507">
      <w:pPr>
        <w:spacing w:line="360" w:lineRule="auto"/>
        <w:ind w:firstLine="2835"/>
        <w:jc w:val="both"/>
        <w:rPr>
          <w:rFonts w:ascii="Arial" w:hAnsi="Arial" w:cs="Arial"/>
        </w:rPr>
      </w:pPr>
      <w:r>
        <w:rPr>
          <w:rFonts w:ascii="Arial" w:hAnsi="Arial" w:cs="Arial"/>
          <w:b/>
        </w:rPr>
        <w:t xml:space="preserve">5) </w:t>
      </w:r>
      <w:r>
        <w:rPr>
          <w:rFonts w:ascii="Arial" w:hAnsi="Arial" w:cs="Arial"/>
        </w:rPr>
        <w:t xml:space="preserve">que </w:t>
      </w:r>
      <w:r w:rsidR="00065CE9">
        <w:rPr>
          <w:rFonts w:ascii="Arial" w:hAnsi="Arial" w:cs="Arial"/>
        </w:rPr>
        <w:t>e</w:t>
      </w:r>
      <w:r>
        <w:rPr>
          <w:rFonts w:ascii="Arial" w:hAnsi="Arial" w:cs="Arial"/>
        </w:rPr>
        <w:t>n la oportunidad se remiten actuaciones relacionadas con una ampliación de la contratación.</w:t>
      </w:r>
      <w:r w:rsidR="00065CE9">
        <w:rPr>
          <w:rFonts w:ascii="Arial" w:hAnsi="Arial" w:cs="Arial"/>
        </w:rPr>
        <w:t xml:space="preserve"> C</w:t>
      </w:r>
      <w:r>
        <w:rPr>
          <w:rFonts w:ascii="Arial" w:hAnsi="Arial" w:cs="Arial"/>
        </w:rPr>
        <w:t>on fecha 17/9/18, la Jefatura Técnica Departamental de Rivera, con la aprobación de la Gerencia Región Noroeste,</w:t>
      </w:r>
      <w:r w:rsidR="00697507">
        <w:rPr>
          <w:rFonts w:ascii="Arial" w:hAnsi="Arial" w:cs="Arial"/>
        </w:rPr>
        <w:t xml:space="preserve"> solicita una ampliación de la L</w:t>
      </w:r>
      <w:r>
        <w:rPr>
          <w:rFonts w:ascii="Arial" w:hAnsi="Arial" w:cs="Arial"/>
        </w:rPr>
        <w:t xml:space="preserve">icitación de referencia para los sectores D, E y F del Plan Director de la Ciudad de Rivera (barrios Quintas al Norte, Rivera Chico y Cerro del Marco), en razón de que dichos sectores </w:t>
      </w:r>
      <w:r w:rsidR="00065CE9">
        <w:rPr>
          <w:rFonts w:ascii="Arial" w:hAnsi="Arial" w:cs="Arial"/>
        </w:rPr>
        <w:t>se encuentran</w:t>
      </w:r>
      <w:r>
        <w:rPr>
          <w:rFonts w:ascii="Arial" w:hAnsi="Arial" w:cs="Arial"/>
        </w:rPr>
        <w:t xml:space="preserve"> en el sistema central de abastecimiento de la ciudad, con infraes</w:t>
      </w:r>
      <w:r w:rsidR="00065CE9">
        <w:rPr>
          <w:rFonts w:ascii="Arial" w:hAnsi="Arial" w:cs="Arial"/>
        </w:rPr>
        <w:t>tructura no adecuada a su porte;</w:t>
      </w:r>
    </w:p>
    <w:p w:rsidR="00697507" w:rsidRDefault="00065CE9" w:rsidP="00697507">
      <w:pPr>
        <w:spacing w:line="360" w:lineRule="auto"/>
        <w:ind w:firstLine="2835"/>
        <w:jc w:val="both"/>
        <w:rPr>
          <w:rFonts w:ascii="Arial" w:hAnsi="Arial" w:cs="Arial"/>
        </w:rPr>
      </w:pPr>
      <w:r>
        <w:rPr>
          <w:rFonts w:ascii="Arial" w:hAnsi="Arial" w:cs="Arial"/>
          <w:b/>
        </w:rPr>
        <w:t>6)</w:t>
      </w:r>
      <w:r>
        <w:rPr>
          <w:rFonts w:ascii="Arial" w:hAnsi="Arial" w:cs="Arial"/>
        </w:rPr>
        <w:t xml:space="preserve"> que c</w:t>
      </w:r>
      <w:r w:rsidR="0089401F">
        <w:rPr>
          <w:rFonts w:ascii="Arial" w:hAnsi="Arial" w:cs="Arial"/>
        </w:rPr>
        <w:t>on fecha 10/10/18, la Gerencia de reducción de Agua No Contabilizada y Eficiencia Energética informa que las acciones realizadas en el marco de la presente licitación han producido importantes mejoras en el sistema de abastecimiento mediante la optimización de los DMC, habiendo alcanzado las metas de reducción de los caudales mínimos nocturnos propuestos en el proyecto original. En consecuencia se comparte la propuesta de ampliación tanto en los objetivos como en los lineamientos de acción definidos, teniendo en cuenta que el estado actual de la sectorización en la ciudad de Rivera requiere de la nueva etapa para las zonas que se proponen, estimándose la ampliación requeri</w:t>
      </w:r>
      <w:r w:rsidR="00697507">
        <w:rPr>
          <w:rFonts w:ascii="Arial" w:hAnsi="Arial" w:cs="Arial"/>
        </w:rPr>
        <w:t>da en el equivalente a un 84.94</w:t>
      </w:r>
      <w:r w:rsidR="0089401F">
        <w:rPr>
          <w:rFonts w:ascii="Arial" w:hAnsi="Arial" w:cs="Arial"/>
        </w:rPr>
        <w:t>% para el mon</w:t>
      </w:r>
      <w:r w:rsidR="00697507">
        <w:rPr>
          <w:rFonts w:ascii="Arial" w:hAnsi="Arial" w:cs="Arial"/>
        </w:rPr>
        <w:t>to en pesos uruguayos, un 84.93</w:t>
      </w:r>
      <w:r w:rsidR="0089401F">
        <w:rPr>
          <w:rFonts w:ascii="Arial" w:hAnsi="Arial" w:cs="Arial"/>
        </w:rPr>
        <w:t>% para el monto en dólares estadounidenses y un</w:t>
      </w:r>
      <w:r>
        <w:rPr>
          <w:rFonts w:ascii="Arial" w:hAnsi="Arial" w:cs="Arial"/>
        </w:rPr>
        <w:t xml:space="preserve"> 83.61% para el monto en euros;</w:t>
      </w:r>
    </w:p>
    <w:p w:rsidR="00697507" w:rsidRDefault="00065CE9" w:rsidP="00697507">
      <w:pPr>
        <w:spacing w:line="360" w:lineRule="auto"/>
        <w:ind w:firstLine="2835"/>
        <w:jc w:val="both"/>
        <w:rPr>
          <w:rFonts w:ascii="Arial" w:hAnsi="Arial" w:cs="Arial"/>
        </w:rPr>
      </w:pPr>
      <w:r>
        <w:rPr>
          <w:rFonts w:ascii="Arial" w:hAnsi="Arial" w:cs="Arial"/>
          <w:b/>
        </w:rPr>
        <w:t xml:space="preserve">7) </w:t>
      </w:r>
      <w:r>
        <w:rPr>
          <w:rFonts w:ascii="Arial" w:hAnsi="Arial" w:cs="Arial"/>
        </w:rPr>
        <w:t>que a</w:t>
      </w:r>
      <w:r w:rsidR="0089401F">
        <w:rPr>
          <w:rFonts w:ascii="Arial" w:hAnsi="Arial" w:cs="Arial"/>
        </w:rPr>
        <w:t xml:space="preserve"> requerimiento de la Administración, por nota de fecha 19/11/18, la adjudicataria </w:t>
      </w:r>
      <w:r>
        <w:rPr>
          <w:rFonts w:ascii="Arial" w:hAnsi="Arial" w:cs="Arial"/>
        </w:rPr>
        <w:t>manifiesta</w:t>
      </w:r>
      <w:r w:rsidR="0089401F">
        <w:rPr>
          <w:rFonts w:ascii="Arial" w:hAnsi="Arial" w:cs="Arial"/>
        </w:rPr>
        <w:t xml:space="preserve"> su conformi</w:t>
      </w:r>
      <w:r>
        <w:rPr>
          <w:rFonts w:ascii="Arial" w:hAnsi="Arial" w:cs="Arial"/>
        </w:rPr>
        <w:t>dad con la ampliación planteada;</w:t>
      </w:r>
    </w:p>
    <w:p w:rsidR="00697507" w:rsidRDefault="00065CE9" w:rsidP="00697507">
      <w:pPr>
        <w:spacing w:line="360" w:lineRule="auto"/>
        <w:ind w:firstLine="2835"/>
        <w:jc w:val="both"/>
        <w:rPr>
          <w:rFonts w:ascii="Arial" w:hAnsi="Arial" w:cs="Arial"/>
        </w:rPr>
      </w:pPr>
      <w:r>
        <w:rPr>
          <w:rFonts w:ascii="Arial" w:hAnsi="Arial" w:cs="Arial"/>
          <w:b/>
        </w:rPr>
        <w:t>8)</w:t>
      </w:r>
      <w:r>
        <w:rPr>
          <w:rFonts w:ascii="Arial" w:hAnsi="Arial" w:cs="Arial"/>
        </w:rPr>
        <w:t xml:space="preserve"> que c</w:t>
      </w:r>
      <w:r w:rsidR="0089401F">
        <w:rPr>
          <w:rFonts w:ascii="Arial" w:hAnsi="Arial" w:cs="Arial"/>
        </w:rPr>
        <w:t>on fecha 3/1/19, la Gerencia de Programas con Financiamiento Externo informa que la ampliación a disponerse no contará con financiación por parte del Banco Mundial, ni otro or</w:t>
      </w:r>
      <w:r>
        <w:rPr>
          <w:rFonts w:ascii="Arial" w:hAnsi="Arial" w:cs="Arial"/>
        </w:rPr>
        <w:t>ganismo multilateral de crédito;</w:t>
      </w:r>
    </w:p>
    <w:p w:rsidR="00697507" w:rsidRDefault="00065CE9" w:rsidP="00697507">
      <w:pPr>
        <w:spacing w:line="360" w:lineRule="auto"/>
        <w:ind w:firstLine="2835"/>
        <w:jc w:val="both"/>
        <w:rPr>
          <w:rFonts w:ascii="Arial" w:hAnsi="Arial" w:cs="Arial"/>
        </w:rPr>
      </w:pPr>
      <w:r>
        <w:rPr>
          <w:rFonts w:ascii="Arial" w:hAnsi="Arial" w:cs="Arial"/>
          <w:b/>
        </w:rPr>
        <w:lastRenderedPageBreak/>
        <w:t>9)</w:t>
      </w:r>
      <w:r>
        <w:rPr>
          <w:rFonts w:ascii="Arial" w:hAnsi="Arial" w:cs="Arial"/>
        </w:rPr>
        <w:t xml:space="preserve"> que </w:t>
      </w:r>
      <w:r w:rsidR="001E4FA4">
        <w:rPr>
          <w:rFonts w:ascii="Arial" w:hAnsi="Arial" w:cs="Arial"/>
        </w:rPr>
        <w:t xml:space="preserve">previa conformidad de la adjudicataria, </w:t>
      </w:r>
      <w:r>
        <w:rPr>
          <w:rFonts w:ascii="Arial" w:hAnsi="Arial" w:cs="Arial"/>
        </w:rPr>
        <w:t>p</w:t>
      </w:r>
      <w:r w:rsidR="0089401F">
        <w:rPr>
          <w:rFonts w:ascii="Arial" w:hAnsi="Arial" w:cs="Arial"/>
        </w:rPr>
        <w:t>or Resolución R/D Nº 91/19 de fecha 31/1/19, el Directorio, hace suyos los inform</w:t>
      </w:r>
      <w:r w:rsidR="00697507">
        <w:rPr>
          <w:rFonts w:ascii="Arial" w:hAnsi="Arial" w:cs="Arial"/>
        </w:rPr>
        <w:t>es precedentes y al amparo del A</w:t>
      </w:r>
      <w:r w:rsidR="0089401F">
        <w:rPr>
          <w:rFonts w:ascii="Arial" w:hAnsi="Arial" w:cs="Arial"/>
        </w:rPr>
        <w:t>rtículo 74 del TOCAF y supeditado a la intervención que compete a este Tribuna</w:t>
      </w:r>
      <w:r w:rsidR="00697507">
        <w:rPr>
          <w:rFonts w:ascii="Arial" w:hAnsi="Arial" w:cs="Arial"/>
        </w:rPr>
        <w:t>l, dispone la ampliación de la L</w:t>
      </w:r>
      <w:r w:rsidR="0089401F">
        <w:rPr>
          <w:rFonts w:ascii="Arial" w:hAnsi="Arial" w:cs="Arial"/>
        </w:rPr>
        <w:t>icit</w:t>
      </w:r>
      <w:r w:rsidR="00697507">
        <w:rPr>
          <w:rFonts w:ascii="Arial" w:hAnsi="Arial" w:cs="Arial"/>
        </w:rPr>
        <w:t>ación de referencia en un 84.94</w:t>
      </w:r>
      <w:r w:rsidR="0089401F">
        <w:rPr>
          <w:rFonts w:ascii="Arial" w:hAnsi="Arial" w:cs="Arial"/>
        </w:rPr>
        <w:t>% para el mon</w:t>
      </w:r>
      <w:r w:rsidR="00697507">
        <w:rPr>
          <w:rFonts w:ascii="Arial" w:hAnsi="Arial" w:cs="Arial"/>
        </w:rPr>
        <w:t>to en pesos uruguayos, un 84.93</w:t>
      </w:r>
      <w:r w:rsidR="0089401F">
        <w:rPr>
          <w:rFonts w:ascii="Arial" w:hAnsi="Arial" w:cs="Arial"/>
        </w:rPr>
        <w:t>% para el monto en dól</w:t>
      </w:r>
      <w:r w:rsidR="00697507">
        <w:rPr>
          <w:rFonts w:ascii="Arial" w:hAnsi="Arial" w:cs="Arial"/>
        </w:rPr>
        <w:t>ares estadounidenses y un 83.61</w:t>
      </w:r>
      <w:r w:rsidR="0089401F">
        <w:rPr>
          <w:rFonts w:ascii="Arial" w:hAnsi="Arial" w:cs="Arial"/>
        </w:rPr>
        <w:t>% para el monto en euros, según el siguiente detalle: $ 106:733.650 (IVA, ajuste paramétrico y Leyes Sociales incluido), U$S 141.785 (IVA y ajuste paramétrico incluido) y Euros 87.401 (IVA y ajuste paramétrico incluido)</w:t>
      </w:r>
      <w:r>
        <w:rPr>
          <w:rFonts w:ascii="Arial" w:hAnsi="Arial" w:cs="Arial"/>
        </w:rPr>
        <w:t>;</w:t>
      </w:r>
    </w:p>
    <w:p w:rsidR="0089401F" w:rsidRPr="00EB0574" w:rsidRDefault="00065CE9" w:rsidP="00697507">
      <w:pPr>
        <w:spacing w:line="360" w:lineRule="auto"/>
        <w:ind w:firstLine="2835"/>
        <w:jc w:val="both"/>
        <w:rPr>
          <w:rFonts w:ascii="Arial" w:hAnsi="Arial" w:cs="Arial"/>
        </w:rPr>
      </w:pPr>
      <w:r>
        <w:rPr>
          <w:rFonts w:ascii="Arial" w:hAnsi="Arial" w:cs="Arial"/>
          <w:b/>
        </w:rPr>
        <w:t>10)</w:t>
      </w:r>
      <w:r>
        <w:rPr>
          <w:rFonts w:ascii="Arial" w:hAnsi="Arial" w:cs="Arial"/>
        </w:rPr>
        <w:t xml:space="preserve"> que c</w:t>
      </w:r>
      <w:r w:rsidR="0089401F">
        <w:rPr>
          <w:rFonts w:ascii="Arial" w:hAnsi="Arial" w:cs="Arial"/>
        </w:rPr>
        <w:t>on fecha 28/2/19, la Gerencia Financiero Contable informa que se imputaron los mont</w:t>
      </w:r>
      <w:r w:rsidR="00697507">
        <w:rPr>
          <w:rFonts w:ascii="Arial" w:hAnsi="Arial" w:cs="Arial"/>
        </w:rPr>
        <w:t>os de $ 37:367.911 (más IVA), $</w:t>
      </w:r>
      <w:r w:rsidR="0089401F">
        <w:rPr>
          <w:rFonts w:ascii="Arial" w:hAnsi="Arial" w:cs="Arial"/>
        </w:rPr>
        <w:t>6:766.675 (correspondientes a Leyes Socia</w:t>
      </w:r>
      <w:r w:rsidR="00697507">
        <w:rPr>
          <w:rFonts w:ascii="Arial" w:hAnsi="Arial" w:cs="Arial"/>
        </w:rPr>
        <w:t>les), $ 1:862.891 (más IVA) y $</w:t>
      </w:r>
      <w:r w:rsidR="0089401F">
        <w:rPr>
          <w:rFonts w:ascii="Arial" w:hAnsi="Arial" w:cs="Arial"/>
        </w:rPr>
        <w:t>1:325.523 (más IVA), con cargo al Presupuesto de Compras 2019 con disponibili</w:t>
      </w:r>
      <w:r>
        <w:rPr>
          <w:rFonts w:ascii="Arial" w:hAnsi="Arial" w:cs="Arial"/>
        </w:rPr>
        <w:t>dad en el Grupo 3 Bienes de Uso;</w:t>
      </w:r>
    </w:p>
    <w:p w:rsidR="0089401F" w:rsidRPr="0089401F" w:rsidRDefault="0089401F" w:rsidP="00697507">
      <w:pPr>
        <w:spacing w:line="360" w:lineRule="auto"/>
        <w:ind w:firstLine="851"/>
        <w:jc w:val="both"/>
        <w:rPr>
          <w:rFonts w:ascii="Arial" w:hAnsi="Arial" w:cs="Arial"/>
        </w:rPr>
      </w:pPr>
      <w:r w:rsidRPr="0089401F">
        <w:rPr>
          <w:rFonts w:ascii="Arial" w:hAnsi="Arial" w:cs="Arial"/>
          <w:b/>
        </w:rPr>
        <w:t xml:space="preserve">CONSIDERANDO: </w:t>
      </w:r>
      <w:r w:rsidRPr="0089401F">
        <w:rPr>
          <w:rFonts w:ascii="Arial" w:hAnsi="Arial" w:cs="Arial"/>
        </w:rPr>
        <w:t>que la ampliación dispuesta enc</w:t>
      </w:r>
      <w:r w:rsidR="00697507">
        <w:rPr>
          <w:rFonts w:ascii="Arial" w:hAnsi="Arial" w:cs="Arial"/>
        </w:rPr>
        <w:t>uadra en lo establecido por el A</w:t>
      </w:r>
      <w:r w:rsidRPr="0089401F">
        <w:rPr>
          <w:rFonts w:ascii="Arial" w:hAnsi="Arial" w:cs="Arial"/>
        </w:rPr>
        <w:t>rtículo 74 del TOCAF, siendo que las prestaciones se</w:t>
      </w:r>
      <w:r w:rsidR="00065CE9">
        <w:rPr>
          <w:rFonts w:ascii="Arial" w:hAnsi="Arial" w:cs="Arial"/>
        </w:rPr>
        <w:t xml:space="preserve"> encuentran vigentes y se recabó</w:t>
      </w:r>
      <w:r w:rsidRPr="0089401F">
        <w:rPr>
          <w:rFonts w:ascii="Arial" w:hAnsi="Arial" w:cs="Arial"/>
        </w:rPr>
        <w:t xml:space="preserve"> la conformidad de la contratista,</w:t>
      </w:r>
      <w:r w:rsidR="00697507">
        <w:rPr>
          <w:rFonts w:ascii="Arial" w:hAnsi="Arial" w:cs="Arial"/>
        </w:rPr>
        <w:t xml:space="preserve"> no superándose el tope del 100</w:t>
      </w:r>
      <w:r w:rsidRPr="0089401F">
        <w:rPr>
          <w:rFonts w:ascii="Arial" w:hAnsi="Arial" w:cs="Arial"/>
        </w:rPr>
        <w:t>% previsto por la norma;</w:t>
      </w:r>
    </w:p>
    <w:p w:rsidR="0089401F" w:rsidRPr="0089401F" w:rsidRDefault="0089401F" w:rsidP="00697507">
      <w:pPr>
        <w:spacing w:line="360" w:lineRule="auto"/>
        <w:ind w:firstLine="851"/>
        <w:jc w:val="both"/>
        <w:rPr>
          <w:rFonts w:ascii="Arial" w:hAnsi="Arial" w:cs="Arial"/>
        </w:rPr>
      </w:pPr>
      <w:r w:rsidRPr="0089401F">
        <w:rPr>
          <w:rFonts w:ascii="Arial" w:hAnsi="Arial" w:cs="Arial"/>
          <w:b/>
        </w:rPr>
        <w:t>ATENTO:</w:t>
      </w:r>
      <w:r w:rsidRPr="0089401F">
        <w:rPr>
          <w:rFonts w:ascii="Arial" w:hAnsi="Arial" w:cs="Arial"/>
        </w:rPr>
        <w:t xml:space="preserve"> a lo expuesto y a lo dispuesto por el </w:t>
      </w:r>
      <w:r w:rsidR="00697507">
        <w:rPr>
          <w:rFonts w:ascii="Arial" w:hAnsi="Arial" w:cs="Arial"/>
        </w:rPr>
        <w:t>Artículo 211 L</w:t>
      </w:r>
      <w:r w:rsidRPr="0089401F">
        <w:rPr>
          <w:rFonts w:ascii="Arial" w:hAnsi="Arial" w:cs="Arial"/>
        </w:rPr>
        <w:t xml:space="preserve">iteral B) de la Constitución de la República; </w:t>
      </w:r>
    </w:p>
    <w:p w:rsidR="0089401F" w:rsidRPr="0089401F" w:rsidRDefault="0089401F" w:rsidP="00697507">
      <w:pPr>
        <w:spacing w:line="360" w:lineRule="auto"/>
        <w:jc w:val="center"/>
        <w:rPr>
          <w:rFonts w:ascii="Arial" w:hAnsi="Arial" w:cs="Arial"/>
          <w:b/>
        </w:rPr>
      </w:pPr>
      <w:r w:rsidRPr="0089401F">
        <w:rPr>
          <w:rFonts w:ascii="Arial" w:hAnsi="Arial" w:cs="Arial"/>
          <w:b/>
        </w:rPr>
        <w:t>EL TRIBUNAL ACUERDA</w:t>
      </w:r>
    </w:p>
    <w:p w:rsidR="0089401F" w:rsidRPr="0089401F" w:rsidRDefault="0089401F" w:rsidP="00697507">
      <w:pPr>
        <w:pStyle w:val="Prrafodelista"/>
        <w:numPr>
          <w:ilvl w:val="0"/>
          <w:numId w:val="1"/>
        </w:numPr>
        <w:spacing w:line="360" w:lineRule="auto"/>
        <w:ind w:left="284" w:hanging="284"/>
        <w:jc w:val="both"/>
        <w:rPr>
          <w:rFonts w:ascii="Arial" w:hAnsi="Arial" w:cs="Arial"/>
        </w:rPr>
      </w:pPr>
      <w:r w:rsidRPr="0089401F">
        <w:rPr>
          <w:rFonts w:ascii="Arial" w:hAnsi="Arial" w:cs="Arial"/>
        </w:rPr>
        <w:t>Cometer al Cont</w:t>
      </w:r>
      <w:r w:rsidR="00065CE9">
        <w:rPr>
          <w:rFonts w:ascii="Arial" w:hAnsi="Arial" w:cs="Arial"/>
        </w:rPr>
        <w:t>ador Delegado la intervención del gasto derivado de la ampliación dispuesta</w:t>
      </w:r>
      <w:r w:rsidRPr="0089401F">
        <w:rPr>
          <w:rFonts w:ascii="Arial" w:hAnsi="Arial" w:cs="Arial"/>
        </w:rPr>
        <w:t>, previo control de su imputación a rubro adecuado con disponibilidad presupu</w:t>
      </w:r>
      <w:r w:rsidR="00697507">
        <w:rPr>
          <w:rFonts w:ascii="Arial" w:hAnsi="Arial" w:cs="Arial"/>
        </w:rPr>
        <w:t>estal suficiente para atenderlo;</w:t>
      </w:r>
    </w:p>
    <w:p w:rsidR="0089401F" w:rsidRDefault="00697507" w:rsidP="00697507">
      <w:pPr>
        <w:pStyle w:val="Prrafodelista"/>
        <w:numPr>
          <w:ilvl w:val="0"/>
          <w:numId w:val="1"/>
        </w:numPr>
        <w:spacing w:line="360" w:lineRule="auto"/>
        <w:ind w:left="284" w:hanging="284"/>
        <w:jc w:val="both"/>
        <w:rPr>
          <w:rFonts w:ascii="Arial" w:hAnsi="Arial" w:cs="Arial"/>
        </w:rPr>
      </w:pPr>
      <w:r>
        <w:rPr>
          <w:rFonts w:ascii="Arial" w:hAnsi="Arial" w:cs="Arial"/>
        </w:rPr>
        <w:t>Comunicar al Contador Delegado;</w:t>
      </w:r>
    </w:p>
    <w:p w:rsidR="00810DB2" w:rsidRPr="00697507" w:rsidRDefault="0089401F" w:rsidP="00697507">
      <w:pPr>
        <w:pStyle w:val="Prrafodelista"/>
        <w:numPr>
          <w:ilvl w:val="0"/>
          <w:numId w:val="1"/>
        </w:numPr>
        <w:spacing w:line="360" w:lineRule="auto"/>
        <w:ind w:left="284" w:hanging="284"/>
        <w:jc w:val="both"/>
      </w:pPr>
      <w:r w:rsidRPr="0089401F">
        <w:rPr>
          <w:rFonts w:ascii="Arial" w:hAnsi="Arial" w:cs="Arial"/>
        </w:rPr>
        <w:t xml:space="preserve">Devolver las actuaciones. </w:t>
      </w:r>
    </w:p>
    <w:p w:rsidR="00697507" w:rsidRDefault="00697507" w:rsidP="00697507">
      <w:pPr>
        <w:spacing w:line="360" w:lineRule="auto"/>
        <w:jc w:val="both"/>
      </w:pPr>
    </w:p>
    <w:p w:rsidR="00697507" w:rsidRDefault="00697507" w:rsidP="00697507">
      <w:pPr>
        <w:spacing w:line="360" w:lineRule="auto"/>
        <w:jc w:val="both"/>
      </w:pPr>
    </w:p>
    <w:p w:rsidR="00697507" w:rsidRPr="00697507" w:rsidRDefault="00697507" w:rsidP="00697507">
      <w:pPr>
        <w:spacing w:line="360" w:lineRule="auto"/>
        <w:ind w:hanging="284"/>
        <w:jc w:val="both"/>
        <w:rPr>
          <w:rFonts w:ascii="Arial" w:hAnsi="Arial" w:cs="Arial"/>
        </w:rPr>
      </w:pPr>
      <w:proofErr w:type="gramStart"/>
      <w:r>
        <w:rPr>
          <w:rFonts w:ascii="Arial" w:hAnsi="Arial" w:cs="Arial"/>
        </w:rPr>
        <w:t>dc</w:t>
      </w:r>
      <w:bookmarkStart w:id="0" w:name="_GoBack"/>
      <w:bookmarkEnd w:id="0"/>
      <w:proofErr w:type="gramEnd"/>
    </w:p>
    <w:sectPr w:rsidR="00697507" w:rsidRPr="00697507" w:rsidSect="00697507">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507" w:rsidRDefault="00697507" w:rsidP="00697507">
      <w:r>
        <w:separator/>
      </w:r>
    </w:p>
  </w:endnote>
  <w:endnote w:type="continuationSeparator" w:id="0">
    <w:p w:rsidR="00697507" w:rsidRDefault="00697507" w:rsidP="0069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576269"/>
      <w:docPartObj>
        <w:docPartGallery w:val="Page Numbers (Bottom of Page)"/>
        <w:docPartUnique/>
      </w:docPartObj>
    </w:sdtPr>
    <w:sdtContent>
      <w:p w:rsidR="00697507" w:rsidRDefault="00697507">
        <w:pPr>
          <w:pStyle w:val="Piedepgina"/>
          <w:jc w:val="center"/>
        </w:pPr>
        <w:r>
          <w:fldChar w:fldCharType="begin"/>
        </w:r>
        <w:r>
          <w:instrText>PAGE   \* MERGEFORMAT</w:instrText>
        </w:r>
        <w:r>
          <w:fldChar w:fldCharType="separate"/>
        </w:r>
        <w:r>
          <w:rPr>
            <w:noProof/>
          </w:rPr>
          <w:t>3</w:t>
        </w:r>
        <w:r>
          <w:fldChar w:fldCharType="end"/>
        </w:r>
      </w:p>
    </w:sdtContent>
  </w:sdt>
  <w:p w:rsidR="00697507" w:rsidRDefault="006975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507" w:rsidRDefault="00697507" w:rsidP="00697507">
      <w:r>
        <w:separator/>
      </w:r>
    </w:p>
  </w:footnote>
  <w:footnote w:type="continuationSeparator" w:id="0">
    <w:p w:rsidR="00697507" w:rsidRDefault="00697507" w:rsidP="00697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C7DDD"/>
    <w:multiLevelType w:val="hybridMultilevel"/>
    <w:tmpl w:val="4718E0D4"/>
    <w:lvl w:ilvl="0" w:tplc="DC9E42D2">
      <w:start w:val="1"/>
      <w:numFmt w:val="decimal"/>
      <w:lvlText w:val="%1)"/>
      <w:lvlJc w:val="left"/>
      <w:pPr>
        <w:ind w:left="1065" w:hanging="705"/>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04E"/>
    <w:rsid w:val="0005507B"/>
    <w:rsid w:val="00057AFC"/>
    <w:rsid w:val="00065CE9"/>
    <w:rsid w:val="000767B0"/>
    <w:rsid w:val="00130655"/>
    <w:rsid w:val="001348C5"/>
    <w:rsid w:val="00181C25"/>
    <w:rsid w:val="001E4FA4"/>
    <w:rsid w:val="0022562A"/>
    <w:rsid w:val="00262A1A"/>
    <w:rsid w:val="002D7D7B"/>
    <w:rsid w:val="00387B21"/>
    <w:rsid w:val="003F68B0"/>
    <w:rsid w:val="005C44DE"/>
    <w:rsid w:val="005D02FC"/>
    <w:rsid w:val="00697507"/>
    <w:rsid w:val="006C4AA6"/>
    <w:rsid w:val="0072658A"/>
    <w:rsid w:val="0089401F"/>
    <w:rsid w:val="00A0701A"/>
    <w:rsid w:val="00A85AC5"/>
    <w:rsid w:val="00AD5834"/>
    <w:rsid w:val="00B017F8"/>
    <w:rsid w:val="00B32D7F"/>
    <w:rsid w:val="00C375E4"/>
    <w:rsid w:val="00C84085"/>
    <w:rsid w:val="00CB4502"/>
    <w:rsid w:val="00D50792"/>
    <w:rsid w:val="00DB49E7"/>
    <w:rsid w:val="00E73F81"/>
    <w:rsid w:val="00EB0574"/>
    <w:rsid w:val="00EF27A0"/>
    <w:rsid w:val="00F7004E"/>
    <w:rsid w:val="00F9310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04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401F"/>
    <w:pPr>
      <w:ind w:left="720"/>
      <w:contextualSpacing/>
    </w:pPr>
  </w:style>
  <w:style w:type="paragraph" w:styleId="Encabezado">
    <w:name w:val="header"/>
    <w:basedOn w:val="Normal"/>
    <w:link w:val="EncabezadoCar"/>
    <w:uiPriority w:val="99"/>
    <w:unhideWhenUsed/>
    <w:rsid w:val="00697507"/>
    <w:pPr>
      <w:tabs>
        <w:tab w:val="center" w:pos="4252"/>
        <w:tab w:val="right" w:pos="8504"/>
      </w:tabs>
    </w:pPr>
  </w:style>
  <w:style w:type="character" w:customStyle="1" w:styleId="EncabezadoCar">
    <w:name w:val="Encabezado Car"/>
    <w:basedOn w:val="Fuentedeprrafopredeter"/>
    <w:link w:val="Encabezado"/>
    <w:uiPriority w:val="99"/>
    <w:rsid w:val="0069750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97507"/>
    <w:pPr>
      <w:tabs>
        <w:tab w:val="center" w:pos="4252"/>
        <w:tab w:val="right" w:pos="8504"/>
      </w:tabs>
    </w:pPr>
  </w:style>
  <w:style w:type="character" w:customStyle="1" w:styleId="PiedepginaCar">
    <w:name w:val="Pie de página Car"/>
    <w:basedOn w:val="Fuentedeprrafopredeter"/>
    <w:link w:val="Piedepgina"/>
    <w:uiPriority w:val="99"/>
    <w:rsid w:val="00697507"/>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04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401F"/>
    <w:pPr>
      <w:ind w:left="720"/>
      <w:contextualSpacing/>
    </w:pPr>
  </w:style>
  <w:style w:type="paragraph" w:styleId="Encabezado">
    <w:name w:val="header"/>
    <w:basedOn w:val="Normal"/>
    <w:link w:val="EncabezadoCar"/>
    <w:uiPriority w:val="99"/>
    <w:unhideWhenUsed/>
    <w:rsid w:val="00697507"/>
    <w:pPr>
      <w:tabs>
        <w:tab w:val="center" w:pos="4252"/>
        <w:tab w:val="right" w:pos="8504"/>
      </w:tabs>
    </w:pPr>
  </w:style>
  <w:style w:type="character" w:customStyle="1" w:styleId="EncabezadoCar">
    <w:name w:val="Encabezado Car"/>
    <w:basedOn w:val="Fuentedeprrafopredeter"/>
    <w:link w:val="Encabezado"/>
    <w:uiPriority w:val="99"/>
    <w:rsid w:val="0069750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97507"/>
    <w:pPr>
      <w:tabs>
        <w:tab w:val="center" w:pos="4252"/>
        <w:tab w:val="right" w:pos="8504"/>
      </w:tabs>
    </w:pPr>
  </w:style>
  <w:style w:type="character" w:customStyle="1" w:styleId="PiedepginaCar">
    <w:name w:val="Pie de página Car"/>
    <w:basedOn w:val="Fuentedeprrafopredeter"/>
    <w:link w:val="Piedepgina"/>
    <w:uiPriority w:val="99"/>
    <w:rsid w:val="0069750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4241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2</cp:revision>
  <cp:lastPrinted>2019-04-05T15:14:00Z</cp:lastPrinted>
  <dcterms:created xsi:type="dcterms:W3CDTF">2019-04-05T15:14:00Z</dcterms:created>
  <dcterms:modified xsi:type="dcterms:W3CDTF">2019-04-05T15:14:00Z</dcterms:modified>
</cp:coreProperties>
</file>