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A37" w:rsidRPr="00693596" w:rsidRDefault="00C64A37" w:rsidP="00693596">
      <w:pPr>
        <w:tabs>
          <w:tab w:val="center" w:pos="4253"/>
        </w:tabs>
        <w:suppressAutoHyphens/>
        <w:jc w:val="right"/>
        <w:rPr>
          <w:b/>
          <w:sz w:val="28"/>
          <w:szCs w:val="28"/>
          <w:lang w:val="es-ES_tradnl"/>
        </w:rPr>
      </w:pPr>
      <w:bookmarkStart w:id="0" w:name="_GoBack"/>
      <w:bookmarkEnd w:id="0"/>
      <w:r>
        <w:rPr>
          <w:b/>
          <w:sz w:val="28"/>
          <w:szCs w:val="28"/>
          <w:lang w:val="es-ES_tradnl"/>
        </w:rPr>
        <w:t xml:space="preserve">RES. </w:t>
      </w:r>
      <w:r w:rsidR="006C47E1">
        <w:rPr>
          <w:b/>
          <w:sz w:val="28"/>
          <w:szCs w:val="28"/>
          <w:lang w:val="es-ES_tradnl"/>
        </w:rPr>
        <w:t>772</w:t>
      </w:r>
      <w:r>
        <w:rPr>
          <w:b/>
          <w:sz w:val="28"/>
          <w:szCs w:val="28"/>
          <w:lang w:val="es-ES_tradnl"/>
        </w:rPr>
        <w:t>/19</w:t>
      </w:r>
    </w:p>
    <w:p w:rsidR="00C64A37" w:rsidRPr="00762B34" w:rsidRDefault="00C64A37" w:rsidP="00C64A37">
      <w:pPr>
        <w:tabs>
          <w:tab w:val="center" w:pos="4253"/>
        </w:tabs>
        <w:suppressAutoHyphens/>
        <w:spacing w:after="0" w:line="240" w:lineRule="auto"/>
        <w:jc w:val="center"/>
        <w:rPr>
          <w:b/>
          <w:lang w:val="es-ES_tradnl"/>
        </w:rPr>
      </w:pPr>
      <w:r w:rsidRPr="00762B34">
        <w:rPr>
          <w:b/>
          <w:lang w:val="es-ES_tradnl"/>
        </w:rPr>
        <w:t>RESOLUCION ADOPTADA POR EL</w:t>
      </w:r>
    </w:p>
    <w:p w:rsidR="00C64A37" w:rsidRPr="00762B34" w:rsidRDefault="00C64A37" w:rsidP="00C64A37">
      <w:pPr>
        <w:tabs>
          <w:tab w:val="left" w:pos="-720"/>
        </w:tabs>
        <w:suppressAutoHyphens/>
        <w:spacing w:after="0" w:line="240" w:lineRule="auto"/>
        <w:jc w:val="center"/>
        <w:rPr>
          <w:b/>
          <w:lang w:val="es-ES_tradnl"/>
        </w:rPr>
      </w:pPr>
    </w:p>
    <w:p w:rsidR="00C64A37" w:rsidRPr="00762B34" w:rsidRDefault="00C64A37" w:rsidP="00C64A37">
      <w:pPr>
        <w:tabs>
          <w:tab w:val="center" w:pos="4253"/>
        </w:tabs>
        <w:suppressAutoHyphens/>
        <w:spacing w:after="0" w:line="240" w:lineRule="auto"/>
        <w:jc w:val="center"/>
        <w:rPr>
          <w:b/>
          <w:lang w:val="es-ES_tradnl"/>
        </w:rPr>
      </w:pPr>
      <w:r w:rsidRPr="00762B34">
        <w:rPr>
          <w:b/>
          <w:lang w:val="es-ES_tradnl"/>
        </w:rPr>
        <w:t>TRIBUNAL DE CUENTAS</w:t>
      </w:r>
    </w:p>
    <w:p w:rsidR="00C64A37" w:rsidRPr="00762B34" w:rsidRDefault="00C64A37" w:rsidP="00C64A37">
      <w:pPr>
        <w:tabs>
          <w:tab w:val="left" w:pos="-720"/>
        </w:tabs>
        <w:suppressAutoHyphens/>
        <w:spacing w:after="0" w:line="240" w:lineRule="auto"/>
        <w:jc w:val="center"/>
        <w:rPr>
          <w:b/>
          <w:lang w:val="es-ES_tradnl"/>
        </w:rPr>
      </w:pPr>
    </w:p>
    <w:p w:rsidR="00C64A37" w:rsidRPr="00762B34" w:rsidRDefault="00C64A37" w:rsidP="00C64A37">
      <w:pPr>
        <w:tabs>
          <w:tab w:val="center" w:pos="4253"/>
        </w:tabs>
        <w:suppressAutoHyphens/>
        <w:spacing w:after="0" w:line="240" w:lineRule="auto"/>
        <w:jc w:val="center"/>
        <w:rPr>
          <w:b/>
          <w:lang w:val="es-ES_tradnl"/>
        </w:rPr>
      </w:pPr>
      <w:r w:rsidRPr="00762B34">
        <w:rPr>
          <w:b/>
          <w:lang w:val="es-ES_tradnl"/>
        </w:rPr>
        <w:t xml:space="preserve">EN SESION DE FECHA </w:t>
      </w:r>
      <w:r>
        <w:rPr>
          <w:rFonts w:ascii="Helvetica" w:hAnsi="Helvetica"/>
          <w:b/>
          <w:lang w:val="es-ES_tradnl"/>
        </w:rPr>
        <w:t>20 DE MARZO DE 2019</w:t>
      </w:r>
    </w:p>
    <w:p w:rsidR="00C64A37" w:rsidRPr="00762B34" w:rsidRDefault="00C64A37" w:rsidP="00C64A37">
      <w:pPr>
        <w:tabs>
          <w:tab w:val="center" w:pos="4253"/>
        </w:tabs>
        <w:suppressAutoHyphens/>
        <w:spacing w:after="0" w:line="240" w:lineRule="auto"/>
        <w:jc w:val="center"/>
        <w:rPr>
          <w:b/>
          <w:lang w:val="es-ES_tradnl"/>
        </w:rPr>
      </w:pPr>
    </w:p>
    <w:p w:rsidR="00C64A37" w:rsidRPr="006F1C90" w:rsidRDefault="00C64A37" w:rsidP="00C64A37">
      <w:pPr>
        <w:tabs>
          <w:tab w:val="center" w:pos="4253"/>
        </w:tabs>
        <w:suppressAutoHyphens/>
        <w:spacing w:after="0" w:line="240" w:lineRule="auto"/>
        <w:jc w:val="center"/>
        <w:rPr>
          <w:b/>
        </w:rPr>
      </w:pPr>
      <w:r w:rsidRPr="006F1C90">
        <w:rPr>
          <w:b/>
        </w:rPr>
        <w:t xml:space="preserve">(E. E. Nº </w:t>
      </w:r>
      <w:r w:rsidRPr="00C64A37">
        <w:rPr>
          <w:b/>
        </w:rPr>
        <w:t>2019-17-1-0000009</w:t>
      </w:r>
      <w:r w:rsidRPr="006F1C90">
        <w:rPr>
          <w:b/>
        </w:rPr>
        <w:t xml:space="preserve">, </w:t>
      </w:r>
      <w:proofErr w:type="spellStart"/>
      <w:r w:rsidRPr="006F1C90">
        <w:rPr>
          <w:b/>
        </w:rPr>
        <w:t>Ent</w:t>
      </w:r>
      <w:proofErr w:type="spellEnd"/>
      <w:r w:rsidRPr="006F1C90">
        <w:rPr>
          <w:b/>
        </w:rPr>
        <w:t>. N°</w:t>
      </w:r>
      <w:r w:rsidR="006F1C90">
        <w:rPr>
          <w:b/>
        </w:rPr>
        <w:t xml:space="preserve"> </w:t>
      </w:r>
      <w:r w:rsidRPr="006F1C90">
        <w:rPr>
          <w:b/>
        </w:rPr>
        <w:t>708/19)</w:t>
      </w:r>
    </w:p>
    <w:p w:rsidR="00C64A37" w:rsidRPr="006F1C90" w:rsidRDefault="00C64A37" w:rsidP="00C64A37">
      <w:pPr>
        <w:tabs>
          <w:tab w:val="center" w:pos="4253"/>
        </w:tabs>
        <w:suppressAutoHyphens/>
        <w:spacing w:after="0" w:line="240" w:lineRule="auto"/>
        <w:jc w:val="center"/>
        <w:rPr>
          <w:b/>
        </w:rPr>
      </w:pPr>
    </w:p>
    <w:p w:rsidR="00731F27" w:rsidRPr="00556AE3" w:rsidRDefault="00AF33C2" w:rsidP="006C47E1">
      <w:pPr>
        <w:spacing w:after="0"/>
        <w:ind w:firstLine="851"/>
        <w:jc w:val="both"/>
      </w:pPr>
      <w:r w:rsidRPr="00556AE3">
        <w:rPr>
          <w:b/>
        </w:rPr>
        <w:t xml:space="preserve">VISTO: </w:t>
      </w:r>
      <w:r w:rsidRPr="00556AE3">
        <w:t>estas actuaciones remitidas por la Intendencia de Flores, relacionadas con el P</w:t>
      </w:r>
      <w:r w:rsidR="00731F27" w:rsidRPr="00556AE3">
        <w:t>r</w:t>
      </w:r>
      <w:r w:rsidR="00E550F7">
        <w:t xml:space="preserve">oyecto de Convenio a suscribir por esa Intendencia con </w:t>
      </w:r>
      <w:r w:rsidR="00731F27" w:rsidRPr="00556AE3">
        <w:t>la Corporación Nacional para el Desarrollo</w:t>
      </w:r>
      <w:r w:rsidR="00E550F7">
        <w:t>,</w:t>
      </w:r>
      <w:r w:rsidR="00731F27" w:rsidRPr="00556AE3">
        <w:t xml:space="preserve"> para llevar adelante la Administración Financiera de los recursos </w:t>
      </w:r>
      <w:r w:rsidRPr="00556AE3">
        <w:t>transferidos por la Intendencia;</w:t>
      </w:r>
    </w:p>
    <w:p w:rsidR="00731F27" w:rsidRPr="00556AE3" w:rsidRDefault="00AF33C2" w:rsidP="006C47E1">
      <w:pPr>
        <w:spacing w:after="0"/>
        <w:ind w:firstLine="851"/>
        <w:jc w:val="both"/>
      </w:pPr>
      <w:r w:rsidRPr="00556AE3">
        <w:rPr>
          <w:b/>
        </w:rPr>
        <w:t xml:space="preserve">RESULTANDO: 1) </w:t>
      </w:r>
      <w:r w:rsidR="00E550F7">
        <w:t>que de acuerdo con</w:t>
      </w:r>
      <w:r w:rsidRPr="00556AE3">
        <w:t xml:space="preserve"> lo informado por el Director G</w:t>
      </w:r>
      <w:r w:rsidR="00731F27" w:rsidRPr="00556AE3">
        <w:t>eneral de Hacienda</w:t>
      </w:r>
      <w:r w:rsidRPr="00556AE3">
        <w:t xml:space="preserve">, </w:t>
      </w:r>
      <w:r w:rsidR="00731F27" w:rsidRPr="00556AE3">
        <w:t>el mencionado conve</w:t>
      </w:r>
      <w:r w:rsidR="00E550F7">
        <w:t>nio es conveniente</w:t>
      </w:r>
      <w:r w:rsidR="00731F27" w:rsidRPr="00556AE3">
        <w:t xml:space="preserve"> a efectos de mejorar la gestión de los excedentes financieros de es</w:t>
      </w:r>
      <w:r w:rsidR="00F62DC1" w:rsidRPr="00556AE3">
        <w:t xml:space="preserve">a </w:t>
      </w:r>
      <w:r w:rsidR="00731F27" w:rsidRPr="00556AE3">
        <w:t>Intendencia</w:t>
      </w:r>
      <w:r w:rsidR="00F62DC1" w:rsidRPr="00556AE3">
        <w:t>,  optimizando su rendimiento para  de esta manera gene</w:t>
      </w:r>
      <w:r w:rsidRPr="00556AE3">
        <w:t>rar más recursos para la Comuna;</w:t>
      </w:r>
    </w:p>
    <w:p w:rsidR="006C47E1" w:rsidRDefault="007236DE" w:rsidP="006C47E1">
      <w:pPr>
        <w:spacing w:after="0"/>
        <w:ind w:firstLine="2694"/>
        <w:jc w:val="both"/>
      </w:pPr>
      <w:r>
        <w:rPr>
          <w:b/>
        </w:rPr>
        <w:t xml:space="preserve"> </w:t>
      </w:r>
      <w:r w:rsidR="003B4F50" w:rsidRPr="00556AE3">
        <w:rPr>
          <w:b/>
        </w:rPr>
        <w:t>2)</w:t>
      </w:r>
      <w:r w:rsidR="003B4F50" w:rsidRPr="00556AE3">
        <w:t xml:space="preserve"> que se agrega</w:t>
      </w:r>
      <w:r w:rsidR="00AF33C2" w:rsidRPr="00556AE3">
        <w:t xml:space="preserve"> que dado que muchos contribuyentes abonan los tributos al contado, durante los primeros meses de cada ejercicio </w:t>
      </w:r>
      <w:r w:rsidR="003B4F50" w:rsidRPr="00556AE3">
        <w:t xml:space="preserve">se genera un excedente que actualmente se coloca en el BROU,  como ahorro a plazo fijo. El objetivo del convenio sería lograr una renta de los fondos que exceden a las necesidades más inmediatas, y que </w:t>
      </w:r>
      <w:r w:rsidR="00525957" w:rsidRPr="00556AE3">
        <w:t>durante el primer semestre  permanecen</w:t>
      </w:r>
      <w:r w:rsidR="006F1C90">
        <w:t xml:space="preserve"> ociosos en el Banco República;</w:t>
      </w:r>
    </w:p>
    <w:p w:rsidR="006C47E1" w:rsidRDefault="006F1C90" w:rsidP="006C47E1">
      <w:pPr>
        <w:spacing w:after="0"/>
        <w:ind w:firstLine="2694"/>
        <w:jc w:val="both"/>
      </w:pPr>
      <w:r>
        <w:rPr>
          <w:b/>
        </w:rPr>
        <w:t xml:space="preserve"> </w:t>
      </w:r>
      <w:r w:rsidR="00525957" w:rsidRPr="00556AE3">
        <w:rPr>
          <w:b/>
        </w:rPr>
        <w:t xml:space="preserve">3) </w:t>
      </w:r>
      <w:r w:rsidR="00E550F7">
        <w:t xml:space="preserve">que de acuerdo con el </w:t>
      </w:r>
      <w:r w:rsidR="00525957" w:rsidRPr="00556AE3">
        <w:t xml:space="preserve">Proyecto de Convenio que se adjunta </w:t>
      </w:r>
      <w:r w:rsidR="00C86B1F" w:rsidRPr="00556AE3">
        <w:t xml:space="preserve">la CND en su función de administrador  </w:t>
      </w:r>
      <w:r w:rsidR="002D5CCB" w:rsidRPr="00556AE3">
        <w:t>realizará</w:t>
      </w:r>
      <w:r w:rsidR="00C86B1F" w:rsidRPr="00556AE3">
        <w:t xml:space="preserve"> en forma responsable colocaciones en instrumentos financieros de plaza; en plazos calzados con el cronograma de desembolsos y en instrumentos emitidos por el Gobierno (bonos del Tesoro del </w:t>
      </w:r>
      <w:r w:rsidR="002D5CCB" w:rsidRPr="00556AE3">
        <w:t>Uruguay</w:t>
      </w:r>
      <w:r w:rsidR="00C86B1F" w:rsidRPr="00556AE3">
        <w:t xml:space="preserve"> en </w:t>
      </w:r>
      <w:r w:rsidR="002D5CCB" w:rsidRPr="00556AE3">
        <w:t>dólares</w:t>
      </w:r>
      <w:r w:rsidR="00C86B1F" w:rsidRPr="00556AE3">
        <w:t>, UI, o pesos, letras de regulación m</w:t>
      </w:r>
      <w:r w:rsidR="002D5CCB" w:rsidRPr="00556AE3">
        <w:t>onetaria, UI o dólares, letras de tesorería en dólares, UI o pesos, o cualquier otro instrumento  emitido por el Banco Central del Uruguay con riesgo Uruguay);</w:t>
      </w:r>
    </w:p>
    <w:p w:rsidR="006C47E1" w:rsidRDefault="006F1C90" w:rsidP="006C47E1">
      <w:pPr>
        <w:spacing w:after="0"/>
        <w:ind w:firstLine="2694"/>
        <w:jc w:val="both"/>
      </w:pPr>
      <w:r>
        <w:rPr>
          <w:b/>
        </w:rPr>
        <w:lastRenderedPageBreak/>
        <w:t xml:space="preserve"> </w:t>
      </w:r>
      <w:r w:rsidR="002D5CCB" w:rsidRPr="00556AE3">
        <w:rPr>
          <w:b/>
        </w:rPr>
        <w:t>4)</w:t>
      </w:r>
      <w:r w:rsidR="002D5CCB" w:rsidRPr="00556AE3">
        <w:t xml:space="preserve"> que el plazo del convenio será</w:t>
      </w:r>
      <w:r w:rsidR="00E550F7">
        <w:t xml:space="preserve"> de un año desde su celebración</w:t>
      </w:r>
      <w:r w:rsidR="002D5CCB" w:rsidRPr="00556AE3">
        <w:t>, y se prorrogará automáticamente</w:t>
      </w:r>
      <w:r w:rsidR="00E550F7">
        <w:t xml:space="preserve"> por iguales períodos,  abonándose </w:t>
      </w:r>
      <w:r w:rsidR="002D5CCB" w:rsidRPr="00556AE3">
        <w:t>por concepto de honorarios</w:t>
      </w:r>
      <w:r w:rsidR="00E550F7">
        <w:t xml:space="preserve"> a la CND</w:t>
      </w:r>
      <w:r w:rsidR="002D5CCB" w:rsidRPr="00556AE3">
        <w:t xml:space="preserve"> una remuneración equivalente al 4% más IVA mensual, sobre lo efectivamente  ejecutado, y si se realizaran colocaciones </w:t>
      </w:r>
      <w:r w:rsidR="00E550F7">
        <w:t xml:space="preserve">financieras de acuerdo con el </w:t>
      </w:r>
      <w:r w:rsidR="002D5CCB" w:rsidRPr="00556AE3">
        <w:t xml:space="preserve">programa de desembolsos </w:t>
      </w:r>
      <w:r w:rsidR="0050746D" w:rsidRPr="00556AE3">
        <w:t>en los instrumentos f</w:t>
      </w:r>
      <w:r w:rsidR="00E550F7">
        <w:t>inancieros disponibles en plaza</w:t>
      </w:r>
      <w:r w:rsidR="0050746D" w:rsidRPr="00556AE3">
        <w:t>, la CND percibirá un 20% más IVA de la rentabilidad neta obtenida por este concepto;</w:t>
      </w:r>
    </w:p>
    <w:p w:rsidR="006C47E1" w:rsidRDefault="006F1C90" w:rsidP="006C47E1">
      <w:pPr>
        <w:spacing w:after="0"/>
        <w:ind w:firstLine="2694"/>
        <w:jc w:val="both"/>
      </w:pPr>
      <w:r>
        <w:rPr>
          <w:b/>
        </w:rPr>
        <w:t xml:space="preserve"> </w:t>
      </w:r>
      <w:r w:rsidR="0050746D" w:rsidRPr="00556AE3">
        <w:rPr>
          <w:b/>
        </w:rPr>
        <w:t>5)</w:t>
      </w:r>
      <w:r w:rsidR="0050746D" w:rsidRPr="00556AE3">
        <w:t xml:space="preserve"> que la Asesoría Jurídica aconseja que previo a la suscripción del convenio, se eleve a consideración del Tribunal de Cuentas;</w:t>
      </w:r>
    </w:p>
    <w:p w:rsidR="00197484" w:rsidRPr="00197484" w:rsidRDefault="006F1C90" w:rsidP="006C47E1">
      <w:pPr>
        <w:spacing w:after="0"/>
        <w:ind w:firstLine="2694"/>
        <w:jc w:val="both"/>
      </w:pPr>
      <w:r>
        <w:rPr>
          <w:b/>
        </w:rPr>
        <w:t xml:space="preserve"> </w:t>
      </w:r>
      <w:r w:rsidR="00197484">
        <w:rPr>
          <w:b/>
        </w:rPr>
        <w:t xml:space="preserve">6) </w:t>
      </w:r>
      <w:r w:rsidR="00197484" w:rsidRPr="00197484">
        <w:t>que en el texto proyectado no consta el monto que la Intendencia se compromete a transferir a la CND;</w:t>
      </w:r>
    </w:p>
    <w:p w:rsidR="00EE5C7F" w:rsidRDefault="0050746D" w:rsidP="006F1C90">
      <w:pPr>
        <w:pStyle w:val="HTMLconformatoprevio"/>
        <w:shd w:val="clear" w:color="auto" w:fill="FFFFFF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97484">
        <w:rPr>
          <w:rFonts w:ascii="Arial" w:hAnsi="Arial" w:cs="Arial"/>
          <w:b/>
          <w:sz w:val="24"/>
          <w:szCs w:val="24"/>
        </w:rPr>
        <w:t>CONSIDERANDO: 1)</w:t>
      </w:r>
      <w:r w:rsidRPr="00197484">
        <w:rPr>
          <w:rFonts w:ascii="Arial" w:hAnsi="Arial" w:cs="Arial"/>
          <w:sz w:val="24"/>
          <w:szCs w:val="24"/>
        </w:rPr>
        <w:t xml:space="preserve"> </w:t>
      </w:r>
      <w:r w:rsidR="00EE5C7F">
        <w:rPr>
          <w:rFonts w:ascii="Arial" w:hAnsi="Arial" w:cs="Arial"/>
          <w:sz w:val="24"/>
          <w:szCs w:val="24"/>
        </w:rPr>
        <w:t xml:space="preserve">que el artículo 274 de la Constitución dispone que </w:t>
      </w:r>
      <w:r w:rsidR="00EE5C7F" w:rsidRPr="00EE5C7F">
        <w:rPr>
          <w:rFonts w:ascii="Arial" w:hAnsi="Arial" w:cs="Arial"/>
          <w:i/>
          <w:sz w:val="24"/>
          <w:szCs w:val="24"/>
        </w:rPr>
        <w:t>“corresponden al Intendente las funciones ejecutivas y administrativas del gobierno departamental”;</w:t>
      </w:r>
    </w:p>
    <w:p w:rsidR="00197484" w:rsidRPr="00197484" w:rsidRDefault="007236DE" w:rsidP="006C47E1">
      <w:pPr>
        <w:pStyle w:val="HTMLconformatoprevio"/>
        <w:shd w:val="clear" w:color="auto" w:fill="FFFFFF"/>
        <w:spacing w:line="360" w:lineRule="auto"/>
        <w:ind w:firstLine="2977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EE5C7F" w:rsidRPr="006D4D28">
        <w:rPr>
          <w:rFonts w:ascii="Arial" w:hAnsi="Arial" w:cs="Arial"/>
          <w:b/>
          <w:sz w:val="24"/>
          <w:szCs w:val="24"/>
        </w:rPr>
        <w:t>2)</w:t>
      </w:r>
      <w:r w:rsidR="00EE5C7F">
        <w:rPr>
          <w:rFonts w:ascii="Arial" w:hAnsi="Arial" w:cs="Arial"/>
          <w:sz w:val="24"/>
          <w:szCs w:val="24"/>
        </w:rPr>
        <w:t xml:space="preserve"> que el </w:t>
      </w:r>
      <w:r w:rsidR="0050746D" w:rsidRPr="00197484">
        <w:rPr>
          <w:rFonts w:ascii="Arial" w:hAnsi="Arial" w:cs="Arial"/>
          <w:sz w:val="24"/>
          <w:szCs w:val="24"/>
        </w:rPr>
        <w:t>Literal E) de</w:t>
      </w:r>
      <w:r w:rsidR="00EE5C7F">
        <w:rPr>
          <w:rFonts w:ascii="Arial" w:hAnsi="Arial" w:cs="Arial"/>
          <w:sz w:val="24"/>
          <w:szCs w:val="24"/>
        </w:rPr>
        <w:t>l a</w:t>
      </w:r>
      <w:r w:rsidR="00E550F7">
        <w:rPr>
          <w:rFonts w:ascii="Arial" w:hAnsi="Arial" w:cs="Arial"/>
          <w:sz w:val="24"/>
          <w:szCs w:val="24"/>
        </w:rPr>
        <w:t>rtículo 11 de la</w:t>
      </w:r>
      <w:r w:rsidR="00EE5C7F">
        <w:rPr>
          <w:rFonts w:ascii="Arial" w:hAnsi="Arial" w:cs="Arial"/>
          <w:sz w:val="24"/>
          <w:szCs w:val="24"/>
        </w:rPr>
        <w:t xml:space="preserve"> L</w:t>
      </w:r>
      <w:r w:rsidR="00E550F7">
        <w:rPr>
          <w:rFonts w:ascii="Arial" w:hAnsi="Arial" w:cs="Arial"/>
          <w:sz w:val="24"/>
          <w:szCs w:val="24"/>
        </w:rPr>
        <w:t xml:space="preserve">ey </w:t>
      </w:r>
      <w:r w:rsidR="006C47E1">
        <w:rPr>
          <w:rFonts w:ascii="Arial" w:hAnsi="Arial" w:cs="Arial"/>
          <w:sz w:val="24"/>
          <w:szCs w:val="24"/>
        </w:rPr>
        <w:t xml:space="preserve">          </w:t>
      </w:r>
      <w:r w:rsidR="00E550F7">
        <w:rPr>
          <w:rFonts w:ascii="Arial" w:hAnsi="Arial" w:cs="Arial"/>
          <w:sz w:val="24"/>
          <w:szCs w:val="24"/>
        </w:rPr>
        <w:t>Nº 15.785</w:t>
      </w:r>
      <w:r w:rsidR="00EE5C7F">
        <w:rPr>
          <w:rFonts w:ascii="Arial" w:hAnsi="Arial" w:cs="Arial"/>
          <w:sz w:val="24"/>
          <w:szCs w:val="24"/>
        </w:rPr>
        <w:t xml:space="preserve"> de 4 de diciembre de 1985</w:t>
      </w:r>
      <w:r w:rsidR="00E550F7">
        <w:rPr>
          <w:rFonts w:ascii="Arial" w:hAnsi="Arial" w:cs="Arial"/>
          <w:sz w:val="24"/>
          <w:szCs w:val="24"/>
        </w:rPr>
        <w:t xml:space="preserve">, </w:t>
      </w:r>
      <w:r w:rsidR="00197484" w:rsidRPr="00197484">
        <w:rPr>
          <w:rFonts w:ascii="Arial" w:hAnsi="Arial" w:cs="Arial"/>
          <w:sz w:val="24"/>
          <w:szCs w:val="24"/>
        </w:rPr>
        <w:t>e</w:t>
      </w:r>
      <w:r w:rsidR="00EE5C7F">
        <w:rPr>
          <w:rFonts w:ascii="Arial" w:hAnsi="Arial" w:cs="Arial"/>
          <w:sz w:val="24"/>
          <w:szCs w:val="24"/>
        </w:rPr>
        <w:t xml:space="preserve">n la redacción dada por el literal E) del artículo </w:t>
      </w:r>
      <w:r w:rsidR="00197484" w:rsidRPr="00197484">
        <w:rPr>
          <w:rFonts w:ascii="Arial" w:hAnsi="Arial" w:cs="Arial"/>
          <w:sz w:val="24"/>
          <w:szCs w:val="24"/>
        </w:rPr>
        <w:t>342</w:t>
      </w:r>
      <w:r w:rsidR="0050746D" w:rsidRPr="00197484">
        <w:rPr>
          <w:rFonts w:ascii="Arial" w:hAnsi="Arial" w:cs="Arial"/>
          <w:sz w:val="24"/>
          <w:szCs w:val="24"/>
        </w:rPr>
        <w:t xml:space="preserve"> </w:t>
      </w:r>
      <w:r w:rsidR="00EE5C7F">
        <w:rPr>
          <w:rFonts w:ascii="Arial" w:hAnsi="Arial" w:cs="Arial"/>
          <w:sz w:val="24"/>
          <w:szCs w:val="24"/>
        </w:rPr>
        <w:t>de la L</w:t>
      </w:r>
      <w:r w:rsidR="00197484" w:rsidRPr="00197484">
        <w:rPr>
          <w:rFonts w:ascii="Arial" w:hAnsi="Arial" w:cs="Arial"/>
          <w:sz w:val="24"/>
          <w:szCs w:val="24"/>
        </w:rPr>
        <w:t>ey 19</w:t>
      </w:r>
      <w:r w:rsidR="00EE5C7F">
        <w:rPr>
          <w:rFonts w:ascii="Arial" w:hAnsi="Arial" w:cs="Arial"/>
          <w:sz w:val="24"/>
          <w:szCs w:val="24"/>
        </w:rPr>
        <w:t>.</w:t>
      </w:r>
      <w:r w:rsidR="00197484" w:rsidRPr="00197484">
        <w:rPr>
          <w:rFonts w:ascii="Arial" w:hAnsi="Arial" w:cs="Arial"/>
          <w:sz w:val="24"/>
          <w:szCs w:val="24"/>
        </w:rPr>
        <w:t>670</w:t>
      </w:r>
      <w:r w:rsidR="00EE5C7F">
        <w:rPr>
          <w:rFonts w:ascii="Arial" w:hAnsi="Arial" w:cs="Arial"/>
          <w:sz w:val="24"/>
          <w:szCs w:val="24"/>
        </w:rPr>
        <w:t xml:space="preserve"> de 15 de octubre de 2018 confiere a</w:t>
      </w:r>
      <w:r w:rsidR="00197484">
        <w:rPr>
          <w:rFonts w:ascii="Arial" w:hAnsi="Arial" w:cs="Arial"/>
          <w:sz w:val="24"/>
          <w:szCs w:val="24"/>
        </w:rPr>
        <w:t xml:space="preserve"> </w:t>
      </w:r>
      <w:r w:rsidR="00197484" w:rsidRPr="00197484">
        <w:rPr>
          <w:rFonts w:ascii="Arial" w:hAnsi="Arial" w:cs="Arial"/>
          <w:sz w:val="24"/>
          <w:szCs w:val="24"/>
        </w:rPr>
        <w:t xml:space="preserve"> </w:t>
      </w:r>
      <w:r w:rsidR="00EE5C7F">
        <w:rPr>
          <w:rFonts w:ascii="Arial" w:hAnsi="Arial" w:cs="Arial"/>
          <w:sz w:val="24"/>
          <w:szCs w:val="24"/>
        </w:rPr>
        <w:t>la CND la facultad</w:t>
      </w:r>
      <w:r w:rsidR="00197484">
        <w:rPr>
          <w:rFonts w:ascii="Arial" w:hAnsi="Arial" w:cs="Arial"/>
          <w:sz w:val="24"/>
          <w:szCs w:val="24"/>
        </w:rPr>
        <w:t xml:space="preserve"> </w:t>
      </w:r>
      <w:r w:rsidR="00197484" w:rsidRPr="00197484">
        <w:rPr>
          <w:rFonts w:ascii="Arial" w:hAnsi="Arial" w:cs="Arial"/>
          <w:sz w:val="24"/>
          <w:szCs w:val="24"/>
        </w:rPr>
        <w:t xml:space="preserve"> de “</w:t>
      </w:r>
      <w:r w:rsidR="00EE5C7F" w:rsidRPr="00EE5C7F">
        <w:rPr>
          <w:rFonts w:ascii="Arial" w:hAnsi="Arial" w:cs="Arial"/>
          <w:i/>
          <w:color w:val="333333"/>
          <w:sz w:val="24"/>
          <w:szCs w:val="24"/>
        </w:rPr>
        <w:t>p</w:t>
      </w:r>
      <w:r w:rsidR="00197484" w:rsidRPr="00EE5C7F">
        <w:rPr>
          <w:rFonts w:ascii="Arial" w:hAnsi="Arial" w:cs="Arial"/>
          <w:i/>
          <w:color w:val="333333"/>
          <w:sz w:val="24"/>
          <w:szCs w:val="24"/>
        </w:rPr>
        <w:t>restar servicios fiduciarios y de administración de fondos, de   recursos humanos o de administración contable y financiera, por cuenta de terceros. De los acuerdos o decisiones que impliquen la ejecución de este cometido con fondos públicos se informará al Ministerio de Economía y Finanzas</w:t>
      </w:r>
      <w:r w:rsidR="00EE5C7F">
        <w:rPr>
          <w:rFonts w:ascii="Arial" w:hAnsi="Arial" w:cs="Arial"/>
          <w:color w:val="333333"/>
          <w:sz w:val="24"/>
          <w:szCs w:val="24"/>
        </w:rPr>
        <w:t>";</w:t>
      </w:r>
    </w:p>
    <w:p w:rsidR="0050746D" w:rsidRPr="00556AE3" w:rsidRDefault="007236DE" w:rsidP="006C47E1">
      <w:pPr>
        <w:spacing w:after="0"/>
        <w:ind w:firstLine="2977"/>
        <w:jc w:val="both"/>
      </w:pPr>
      <w:r>
        <w:rPr>
          <w:b/>
        </w:rPr>
        <w:t xml:space="preserve"> </w:t>
      </w:r>
      <w:r w:rsidR="006D4D28">
        <w:rPr>
          <w:b/>
        </w:rPr>
        <w:t>3</w:t>
      </w:r>
      <w:r w:rsidR="0050746D" w:rsidRPr="006D4D28">
        <w:rPr>
          <w:b/>
        </w:rPr>
        <w:t>)</w:t>
      </w:r>
      <w:r w:rsidR="0050746D" w:rsidRPr="00556AE3">
        <w:t xml:space="preserve"> que asimismo </w:t>
      </w:r>
      <w:r w:rsidR="00EE5C7F">
        <w:t xml:space="preserve">la selección directa de la contraparte </w:t>
      </w:r>
      <w:r w:rsidR="0050746D" w:rsidRPr="00556AE3">
        <w:t xml:space="preserve">encuadra en la causal de excepción </w:t>
      </w:r>
      <w:r w:rsidR="00556AE3">
        <w:t xml:space="preserve">prevista </w:t>
      </w:r>
      <w:r w:rsidR="0050746D" w:rsidRPr="00556AE3">
        <w:t xml:space="preserve">en el </w:t>
      </w:r>
      <w:r w:rsidR="00EE5C7F">
        <w:t>numeral 1 del literal C) del artículo</w:t>
      </w:r>
      <w:r w:rsidR="00556AE3">
        <w:t xml:space="preserve"> 33 del T.O.C.A.F</w:t>
      </w:r>
      <w:r w:rsidR="006D4D28">
        <w:t xml:space="preserve"> en atención a la naturaleza jurídica de las partes intervinientes</w:t>
      </w:r>
      <w:r w:rsidR="00556AE3">
        <w:t>;</w:t>
      </w:r>
    </w:p>
    <w:p w:rsidR="00556AE3" w:rsidRDefault="00556AE3" w:rsidP="006F1C90">
      <w:pPr>
        <w:spacing w:after="0"/>
        <w:ind w:firstLine="851"/>
        <w:jc w:val="both"/>
      </w:pPr>
      <w:r w:rsidRPr="00556AE3">
        <w:rPr>
          <w:b/>
        </w:rPr>
        <w:t xml:space="preserve">ATENTO: </w:t>
      </w:r>
      <w:r w:rsidRPr="00556AE3">
        <w:t>lo precedentemente expuesto</w:t>
      </w:r>
      <w:r w:rsidR="00EE5C7F">
        <w:t xml:space="preserve"> y a lo dispuesto por el artículo 211 literal B) de la Constitución de la República</w:t>
      </w:r>
      <w:r w:rsidRPr="00556AE3">
        <w:t>;</w:t>
      </w:r>
    </w:p>
    <w:p w:rsidR="006C47E1" w:rsidRDefault="006C47E1" w:rsidP="006C47E1">
      <w:pPr>
        <w:spacing w:after="0"/>
        <w:ind w:firstLine="708"/>
        <w:jc w:val="both"/>
      </w:pPr>
    </w:p>
    <w:p w:rsidR="006C47E1" w:rsidRPr="00556AE3" w:rsidRDefault="006C47E1" w:rsidP="006C47E1">
      <w:pPr>
        <w:spacing w:after="0"/>
        <w:ind w:firstLine="708"/>
        <w:jc w:val="both"/>
      </w:pPr>
    </w:p>
    <w:p w:rsidR="00556AE3" w:rsidRPr="00556AE3" w:rsidRDefault="00556AE3" w:rsidP="006C47E1">
      <w:pPr>
        <w:spacing w:after="0"/>
        <w:jc w:val="center"/>
        <w:rPr>
          <w:b/>
        </w:rPr>
      </w:pPr>
      <w:r w:rsidRPr="00556AE3">
        <w:rPr>
          <w:b/>
        </w:rPr>
        <w:t>EL TRIBUNAL ACUERDA</w:t>
      </w:r>
    </w:p>
    <w:p w:rsidR="00556AE3" w:rsidRPr="00556AE3" w:rsidRDefault="00556AE3" w:rsidP="006C47E1">
      <w:pPr>
        <w:pStyle w:val="Prrafodelista"/>
        <w:numPr>
          <w:ilvl w:val="0"/>
          <w:numId w:val="1"/>
        </w:numPr>
        <w:spacing w:after="0"/>
        <w:ind w:left="284" w:hanging="284"/>
        <w:jc w:val="both"/>
      </w:pPr>
      <w:r w:rsidRPr="00556AE3">
        <w:t>No formular observaciones al Convenio proyectado;</w:t>
      </w:r>
    </w:p>
    <w:p w:rsidR="00556AE3" w:rsidRDefault="00556AE3" w:rsidP="006C47E1">
      <w:pPr>
        <w:pStyle w:val="Prrafodelista"/>
        <w:numPr>
          <w:ilvl w:val="0"/>
          <w:numId w:val="1"/>
        </w:numPr>
        <w:spacing w:after="0"/>
        <w:ind w:left="284" w:hanging="284"/>
        <w:jc w:val="both"/>
      </w:pPr>
      <w:r w:rsidRPr="00556AE3">
        <w:t xml:space="preserve">Cometer al contador Delegado la </w:t>
      </w:r>
      <w:r w:rsidR="00EE5C7F">
        <w:t>intervención de los</w:t>
      </w:r>
      <w:r w:rsidRPr="00556AE3">
        <w:t xml:space="preserve"> gasto</w:t>
      </w:r>
      <w:r w:rsidR="00EE5C7F">
        <w:t>s</w:t>
      </w:r>
      <w:r w:rsidRPr="00556AE3">
        <w:t xml:space="preserve"> derivado</w:t>
      </w:r>
      <w:r w:rsidR="00EE5C7F">
        <w:t>s</w:t>
      </w:r>
      <w:r w:rsidRPr="00556AE3">
        <w:t xml:space="preserve"> de los h</w:t>
      </w:r>
      <w:r w:rsidR="00EE5C7F">
        <w:t>onorarios estipulados para</w:t>
      </w:r>
      <w:r w:rsidR="00197484">
        <w:t xml:space="preserve"> la CND, y de las transferencias a efectuar, previo control de</w:t>
      </w:r>
      <w:r w:rsidR="00EE5C7F">
        <w:t>l dictado de la resolución por el ordenador competente</w:t>
      </w:r>
      <w:r w:rsidR="00154B2E">
        <w:t xml:space="preserve"> </w:t>
      </w:r>
      <w:r w:rsidR="00154B2E" w:rsidRPr="00154B2E">
        <w:rPr>
          <w:lang w:val="es-MX"/>
        </w:rPr>
        <w:t>(artículo 8 de la Ordenanza de 22 de mayo de 1958, en la redacción dada por la Resolución de fecha 16 de junio de 2010)</w:t>
      </w:r>
      <w:r w:rsidR="00154B2E" w:rsidRPr="00154B2E">
        <w:rPr>
          <w:lang w:val="es-ES"/>
        </w:rPr>
        <w:t xml:space="preserve"> </w:t>
      </w:r>
      <w:r w:rsidR="00EE5C7F">
        <w:t>y</w:t>
      </w:r>
      <w:r w:rsidR="00154B2E">
        <w:t xml:space="preserve"> de </w:t>
      </w:r>
      <w:r w:rsidR="00EE5C7F">
        <w:t>la suscripción del Convenio</w:t>
      </w:r>
      <w:r w:rsidR="00154B2E">
        <w:t>, así como</w:t>
      </w:r>
      <w:r w:rsidR="00EE5C7F">
        <w:t xml:space="preserve"> de la imputación del gasto a grupo</w:t>
      </w:r>
      <w:r w:rsidR="00713D14">
        <w:t xml:space="preserve"> presupuestal con disponibilidad</w:t>
      </w:r>
      <w:r w:rsidR="006D4D28">
        <w:t>,</w:t>
      </w:r>
      <w:r w:rsidR="00154B2E">
        <w:t xml:space="preserve"> cuando corresponda</w:t>
      </w:r>
      <w:r w:rsidR="00713D14">
        <w:t>;</w:t>
      </w:r>
    </w:p>
    <w:p w:rsidR="003F6A65" w:rsidRPr="00556AE3" w:rsidRDefault="003F6A65" w:rsidP="006C47E1">
      <w:pPr>
        <w:pStyle w:val="Prrafodelista"/>
        <w:numPr>
          <w:ilvl w:val="0"/>
          <w:numId w:val="1"/>
        </w:numPr>
        <w:spacing w:after="0"/>
        <w:ind w:left="284" w:hanging="284"/>
        <w:jc w:val="both"/>
      </w:pPr>
      <w:r>
        <w:t>Comunicar al Contador Delegado ante la Intendencia de Flores;</w:t>
      </w:r>
    </w:p>
    <w:p w:rsidR="00556AE3" w:rsidRDefault="00556AE3" w:rsidP="006C47E1">
      <w:pPr>
        <w:pStyle w:val="Prrafodelista"/>
        <w:numPr>
          <w:ilvl w:val="0"/>
          <w:numId w:val="1"/>
        </w:numPr>
        <w:spacing w:after="0"/>
        <w:ind w:left="284" w:hanging="284"/>
        <w:jc w:val="both"/>
      </w:pPr>
      <w:r w:rsidRPr="00556AE3">
        <w:t>Devolver las actuaciones.</w:t>
      </w:r>
    </w:p>
    <w:p w:rsidR="00154B2E" w:rsidRPr="006F1C90" w:rsidRDefault="006C47E1" w:rsidP="006C47E1">
      <w:pPr>
        <w:pStyle w:val="Prrafodelista"/>
        <w:spacing w:after="0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CLC</w:t>
      </w:r>
    </w:p>
    <w:sectPr w:rsidR="00154B2E" w:rsidRPr="006F1C90" w:rsidSect="00693596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BE66C4"/>
    <w:multiLevelType w:val="hybridMultilevel"/>
    <w:tmpl w:val="C9985178"/>
    <w:lvl w:ilvl="0" w:tplc="E610AC3C">
      <w:start w:val="1"/>
      <w:numFmt w:val="decimal"/>
      <w:lvlText w:val="%1)"/>
      <w:lvlJc w:val="left"/>
      <w:pPr>
        <w:ind w:left="1068" w:hanging="360"/>
      </w:pPr>
      <w:rPr>
        <w:rFonts w:ascii="Arial" w:hAnsi="Arial" w:cs="Aria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27"/>
    <w:rsid w:val="00154B2E"/>
    <w:rsid w:val="00197484"/>
    <w:rsid w:val="00276495"/>
    <w:rsid w:val="00280F83"/>
    <w:rsid w:val="002D5CCB"/>
    <w:rsid w:val="003147B6"/>
    <w:rsid w:val="00317C99"/>
    <w:rsid w:val="00322F63"/>
    <w:rsid w:val="003A7A92"/>
    <w:rsid w:val="003B4F50"/>
    <w:rsid w:val="003F6A65"/>
    <w:rsid w:val="0050746D"/>
    <w:rsid w:val="00525957"/>
    <w:rsid w:val="00556AE3"/>
    <w:rsid w:val="00693596"/>
    <w:rsid w:val="006C47E1"/>
    <w:rsid w:val="006D4D28"/>
    <w:rsid w:val="006F1C90"/>
    <w:rsid w:val="006F3541"/>
    <w:rsid w:val="00713D14"/>
    <w:rsid w:val="007236DE"/>
    <w:rsid w:val="00731F27"/>
    <w:rsid w:val="0073608E"/>
    <w:rsid w:val="00916C9E"/>
    <w:rsid w:val="009F09B5"/>
    <w:rsid w:val="00A25CCC"/>
    <w:rsid w:val="00AF33C2"/>
    <w:rsid w:val="00C64A37"/>
    <w:rsid w:val="00C86B1F"/>
    <w:rsid w:val="00E550F7"/>
    <w:rsid w:val="00EE5C7F"/>
    <w:rsid w:val="00F62DC1"/>
    <w:rsid w:val="00FD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s-UY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25CCC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56AE3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unhideWhenUsed/>
    <w:rsid w:val="001974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197484"/>
    <w:rPr>
      <w:rFonts w:ascii="Courier New" w:eastAsia="Times New Roman" w:hAnsi="Courier New" w:cs="Courier New"/>
      <w:sz w:val="20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s-UY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25CCC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56AE3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unhideWhenUsed/>
    <w:rsid w:val="001974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197484"/>
    <w:rPr>
      <w:rFonts w:ascii="Courier New" w:eastAsia="Times New Roman" w:hAnsi="Courier New" w:cs="Courier New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5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E77DB-D3BB-446B-A69D-BB923D745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620</Words>
  <Characters>3410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7</cp:revision>
  <dcterms:created xsi:type="dcterms:W3CDTF">2019-03-25T15:56:00Z</dcterms:created>
  <dcterms:modified xsi:type="dcterms:W3CDTF">2019-04-11T18:28:00Z</dcterms:modified>
</cp:coreProperties>
</file>