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2D6" w:rsidRPr="00786EEB" w:rsidRDefault="005E12D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761/19</w:t>
      </w:r>
    </w:p>
    <w:p w:rsidR="005E12D6" w:rsidRDefault="005E12D6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5E12D6" w:rsidRPr="005E12D6" w:rsidRDefault="005E12D6" w:rsidP="005E12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12D6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5E12D6" w:rsidRPr="005E12D6" w:rsidRDefault="005E12D6" w:rsidP="005E12D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2D6" w:rsidRPr="005E12D6" w:rsidRDefault="005E12D6" w:rsidP="005E12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12D6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5E12D6" w:rsidRPr="005E12D6" w:rsidRDefault="005E12D6" w:rsidP="005E12D6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2D6" w:rsidRPr="005E12D6" w:rsidRDefault="005E12D6" w:rsidP="005E12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5E12D6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5E12D6">
        <w:rPr>
          <w:rFonts w:ascii="Helvetica" w:hAnsi="Helvetica"/>
          <w:b/>
          <w:sz w:val="24"/>
          <w:szCs w:val="24"/>
          <w:lang w:val="es-ES_tradnl"/>
        </w:rPr>
        <w:t>20 DE MARZO DE 2019</w:t>
      </w:r>
    </w:p>
    <w:p w:rsidR="005E12D6" w:rsidRPr="005E12D6" w:rsidRDefault="005E12D6" w:rsidP="005E12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5E12D6" w:rsidRPr="00993644" w:rsidRDefault="005E12D6" w:rsidP="005E12D6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93644">
        <w:rPr>
          <w:rFonts w:ascii="Arial" w:hAnsi="Arial" w:cs="Arial"/>
          <w:b/>
          <w:sz w:val="24"/>
          <w:szCs w:val="24"/>
        </w:rPr>
        <w:t xml:space="preserve">(E. E. Nº 2019-17-1-0001143, </w:t>
      </w:r>
      <w:proofErr w:type="spellStart"/>
      <w:r w:rsidRPr="00993644">
        <w:rPr>
          <w:rFonts w:ascii="Arial" w:hAnsi="Arial" w:cs="Arial"/>
          <w:b/>
          <w:sz w:val="24"/>
          <w:szCs w:val="24"/>
        </w:rPr>
        <w:t>Ent</w:t>
      </w:r>
      <w:proofErr w:type="spellEnd"/>
      <w:r w:rsidRPr="00993644">
        <w:rPr>
          <w:rFonts w:ascii="Arial" w:hAnsi="Arial" w:cs="Arial"/>
          <w:b/>
          <w:sz w:val="24"/>
          <w:szCs w:val="24"/>
        </w:rPr>
        <w:t>. N° 900/19)</w:t>
      </w:r>
    </w:p>
    <w:p w:rsidR="005E12D6" w:rsidRPr="00993644" w:rsidRDefault="005E12D6">
      <w:pPr>
        <w:tabs>
          <w:tab w:val="center" w:pos="4253"/>
        </w:tabs>
        <w:suppressAutoHyphens/>
        <w:jc w:val="center"/>
        <w:rPr>
          <w:rFonts w:ascii="Helvetica" w:hAnsi="Helvetica"/>
          <w:b/>
        </w:rPr>
      </w:pPr>
    </w:p>
    <w:p w:rsidR="005E12D6" w:rsidRDefault="003D2176" w:rsidP="005E12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0E57"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estas actuaciones remitidas por el Ministerio de Desarrollo Social  relacionadas con los Convenios suscriptos en el marco de la Licitación Pública N° 1/2018, convocada con el objeto de seleccionar y contratar Organizaciones de Sociedad Civil (</w:t>
      </w:r>
      <w:proofErr w:type="spellStart"/>
      <w:r>
        <w:rPr>
          <w:rFonts w:ascii="Arial" w:hAnsi="Arial" w:cs="Arial"/>
          <w:sz w:val="24"/>
          <w:szCs w:val="24"/>
        </w:rPr>
        <w:t>OSCs</w:t>
      </w:r>
      <w:proofErr w:type="spellEnd"/>
      <w:r>
        <w:rPr>
          <w:rFonts w:ascii="Arial" w:hAnsi="Arial" w:cs="Arial"/>
          <w:sz w:val="24"/>
          <w:szCs w:val="24"/>
        </w:rPr>
        <w:t>) y/o Cooperativas de Trabajo, para presentar propuestas de trabajo a los efectos de implementar y ejecutar un Programa Educativo Laboral que contribuya a la mejora de las competencias de las personas para el mundo del trabajo (dependiente, por cuenta propia, asociativo) y/o a la reinserción educativa de los participantes del Programa Uruguay Trabaja, en el marco de los Valores de la Economía Social;</w:t>
      </w:r>
    </w:p>
    <w:p w:rsidR="005E12D6" w:rsidRDefault="003D2176" w:rsidP="005E12D6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D10E57">
        <w:rPr>
          <w:rFonts w:ascii="Arial" w:hAnsi="Arial" w:cs="Arial"/>
          <w:b/>
          <w:sz w:val="24"/>
          <w:szCs w:val="24"/>
        </w:rPr>
        <w:t>RESULTANDO: 1)</w:t>
      </w:r>
      <w:r>
        <w:rPr>
          <w:rFonts w:ascii="Arial" w:hAnsi="Arial" w:cs="Arial"/>
          <w:sz w:val="24"/>
          <w:szCs w:val="24"/>
        </w:rPr>
        <w:t xml:space="preserve"> que este Tribunal, en Sesión de fecha 30 de mayo de 2018, acordó obse</w:t>
      </w:r>
      <w:r w:rsidR="005E12D6">
        <w:rPr>
          <w:rFonts w:ascii="Arial" w:hAnsi="Arial" w:cs="Arial"/>
          <w:sz w:val="24"/>
          <w:szCs w:val="24"/>
        </w:rPr>
        <w:t>rvar los convenios a suscribir</w:t>
      </w:r>
      <w:r>
        <w:rPr>
          <w:rFonts w:ascii="Arial" w:hAnsi="Arial" w:cs="Arial"/>
          <w:sz w:val="24"/>
          <w:szCs w:val="24"/>
        </w:rPr>
        <w:t xml:space="preserve"> y el gasto derivado de los mismos, </w:t>
      </w:r>
      <w:r w:rsidR="00BF3D1A">
        <w:rPr>
          <w:rFonts w:ascii="Arial" w:hAnsi="Arial" w:cs="Arial"/>
          <w:sz w:val="24"/>
          <w:szCs w:val="24"/>
        </w:rPr>
        <w:t>por entender que en lo que refiere a la contratación con el servicio de Transporte con la empresa CUTCSA no se había hecho un procedimiento competitivo</w:t>
      </w:r>
      <w:r>
        <w:rPr>
          <w:rFonts w:ascii="Arial" w:hAnsi="Arial" w:cs="Arial"/>
          <w:sz w:val="24"/>
          <w:szCs w:val="24"/>
        </w:rPr>
        <w:t xml:space="preserve"> </w:t>
      </w:r>
      <w:r w:rsidR="00BF3D1A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 xml:space="preserve">Considerando 3) y </w:t>
      </w:r>
      <w:r w:rsidR="00BF3D1A">
        <w:rPr>
          <w:rFonts w:ascii="Arial" w:hAnsi="Arial" w:cs="Arial"/>
          <w:sz w:val="24"/>
          <w:szCs w:val="24"/>
        </w:rPr>
        <w:t>que la forma de pago prevista en los convenios, contravenía lo dispuesto en el Artículo 20, Numeral 2 del TOCAF (Conside</w:t>
      </w:r>
      <w:r w:rsidR="005E12D6">
        <w:rPr>
          <w:rFonts w:ascii="Arial" w:hAnsi="Arial" w:cs="Arial"/>
          <w:sz w:val="24"/>
          <w:szCs w:val="24"/>
        </w:rPr>
        <w:softHyphen/>
      </w:r>
      <w:r w:rsidR="00BF3D1A">
        <w:rPr>
          <w:rFonts w:ascii="Arial" w:hAnsi="Arial" w:cs="Arial"/>
          <w:sz w:val="24"/>
          <w:szCs w:val="24"/>
        </w:rPr>
        <w:t xml:space="preserve">rando </w:t>
      </w:r>
      <w:r>
        <w:rPr>
          <w:rFonts w:ascii="Arial" w:hAnsi="Arial" w:cs="Arial"/>
          <w:sz w:val="24"/>
          <w:szCs w:val="24"/>
        </w:rPr>
        <w:t>4) de dicha Resolución;</w:t>
      </w:r>
    </w:p>
    <w:p w:rsidR="00DD172D" w:rsidRDefault="003D2176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E453B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el Poder Ejecutivo</w:t>
      </w:r>
      <w:r w:rsidR="0081335E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</w:t>
      </w:r>
      <w:r w:rsidRPr="001B778F">
        <w:rPr>
          <w:rFonts w:ascii="Arial" w:hAnsi="Arial" w:cs="Arial"/>
          <w:sz w:val="24"/>
          <w:szCs w:val="24"/>
        </w:rPr>
        <w:t>Resolución d</w:t>
      </w:r>
      <w:r w:rsidR="00DD172D">
        <w:rPr>
          <w:rFonts w:ascii="Arial" w:hAnsi="Arial" w:cs="Arial"/>
          <w:sz w:val="24"/>
          <w:szCs w:val="24"/>
        </w:rPr>
        <w:t>e fecha 9 de julio de 2018</w:t>
      </w:r>
      <w:r w:rsidR="00993644">
        <w:rPr>
          <w:rFonts w:ascii="Arial" w:hAnsi="Arial" w:cs="Arial"/>
          <w:sz w:val="24"/>
          <w:szCs w:val="24"/>
        </w:rPr>
        <w:t>: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2.1)</w:t>
      </w:r>
      <w:r w:rsidR="003D2176">
        <w:rPr>
          <w:rFonts w:ascii="Arial" w:hAnsi="Arial" w:cs="Arial"/>
          <w:sz w:val="24"/>
          <w:szCs w:val="24"/>
        </w:rPr>
        <w:t xml:space="preserve"> adjudicó el </w:t>
      </w:r>
      <w:r w:rsidR="00DD172D">
        <w:rPr>
          <w:rFonts w:ascii="Arial" w:hAnsi="Arial" w:cs="Arial"/>
          <w:sz w:val="24"/>
          <w:szCs w:val="24"/>
        </w:rPr>
        <w:t>llamado por un monto total de $481:780.496;</w:t>
      </w:r>
    </w:p>
    <w:p w:rsidR="00DD172D" w:rsidRDefault="003D2176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724C8">
        <w:rPr>
          <w:rFonts w:ascii="Arial" w:hAnsi="Arial" w:cs="Arial"/>
          <w:b/>
          <w:sz w:val="24"/>
          <w:szCs w:val="24"/>
        </w:rPr>
        <w:t>2</w:t>
      </w:r>
      <w:r w:rsidR="0081335E">
        <w:rPr>
          <w:rFonts w:ascii="Arial" w:hAnsi="Arial" w:cs="Arial"/>
          <w:b/>
          <w:sz w:val="24"/>
          <w:szCs w:val="24"/>
        </w:rPr>
        <w:t>.2</w:t>
      </w:r>
      <w:r w:rsidRPr="000724C8">
        <w:rPr>
          <w:rFonts w:ascii="Arial" w:hAnsi="Arial" w:cs="Arial"/>
          <w:b/>
          <w:sz w:val="24"/>
          <w:szCs w:val="24"/>
        </w:rPr>
        <w:t>)</w:t>
      </w:r>
      <w:r w:rsidR="00DD172D">
        <w:rPr>
          <w:rFonts w:ascii="Arial" w:hAnsi="Arial" w:cs="Arial"/>
          <w:sz w:val="24"/>
          <w:szCs w:val="24"/>
        </w:rPr>
        <w:t xml:space="preserve"> reiteró el gasto;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DD172D">
        <w:rPr>
          <w:rFonts w:ascii="Arial" w:hAnsi="Arial" w:cs="Arial"/>
          <w:b/>
          <w:sz w:val="24"/>
          <w:szCs w:val="24"/>
        </w:rPr>
        <w:lastRenderedPageBreak/>
        <w:t>2</w:t>
      </w:r>
      <w:r>
        <w:rPr>
          <w:rFonts w:ascii="Arial" w:hAnsi="Arial" w:cs="Arial"/>
          <w:sz w:val="24"/>
          <w:szCs w:val="24"/>
        </w:rPr>
        <w:t>.</w:t>
      </w:r>
      <w:r w:rsidR="003D2176" w:rsidRPr="000724C8">
        <w:rPr>
          <w:rFonts w:ascii="Arial" w:hAnsi="Arial" w:cs="Arial"/>
          <w:b/>
          <w:sz w:val="24"/>
          <w:szCs w:val="24"/>
        </w:rPr>
        <w:t>3)</w:t>
      </w:r>
      <w:r w:rsidR="003D2176">
        <w:rPr>
          <w:rFonts w:ascii="Arial" w:hAnsi="Arial" w:cs="Arial"/>
          <w:sz w:val="24"/>
          <w:szCs w:val="24"/>
        </w:rPr>
        <w:t xml:space="preserve"> declaró desierto el llamado para las referencias 17,</w:t>
      </w:r>
      <w:r>
        <w:rPr>
          <w:rFonts w:ascii="Arial" w:hAnsi="Arial" w:cs="Arial"/>
          <w:sz w:val="24"/>
          <w:szCs w:val="24"/>
        </w:rPr>
        <w:t xml:space="preserve"> </w:t>
      </w:r>
      <w:r w:rsidR="00DD172D">
        <w:rPr>
          <w:rFonts w:ascii="Arial" w:hAnsi="Arial" w:cs="Arial"/>
          <w:sz w:val="24"/>
          <w:szCs w:val="24"/>
        </w:rPr>
        <w:t>21 y 115;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0724C8">
        <w:rPr>
          <w:rFonts w:ascii="Arial" w:hAnsi="Arial" w:cs="Arial"/>
          <w:b/>
          <w:sz w:val="24"/>
          <w:szCs w:val="24"/>
        </w:rPr>
        <w:t>4)</w:t>
      </w:r>
      <w:r w:rsidR="003D2176">
        <w:rPr>
          <w:rFonts w:ascii="Arial" w:hAnsi="Arial" w:cs="Arial"/>
          <w:sz w:val="24"/>
          <w:szCs w:val="24"/>
        </w:rPr>
        <w:t xml:space="preserve"> autorizó el procedimiento de contratación directa para las referencias 17, 21, 22, 25, 38, 83, 85, 91</w:t>
      </w:r>
      <w:r w:rsidR="00DD172D">
        <w:rPr>
          <w:rFonts w:ascii="Arial" w:hAnsi="Arial" w:cs="Arial"/>
          <w:sz w:val="24"/>
          <w:szCs w:val="24"/>
        </w:rPr>
        <w:t>, 100 y 115;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0724C8">
        <w:rPr>
          <w:rFonts w:ascii="Arial" w:hAnsi="Arial" w:cs="Arial"/>
          <w:b/>
          <w:sz w:val="24"/>
          <w:szCs w:val="24"/>
        </w:rPr>
        <w:t>5)</w:t>
      </w:r>
      <w:r w:rsidR="003D2176">
        <w:rPr>
          <w:rFonts w:ascii="Arial" w:hAnsi="Arial" w:cs="Arial"/>
          <w:sz w:val="24"/>
          <w:szCs w:val="24"/>
        </w:rPr>
        <w:t xml:space="preserve"> autorizó la </w:t>
      </w:r>
      <w:r w:rsidR="00DD172D">
        <w:rPr>
          <w:rFonts w:ascii="Arial" w:hAnsi="Arial" w:cs="Arial"/>
          <w:sz w:val="24"/>
          <w:szCs w:val="24"/>
        </w:rPr>
        <w:t>transferencia al BPS de hasta $156:</w:t>
      </w:r>
      <w:r w:rsidR="003D2176">
        <w:rPr>
          <w:rFonts w:ascii="Arial" w:hAnsi="Arial" w:cs="Arial"/>
          <w:sz w:val="24"/>
          <w:szCs w:val="24"/>
        </w:rPr>
        <w:t>747.634 para atender el pago de prestaciones mensuales por el plazo de hasta 6 meses en la modalidad de 15 participantes y de hasta 8 meses en la mod</w:t>
      </w:r>
      <w:r w:rsidR="00DD172D">
        <w:rPr>
          <w:rFonts w:ascii="Arial" w:hAnsi="Arial" w:cs="Arial"/>
          <w:sz w:val="24"/>
          <w:szCs w:val="24"/>
        </w:rPr>
        <w:t>alidad de 25 y 25 participantes;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0724C8">
        <w:rPr>
          <w:rFonts w:ascii="Arial" w:hAnsi="Arial" w:cs="Arial"/>
          <w:b/>
          <w:sz w:val="24"/>
          <w:szCs w:val="24"/>
        </w:rPr>
        <w:t>6)</w:t>
      </w:r>
      <w:r w:rsidR="003D2176">
        <w:rPr>
          <w:rFonts w:ascii="Arial" w:hAnsi="Arial" w:cs="Arial"/>
          <w:sz w:val="24"/>
          <w:szCs w:val="24"/>
        </w:rPr>
        <w:t xml:space="preserve"> autorizó la celebración de un convenio con el S</w:t>
      </w:r>
      <w:r w:rsidR="00DD172D">
        <w:rPr>
          <w:rFonts w:ascii="Arial" w:hAnsi="Arial" w:cs="Arial"/>
          <w:sz w:val="24"/>
          <w:szCs w:val="24"/>
        </w:rPr>
        <w:t>UNCA por un monto de hasta $ 34:291.160 reajustable de acuerdo con los Consejos de Salarios;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0724C8">
        <w:rPr>
          <w:rFonts w:ascii="Arial" w:hAnsi="Arial" w:cs="Arial"/>
          <w:b/>
          <w:sz w:val="24"/>
          <w:szCs w:val="24"/>
        </w:rPr>
        <w:t>7)</w:t>
      </w:r>
      <w:r w:rsidR="003D2176">
        <w:rPr>
          <w:rFonts w:ascii="Arial" w:hAnsi="Arial" w:cs="Arial"/>
          <w:sz w:val="24"/>
          <w:szCs w:val="24"/>
        </w:rPr>
        <w:t xml:space="preserve"> autorizó la contratación de un seguro contra accidentes laborales con el BSE por hasta $ 1</w:t>
      </w:r>
      <w:r w:rsidR="00DD172D">
        <w:rPr>
          <w:rFonts w:ascii="Arial" w:hAnsi="Arial" w:cs="Arial"/>
          <w:sz w:val="24"/>
          <w:szCs w:val="24"/>
        </w:rPr>
        <w:t>0:648.126;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0724C8">
        <w:rPr>
          <w:rFonts w:ascii="Arial" w:hAnsi="Arial" w:cs="Arial"/>
          <w:b/>
          <w:sz w:val="24"/>
          <w:szCs w:val="24"/>
        </w:rPr>
        <w:t>8)</w:t>
      </w:r>
      <w:r w:rsidR="003D2176">
        <w:rPr>
          <w:rFonts w:ascii="Arial" w:hAnsi="Arial" w:cs="Arial"/>
          <w:sz w:val="24"/>
          <w:szCs w:val="24"/>
        </w:rPr>
        <w:t xml:space="preserve"> autorizó la celebración de un convenio con CUTCSA para la adquisición de boleteras institucionales para traslad</w:t>
      </w:r>
      <w:r>
        <w:rPr>
          <w:rFonts w:ascii="Arial" w:hAnsi="Arial" w:cs="Arial"/>
          <w:sz w:val="24"/>
          <w:szCs w:val="24"/>
        </w:rPr>
        <w:t>a</w:t>
      </w:r>
      <w:r w:rsidR="003D2176">
        <w:rPr>
          <w:rFonts w:ascii="Arial" w:hAnsi="Arial" w:cs="Arial"/>
          <w:sz w:val="24"/>
          <w:szCs w:val="24"/>
        </w:rPr>
        <w:t>r a los participantes del pr</w:t>
      </w:r>
      <w:r w:rsidR="00DD172D">
        <w:rPr>
          <w:rFonts w:ascii="Arial" w:hAnsi="Arial" w:cs="Arial"/>
          <w:sz w:val="24"/>
          <w:szCs w:val="24"/>
        </w:rPr>
        <w:t>ograma por la suma de hasta $ 5:719.131;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2.9</w:t>
      </w:r>
      <w:r w:rsidR="003D2176" w:rsidRPr="000724C8">
        <w:rPr>
          <w:rFonts w:ascii="Arial" w:hAnsi="Arial" w:cs="Arial"/>
          <w:b/>
          <w:sz w:val="24"/>
          <w:szCs w:val="24"/>
        </w:rPr>
        <w:t>)</w:t>
      </w:r>
      <w:r w:rsidR="003D2176">
        <w:rPr>
          <w:rFonts w:ascii="Arial" w:hAnsi="Arial" w:cs="Arial"/>
          <w:sz w:val="24"/>
          <w:szCs w:val="24"/>
        </w:rPr>
        <w:t xml:space="preserve"> autorizó la celebración de convenios con diferentes servicios públicos de ASSE, Intendencias u otras instituciones públicas y/o privadas prestadoras de servicios de salud para el subprog</w:t>
      </w:r>
      <w:r w:rsidR="00DD172D">
        <w:rPr>
          <w:rFonts w:ascii="Arial" w:hAnsi="Arial" w:cs="Arial"/>
          <w:sz w:val="24"/>
          <w:szCs w:val="24"/>
        </w:rPr>
        <w:t>rama Salud Bucal por hasta $ 15:095.660;</w:t>
      </w:r>
    </w:p>
    <w:p w:rsidR="00DD172D" w:rsidRDefault="0081335E" w:rsidP="005E12D6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ED72F6">
        <w:rPr>
          <w:rFonts w:ascii="Arial" w:hAnsi="Arial" w:cs="Arial"/>
          <w:b/>
          <w:sz w:val="24"/>
          <w:szCs w:val="24"/>
        </w:rPr>
        <w:t>10)</w:t>
      </w:r>
      <w:r w:rsidR="003D2176">
        <w:rPr>
          <w:rFonts w:ascii="Arial" w:hAnsi="Arial" w:cs="Arial"/>
          <w:sz w:val="24"/>
          <w:szCs w:val="24"/>
        </w:rPr>
        <w:t xml:space="preserve"> autorizó un Fondo de Imp</w:t>
      </w:r>
      <w:r w:rsidR="00DD172D">
        <w:rPr>
          <w:rFonts w:ascii="Arial" w:hAnsi="Arial" w:cs="Arial"/>
          <w:sz w:val="24"/>
          <w:szCs w:val="24"/>
        </w:rPr>
        <w:t>revistos por hasta $10:109.496;</w:t>
      </w:r>
      <w:r>
        <w:rPr>
          <w:rFonts w:ascii="Arial" w:hAnsi="Arial" w:cs="Arial"/>
          <w:sz w:val="24"/>
          <w:szCs w:val="24"/>
        </w:rPr>
        <w:t xml:space="preserve"> y</w:t>
      </w:r>
    </w:p>
    <w:p w:rsidR="00DD172D" w:rsidRDefault="0081335E" w:rsidP="00DD172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81335E">
        <w:rPr>
          <w:rFonts w:ascii="Arial" w:hAnsi="Arial" w:cs="Arial"/>
          <w:b/>
          <w:sz w:val="24"/>
          <w:szCs w:val="24"/>
        </w:rPr>
        <w:t>2.</w:t>
      </w:r>
      <w:r w:rsidR="003D2176" w:rsidRPr="00ED72F6">
        <w:rPr>
          <w:rFonts w:ascii="Arial" w:hAnsi="Arial" w:cs="Arial"/>
          <w:b/>
          <w:sz w:val="24"/>
          <w:szCs w:val="24"/>
        </w:rPr>
        <w:t>11)</w:t>
      </w:r>
      <w:r w:rsidR="003D2176">
        <w:rPr>
          <w:rFonts w:ascii="Arial" w:hAnsi="Arial" w:cs="Arial"/>
          <w:sz w:val="24"/>
          <w:szCs w:val="24"/>
        </w:rPr>
        <w:t xml:space="preserve"> aprobó el texto de los convenios por el plazo de 6 meses en la modalidad de 15 participantes y de hasta 8 meses en la modalidad de 25 y 35 participantes, contados desde el día de la suscripción de cada convenio, prorrogable por única vez, por igual o menor plazo, previa evaluación favorable del MIDES. Las sumas de los convenios de 25 y 35 participantes, se transferirá en 2 partidas, la primera equivalente al 75% dentro de los 30 días de iniciado el convenio y la segunda equivalente al 25% pagadera dentro del 6º mes de iniciado. La de los convenios de 15 participantes, la primera (75%) dentro de los 30 días de iniciado el convenio y la segunda (25%)</w:t>
      </w:r>
      <w:r w:rsidR="00DD172D">
        <w:rPr>
          <w:rFonts w:ascii="Arial" w:hAnsi="Arial" w:cs="Arial"/>
          <w:sz w:val="24"/>
          <w:szCs w:val="24"/>
        </w:rPr>
        <w:t xml:space="preserve"> dentro del 4º mes de iniciado;</w:t>
      </w:r>
    </w:p>
    <w:p w:rsidR="00DD172D" w:rsidRDefault="003D2176" w:rsidP="00DD172D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6E453B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la Contadora Auditora comunicó a este Tribunal la intervención por reiteración de </w:t>
      </w:r>
      <w:r w:rsidR="00DD172D">
        <w:rPr>
          <w:rFonts w:ascii="Arial" w:hAnsi="Arial" w:cs="Arial"/>
          <w:sz w:val="24"/>
          <w:szCs w:val="24"/>
        </w:rPr>
        <w:t>$ 481:</w:t>
      </w:r>
      <w:r>
        <w:rPr>
          <w:rFonts w:ascii="Arial" w:hAnsi="Arial" w:cs="Arial"/>
          <w:sz w:val="24"/>
          <w:szCs w:val="24"/>
        </w:rPr>
        <w:t>780.496, y en Acuerdo de 19 de setiembre de 2018 (EE 3012/2018), este Tribunal resolvió mantener la observación formulada con fecha 30 de mayo de 2018;</w:t>
      </w:r>
    </w:p>
    <w:p w:rsidR="00475040" w:rsidRDefault="003D2176" w:rsidP="0047504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D2874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sz w:val="24"/>
          <w:szCs w:val="24"/>
        </w:rPr>
        <w:t xml:space="preserve"> que por Resolución N° 1133/018 de la </w:t>
      </w:r>
      <w:r w:rsidR="0081335E">
        <w:rPr>
          <w:rFonts w:ascii="Arial" w:hAnsi="Arial" w:cs="Arial"/>
          <w:sz w:val="24"/>
          <w:szCs w:val="24"/>
        </w:rPr>
        <w:t xml:space="preserve">Sra. </w:t>
      </w:r>
      <w:r>
        <w:rPr>
          <w:rFonts w:ascii="Arial" w:hAnsi="Arial" w:cs="Arial"/>
          <w:sz w:val="24"/>
          <w:szCs w:val="24"/>
        </w:rPr>
        <w:t>Ministra de Desarrollo Social dictada en ejercicio de atribuciones delegadas de fecha 22/10/2018,</w:t>
      </w:r>
      <w:r w:rsidR="00DD172D">
        <w:rPr>
          <w:rFonts w:ascii="Arial" w:hAnsi="Arial" w:cs="Arial"/>
          <w:sz w:val="24"/>
          <w:szCs w:val="24"/>
        </w:rPr>
        <w:t xml:space="preserve">  atento a lo dispuesto en el Artículo 33, Literal C) Numeral 2) y A</w:t>
      </w:r>
      <w:r>
        <w:rPr>
          <w:rFonts w:ascii="Arial" w:hAnsi="Arial" w:cs="Arial"/>
          <w:sz w:val="24"/>
          <w:szCs w:val="24"/>
        </w:rPr>
        <w:t>rtículos 46, 47 y 48 al 69 del TOCAF, se adjudica la Compra Directa 53/2018 a CIEDUR para</w:t>
      </w:r>
      <w:r w:rsidR="00DD172D">
        <w:rPr>
          <w:rFonts w:ascii="Arial" w:hAnsi="Arial" w:cs="Arial"/>
          <w:sz w:val="24"/>
          <w:szCs w:val="24"/>
        </w:rPr>
        <w:t xml:space="preserve"> la localidad de Caraguatá, D</w:t>
      </w:r>
      <w:r>
        <w:rPr>
          <w:rFonts w:ascii="Arial" w:hAnsi="Arial" w:cs="Arial"/>
          <w:sz w:val="24"/>
          <w:szCs w:val="24"/>
        </w:rPr>
        <w:t>epartamento de Tacuarembó (Referencia 115) y se aprueba el texto del convenio adjunto, que se considera parte integrante de la presente Resolución, por el plazo de vigencia de 6 meses, a partir de la suscripción, el que podrá ser prorrogado por única vez, por igual o menor período, previa evaluación e informe favorable de gestión por parte del MIDES y por la suma de hasta $ 1:344.388. Para la modalidad 15 participantes, se abonará en 2 p</w:t>
      </w:r>
      <w:r w:rsidR="00DD172D">
        <w:rPr>
          <w:rFonts w:ascii="Arial" w:hAnsi="Arial" w:cs="Arial"/>
          <w:sz w:val="24"/>
          <w:szCs w:val="24"/>
        </w:rPr>
        <w:t>artidas: la primera, de hasta $</w:t>
      </w:r>
      <w:r>
        <w:rPr>
          <w:rFonts w:ascii="Arial" w:hAnsi="Arial" w:cs="Arial"/>
          <w:sz w:val="24"/>
          <w:szCs w:val="24"/>
        </w:rPr>
        <w:t>1:016.877 pagadero dentro de los 30 días de iniciado el convenio, y, la segunda, de hasta $ 327.511 pagadera dentro del 4º mes de iniciado el convenio, previa presentación de los inf</w:t>
      </w:r>
      <w:r w:rsidR="00DD172D">
        <w:rPr>
          <w:rFonts w:ascii="Arial" w:hAnsi="Arial" w:cs="Arial"/>
          <w:sz w:val="24"/>
          <w:szCs w:val="24"/>
        </w:rPr>
        <w:t xml:space="preserve">ormes de Rendición de Cuentas. </w:t>
      </w:r>
      <w:r>
        <w:rPr>
          <w:rFonts w:ascii="Arial" w:hAnsi="Arial" w:cs="Arial"/>
          <w:sz w:val="24"/>
          <w:szCs w:val="24"/>
        </w:rPr>
        <w:t>Las sumas transferidas y los porcentajes correspondientes por partidas se destinarán a los rubros establec</w:t>
      </w:r>
      <w:r w:rsidR="00475040">
        <w:rPr>
          <w:rFonts w:ascii="Arial" w:hAnsi="Arial" w:cs="Arial"/>
          <w:sz w:val="24"/>
          <w:szCs w:val="24"/>
        </w:rPr>
        <w:t>idos en el punto 33 del Pliego.</w:t>
      </w:r>
      <w:r>
        <w:rPr>
          <w:rFonts w:ascii="Arial" w:hAnsi="Arial" w:cs="Arial"/>
          <w:sz w:val="24"/>
          <w:szCs w:val="24"/>
        </w:rPr>
        <w:t xml:space="preserve"> En el citado punto del Pliego se prevé además, una partida adicional por concepto de Imprevistos, que se abonará previa Resolución Ministerial;</w:t>
      </w:r>
    </w:p>
    <w:p w:rsidR="00475040" w:rsidRDefault="003D2176" w:rsidP="0047504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5</w:t>
      </w:r>
      <w:r w:rsidRPr="00ED2FF5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</w:t>
      </w:r>
      <w:r w:rsidRPr="00ED2FF5">
        <w:rPr>
          <w:rFonts w:ascii="Arial" w:hAnsi="Arial" w:cs="Arial"/>
          <w:sz w:val="24"/>
          <w:szCs w:val="24"/>
        </w:rPr>
        <w:t xml:space="preserve">se establece </w:t>
      </w:r>
      <w:r>
        <w:rPr>
          <w:rFonts w:ascii="Arial" w:hAnsi="Arial" w:cs="Arial"/>
          <w:sz w:val="24"/>
          <w:szCs w:val="24"/>
        </w:rPr>
        <w:t xml:space="preserve">respecto a los reajustes, que: </w:t>
      </w:r>
      <w:r w:rsidRPr="00475040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>los montos transferidos para abonar los rubros de naturaleza salarial deberán ajustarse en la</w:t>
      </w:r>
      <w:r w:rsidR="00475040">
        <w:rPr>
          <w:rFonts w:ascii="Arial" w:hAnsi="Arial" w:cs="Arial"/>
          <w:sz w:val="24"/>
          <w:szCs w:val="24"/>
        </w:rPr>
        <w:t xml:space="preserve"> misma oportunidad y conforme con el</w:t>
      </w:r>
      <w:r>
        <w:rPr>
          <w:rFonts w:ascii="Arial" w:hAnsi="Arial" w:cs="Arial"/>
          <w:sz w:val="24"/>
          <w:szCs w:val="24"/>
        </w:rPr>
        <w:t xml:space="preserve"> grupo de los Consejos de Salarios correspondientes, y </w:t>
      </w:r>
      <w:r w:rsidRPr="00475040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los montos transferidos para abonar otros gastos, se ajustarán semestralmente por el IPC en las mismas oportunida</w:t>
      </w:r>
      <w:r w:rsidR="00475040">
        <w:rPr>
          <w:rFonts w:ascii="Arial" w:hAnsi="Arial" w:cs="Arial"/>
          <w:sz w:val="24"/>
          <w:szCs w:val="24"/>
        </w:rPr>
        <w:t>des que los ajustes salariales.</w:t>
      </w:r>
      <w:r>
        <w:rPr>
          <w:rFonts w:ascii="Arial" w:hAnsi="Arial" w:cs="Arial"/>
          <w:sz w:val="24"/>
          <w:szCs w:val="24"/>
        </w:rPr>
        <w:t xml:space="preserve"> Dichas sumas se imputarán con cargo  al Programa 401, Proyecto 102, Grupo 5, Financiación 1.1, de la U.E. 002 del Inciso 15;</w:t>
      </w:r>
    </w:p>
    <w:p w:rsidR="00475040" w:rsidRDefault="003D2176" w:rsidP="0047504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6) </w:t>
      </w:r>
      <w:r w:rsidRPr="006E453B">
        <w:rPr>
          <w:rFonts w:ascii="Arial" w:hAnsi="Arial" w:cs="Arial"/>
          <w:sz w:val="24"/>
          <w:szCs w:val="24"/>
        </w:rPr>
        <w:t xml:space="preserve">que </w:t>
      </w:r>
      <w:r>
        <w:rPr>
          <w:rFonts w:ascii="Arial" w:hAnsi="Arial" w:cs="Arial"/>
          <w:sz w:val="24"/>
          <w:szCs w:val="24"/>
        </w:rPr>
        <w:t>consta</w:t>
      </w:r>
      <w:r w:rsidR="00475040">
        <w:rPr>
          <w:rFonts w:ascii="Arial" w:hAnsi="Arial" w:cs="Arial"/>
          <w:sz w:val="24"/>
          <w:szCs w:val="24"/>
        </w:rPr>
        <w:t xml:space="preserve"> p</w:t>
      </w:r>
      <w:r w:rsidRPr="00BD688B">
        <w:rPr>
          <w:rFonts w:ascii="Arial" w:hAnsi="Arial" w:cs="Arial"/>
          <w:sz w:val="24"/>
          <w:szCs w:val="24"/>
        </w:rPr>
        <w:t xml:space="preserve">royecto de Resolución </w:t>
      </w:r>
      <w:r>
        <w:rPr>
          <w:rFonts w:ascii="Arial" w:hAnsi="Arial" w:cs="Arial"/>
          <w:sz w:val="24"/>
          <w:szCs w:val="24"/>
        </w:rPr>
        <w:t>del Poder Ejecutivo del que surge que:</w:t>
      </w:r>
    </w:p>
    <w:p w:rsidR="00475040" w:rsidRDefault="003D2176" w:rsidP="0047504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75040">
        <w:rPr>
          <w:rFonts w:ascii="Arial" w:hAnsi="Arial" w:cs="Arial"/>
          <w:b/>
          <w:sz w:val="24"/>
          <w:szCs w:val="24"/>
        </w:rPr>
        <w:t>.1)</w:t>
      </w:r>
      <w:r>
        <w:rPr>
          <w:rFonts w:ascii="Arial" w:hAnsi="Arial" w:cs="Arial"/>
          <w:sz w:val="24"/>
          <w:szCs w:val="24"/>
        </w:rPr>
        <w:t xml:space="preserve">  los Convenios adjudicados por Resolución del Poder Ejecutivo de fecha 9 de julio de 2018, fueron suscriptos con fechas 7 de agosto de 2018, por un plazo de hasta 6 meses en la modalidad de 15 participantes y de hasta 8 meses en la modalidad de 25 y 35 participantes, contados desde la suscripción de cada contrato, prorrogable por única vez, por igual o menor plazo, previa evaluación e informe favorable de gestión por parte del MIDES;</w:t>
      </w:r>
    </w:p>
    <w:p w:rsidR="00475040" w:rsidRDefault="003D2176" w:rsidP="00475040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475040">
        <w:rPr>
          <w:rFonts w:ascii="Arial" w:hAnsi="Arial" w:cs="Arial"/>
          <w:b/>
          <w:sz w:val="24"/>
          <w:szCs w:val="24"/>
        </w:rPr>
        <w:t>.2)</w:t>
      </w:r>
      <w:r>
        <w:rPr>
          <w:rFonts w:ascii="Arial" w:hAnsi="Arial" w:cs="Arial"/>
          <w:sz w:val="24"/>
          <w:szCs w:val="24"/>
        </w:rPr>
        <w:t xml:space="preserve"> con fecha 6 de diciembre de 2018, la Dirección Nacional de Economía Social e Integración Laboral (DINESIL) solicita la prórroga de los Convenios relacionados en los Anexos I, II y III que se adjuntan y forman parte de la </w:t>
      </w:r>
      <w:r w:rsidR="0081335E">
        <w:rPr>
          <w:rFonts w:ascii="Arial" w:hAnsi="Arial" w:cs="Arial"/>
          <w:sz w:val="24"/>
          <w:szCs w:val="24"/>
        </w:rPr>
        <w:t xml:space="preserve">referida </w:t>
      </w:r>
      <w:r>
        <w:rPr>
          <w:rFonts w:ascii="Arial" w:hAnsi="Arial" w:cs="Arial"/>
          <w:sz w:val="24"/>
          <w:szCs w:val="24"/>
        </w:rPr>
        <w:t xml:space="preserve">Resolución. Con respecto a la transferencia a las Organizaciones de la Sociedad Civil y/o Cooperativas de Trabajo, se abonará de la siguiente manera: </w:t>
      </w:r>
      <w:r w:rsidRPr="00ED2FF5">
        <w:rPr>
          <w:rFonts w:ascii="Arial" w:hAnsi="Arial" w:cs="Arial"/>
          <w:b/>
          <w:sz w:val="24"/>
          <w:szCs w:val="24"/>
        </w:rPr>
        <w:t>a)</w:t>
      </w:r>
      <w:r>
        <w:rPr>
          <w:rFonts w:ascii="Arial" w:hAnsi="Arial" w:cs="Arial"/>
          <w:sz w:val="24"/>
          <w:szCs w:val="24"/>
        </w:rPr>
        <w:t xml:space="preserve"> los convenios de 15 participantes, de 6 meses de duración, el 50% del total del monto pagadero dentro de los 60 días de inicio, el 40% a los 4 meses y el 10% en el últ</w:t>
      </w:r>
      <w:r w:rsidR="00475040">
        <w:rPr>
          <w:rFonts w:ascii="Arial" w:hAnsi="Arial" w:cs="Arial"/>
          <w:sz w:val="24"/>
          <w:szCs w:val="24"/>
        </w:rPr>
        <w:t>imo mes o después del cierre; y</w:t>
      </w:r>
      <w:r>
        <w:rPr>
          <w:rFonts w:ascii="Arial" w:hAnsi="Arial" w:cs="Arial"/>
          <w:sz w:val="24"/>
          <w:szCs w:val="24"/>
        </w:rPr>
        <w:t xml:space="preserve"> </w:t>
      </w:r>
      <w:r w:rsidRPr="00ED2FF5">
        <w:rPr>
          <w:rFonts w:ascii="Arial" w:hAnsi="Arial" w:cs="Arial"/>
          <w:b/>
          <w:sz w:val="24"/>
          <w:szCs w:val="24"/>
        </w:rPr>
        <w:t>b)</w:t>
      </w:r>
      <w:r>
        <w:rPr>
          <w:rFonts w:ascii="Arial" w:hAnsi="Arial" w:cs="Arial"/>
          <w:sz w:val="24"/>
          <w:szCs w:val="24"/>
        </w:rPr>
        <w:t xml:space="preserve"> los convenios de 25 y 35 participantes, de 8 meses de duración, el 40% del monto total pagadero dentro de los 60 días de inicio, el 30% a los 4 meses, el 20% a los 6 meses y el 10% en el último mes o después del cierre;</w:t>
      </w:r>
    </w:p>
    <w:p w:rsidR="00765413" w:rsidRDefault="003D2176" w:rsidP="007654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65413">
        <w:rPr>
          <w:rFonts w:ascii="Arial" w:hAnsi="Arial" w:cs="Arial"/>
          <w:b/>
          <w:sz w:val="24"/>
          <w:szCs w:val="24"/>
        </w:rPr>
        <w:t>.3)</w:t>
      </w:r>
      <w:r>
        <w:rPr>
          <w:rFonts w:ascii="Arial" w:hAnsi="Arial" w:cs="Arial"/>
          <w:sz w:val="24"/>
          <w:szCs w:val="24"/>
        </w:rPr>
        <w:t xml:space="preserve"> es conveniente acceder a la autorización de prórroga en los términos solicitados por DINESIL, en virtud de subsistir las necesidades que determinaron la celebración de los mismos;</w:t>
      </w:r>
    </w:p>
    <w:p w:rsidR="00765413" w:rsidRDefault="003D2176" w:rsidP="007654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6</w:t>
      </w:r>
      <w:r w:rsidR="00765413">
        <w:rPr>
          <w:rFonts w:ascii="Arial" w:hAnsi="Arial" w:cs="Arial"/>
          <w:b/>
          <w:sz w:val="24"/>
          <w:szCs w:val="24"/>
        </w:rPr>
        <w:t>.4)</w:t>
      </w:r>
      <w:r w:rsidR="00765413">
        <w:rPr>
          <w:rFonts w:ascii="Arial" w:hAnsi="Arial" w:cs="Arial"/>
          <w:sz w:val="24"/>
          <w:szCs w:val="24"/>
        </w:rPr>
        <w:t xml:space="preserve"> atento a lo dispuesto en los A</w:t>
      </w:r>
      <w:r>
        <w:rPr>
          <w:rFonts w:ascii="Arial" w:hAnsi="Arial" w:cs="Arial"/>
          <w:sz w:val="24"/>
          <w:szCs w:val="24"/>
        </w:rPr>
        <w:t>rtículos 33, 46 a 51, 55, 63 a 76 del TOCAF, se autoriza, previa intervención de este Tribunal, la prórroga de los Convenios suscriptos en el marco de la L.P. 1/2018, por la suma total de hasta $ 477:405.753; erogación que se atenderá con cargo al Programa 401, Proyecto 102, Grupo 5, Finan. 1.1, U.E. 002 del Inciso 15;</w:t>
      </w:r>
    </w:p>
    <w:p w:rsidR="003D2176" w:rsidRDefault="003D2176" w:rsidP="00765413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7</w:t>
      </w:r>
      <w:r w:rsidRPr="00477AE4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no consta el pr</w:t>
      </w:r>
      <w:r w:rsidR="00765413">
        <w:rPr>
          <w:rFonts w:ascii="Arial" w:hAnsi="Arial" w:cs="Arial"/>
          <w:sz w:val="24"/>
          <w:szCs w:val="24"/>
        </w:rPr>
        <w:t>oyecto de convenio a suscribir</w:t>
      </w:r>
      <w:r>
        <w:rPr>
          <w:rFonts w:ascii="Arial" w:hAnsi="Arial" w:cs="Arial"/>
          <w:sz w:val="24"/>
          <w:szCs w:val="24"/>
        </w:rPr>
        <w:t xml:space="preserve"> derivado de la Contratación por Excepción;</w:t>
      </w:r>
    </w:p>
    <w:p w:rsidR="00765413" w:rsidRDefault="003D2176" w:rsidP="007654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E453B">
        <w:rPr>
          <w:rFonts w:ascii="Arial" w:hAnsi="Arial" w:cs="Arial"/>
          <w:b/>
          <w:sz w:val="24"/>
          <w:szCs w:val="24"/>
        </w:rPr>
        <w:t xml:space="preserve">CONSIDERANDO: </w:t>
      </w:r>
      <w:r>
        <w:rPr>
          <w:rFonts w:ascii="Arial" w:hAnsi="Arial" w:cs="Arial"/>
          <w:b/>
          <w:sz w:val="24"/>
          <w:szCs w:val="24"/>
        </w:rPr>
        <w:t>1</w:t>
      </w:r>
      <w:r w:rsidRPr="000C63E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</w:t>
      </w:r>
      <w:r w:rsidR="00BF3D1A">
        <w:rPr>
          <w:rFonts w:ascii="Arial" w:hAnsi="Arial" w:cs="Arial"/>
          <w:sz w:val="24"/>
          <w:szCs w:val="24"/>
        </w:rPr>
        <w:t xml:space="preserve"> si bien el procedimiento original fue observado por este Tribunal (Resultando 1), no se remite la prórroga de la contratación con la empresa CUTCSA y se ha modificado la forma de pago prevista en los Convenios que se prorrogan, ajustán</w:t>
      </w:r>
      <w:r w:rsidR="00765413">
        <w:rPr>
          <w:rFonts w:ascii="Arial" w:hAnsi="Arial" w:cs="Arial"/>
          <w:sz w:val="24"/>
          <w:szCs w:val="24"/>
        </w:rPr>
        <w:t>dose a la previsión del Artículo 20, N</w:t>
      </w:r>
      <w:r w:rsidR="00BF3D1A">
        <w:rPr>
          <w:rFonts w:ascii="Arial" w:hAnsi="Arial" w:cs="Arial"/>
          <w:sz w:val="24"/>
          <w:szCs w:val="24"/>
        </w:rPr>
        <w:t>umeral 2 del TOCAF;</w:t>
      </w:r>
    </w:p>
    <w:p w:rsidR="003D2176" w:rsidRDefault="003D2176" w:rsidP="00765413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Pr="000C63EA">
        <w:rPr>
          <w:rFonts w:ascii="Arial" w:hAnsi="Arial" w:cs="Arial"/>
          <w:b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que la forma de pago prevista en el pro</w:t>
      </w:r>
      <w:r w:rsidR="00765413">
        <w:rPr>
          <w:rFonts w:ascii="Arial" w:hAnsi="Arial" w:cs="Arial"/>
          <w:sz w:val="24"/>
          <w:szCs w:val="24"/>
        </w:rPr>
        <w:t>yecto de convenio  a suscribir</w:t>
      </w:r>
      <w:r>
        <w:rPr>
          <w:rFonts w:ascii="Arial" w:hAnsi="Arial" w:cs="Arial"/>
          <w:sz w:val="24"/>
          <w:szCs w:val="24"/>
        </w:rPr>
        <w:t>, derivado de la Contra</w:t>
      </w:r>
      <w:r w:rsidR="00765413">
        <w:rPr>
          <w:rFonts w:ascii="Arial" w:hAnsi="Arial" w:cs="Arial"/>
          <w:sz w:val="24"/>
          <w:szCs w:val="24"/>
        </w:rPr>
        <w:t>tación Directa por Excepción N°53/2018, establece</w:t>
      </w:r>
      <w:r>
        <w:rPr>
          <w:rFonts w:ascii="Arial" w:hAnsi="Arial" w:cs="Arial"/>
          <w:sz w:val="24"/>
          <w:szCs w:val="24"/>
        </w:rPr>
        <w:t xml:space="preserve">  para la modalidad 15 participantes, que se abonará en 2 partidas: la primera,  pagadero dentro de los 30 días de iniciado el convenio, y, la segunda, pagadera dentro del 4º mes de iniciado el convenio, implica el pago total del servicio con anterioridad a que el mismo se ejecute por completo, lo cual c</w:t>
      </w:r>
      <w:r w:rsidR="00765413">
        <w:rPr>
          <w:rFonts w:ascii="Arial" w:hAnsi="Arial" w:cs="Arial"/>
          <w:sz w:val="24"/>
          <w:szCs w:val="24"/>
        </w:rPr>
        <w:t>ontraviene lo dispuesto por el A</w:t>
      </w:r>
      <w:r>
        <w:rPr>
          <w:rFonts w:ascii="Arial" w:hAnsi="Arial" w:cs="Arial"/>
          <w:sz w:val="24"/>
          <w:szCs w:val="24"/>
        </w:rPr>
        <w:t>rt</w:t>
      </w:r>
      <w:r w:rsidR="00733A32">
        <w:rPr>
          <w:rFonts w:ascii="Arial" w:hAnsi="Arial" w:cs="Arial"/>
          <w:sz w:val="24"/>
          <w:szCs w:val="24"/>
        </w:rPr>
        <w:t>ículo</w:t>
      </w:r>
      <w:r>
        <w:rPr>
          <w:rFonts w:ascii="Arial" w:hAnsi="Arial" w:cs="Arial"/>
          <w:sz w:val="24"/>
          <w:szCs w:val="24"/>
        </w:rPr>
        <w:t xml:space="preserve"> 20 </w:t>
      </w:r>
      <w:r w:rsidR="00765413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umeral 2) del TOCAF;</w:t>
      </w:r>
    </w:p>
    <w:p w:rsidR="003D2176" w:rsidRDefault="003D2176" w:rsidP="00765413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0C63EA"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expuesto y a lo dispuesto en el </w:t>
      </w:r>
      <w:r w:rsidR="00765413">
        <w:rPr>
          <w:rFonts w:ascii="Arial" w:hAnsi="Arial" w:cs="Arial"/>
          <w:sz w:val="24"/>
          <w:szCs w:val="24"/>
        </w:rPr>
        <w:t>A</w:t>
      </w:r>
      <w:r w:rsidR="00733A32">
        <w:rPr>
          <w:rFonts w:ascii="Arial" w:hAnsi="Arial" w:cs="Arial"/>
          <w:sz w:val="24"/>
          <w:szCs w:val="24"/>
        </w:rPr>
        <w:t>rtículo</w:t>
      </w:r>
      <w:r>
        <w:rPr>
          <w:rFonts w:ascii="Arial" w:hAnsi="Arial" w:cs="Arial"/>
          <w:sz w:val="24"/>
          <w:szCs w:val="24"/>
        </w:rPr>
        <w:t xml:space="preserve"> 211 </w:t>
      </w:r>
      <w:r w:rsidR="00765413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>iteral B) de la Constitución de la República;</w:t>
      </w:r>
    </w:p>
    <w:p w:rsidR="003D2176" w:rsidRDefault="00765413" w:rsidP="003D2176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</w:t>
      </w:r>
      <w:r w:rsidR="003D2176" w:rsidRPr="000C63EA">
        <w:rPr>
          <w:rFonts w:ascii="Arial" w:hAnsi="Arial" w:cs="Arial"/>
          <w:b/>
          <w:sz w:val="24"/>
          <w:szCs w:val="24"/>
        </w:rPr>
        <w:t>RIBUNAL ACUERDA</w:t>
      </w:r>
    </w:p>
    <w:p w:rsidR="003D2176" w:rsidRDefault="003D2176" w:rsidP="00765413">
      <w:pPr>
        <w:tabs>
          <w:tab w:val="left" w:pos="709"/>
        </w:tabs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</w:t>
      </w:r>
      <w:r w:rsidR="00765413">
        <w:rPr>
          <w:rFonts w:ascii="Arial" w:hAnsi="Arial" w:cs="Arial"/>
          <w:b/>
          <w:sz w:val="24"/>
          <w:szCs w:val="24"/>
        </w:rPr>
        <w:t xml:space="preserve">) </w:t>
      </w:r>
      <w:r w:rsidR="00BF3D1A">
        <w:rPr>
          <w:rFonts w:ascii="Arial" w:hAnsi="Arial" w:cs="Arial"/>
          <w:sz w:val="24"/>
          <w:szCs w:val="24"/>
        </w:rPr>
        <w:t xml:space="preserve">No formular observación a </w:t>
      </w:r>
      <w:r>
        <w:rPr>
          <w:rFonts w:ascii="Arial" w:hAnsi="Arial" w:cs="Arial"/>
          <w:sz w:val="24"/>
          <w:szCs w:val="24"/>
        </w:rPr>
        <w:t>la prórrog</w:t>
      </w:r>
      <w:r w:rsidR="00765413">
        <w:rPr>
          <w:rFonts w:ascii="Arial" w:hAnsi="Arial" w:cs="Arial"/>
          <w:sz w:val="24"/>
          <w:szCs w:val="24"/>
        </w:rPr>
        <w:t>a de los Convenios a suscribir</w:t>
      </w:r>
      <w:r>
        <w:rPr>
          <w:rFonts w:ascii="Arial" w:hAnsi="Arial" w:cs="Arial"/>
          <w:sz w:val="24"/>
          <w:szCs w:val="24"/>
        </w:rPr>
        <w:t xml:space="preserve"> en el marco de la L</w:t>
      </w:r>
      <w:r w:rsidR="00733A32">
        <w:rPr>
          <w:rFonts w:ascii="Arial" w:hAnsi="Arial" w:cs="Arial"/>
          <w:sz w:val="24"/>
          <w:szCs w:val="24"/>
        </w:rPr>
        <w:t xml:space="preserve">icitación </w:t>
      </w:r>
      <w:r>
        <w:rPr>
          <w:rFonts w:ascii="Arial" w:hAnsi="Arial" w:cs="Arial"/>
          <w:sz w:val="24"/>
          <w:szCs w:val="24"/>
        </w:rPr>
        <w:t>P</w:t>
      </w:r>
      <w:r w:rsidR="00733A32">
        <w:rPr>
          <w:rFonts w:ascii="Arial" w:hAnsi="Arial" w:cs="Arial"/>
          <w:sz w:val="24"/>
          <w:szCs w:val="24"/>
        </w:rPr>
        <w:t xml:space="preserve">ública Nº </w:t>
      </w:r>
      <w:r w:rsidR="00BF3D1A">
        <w:rPr>
          <w:rFonts w:ascii="Arial" w:hAnsi="Arial" w:cs="Arial"/>
          <w:sz w:val="24"/>
          <w:szCs w:val="24"/>
        </w:rPr>
        <w:t>1/2018;</w:t>
      </w:r>
    </w:p>
    <w:p w:rsidR="003D2176" w:rsidRDefault="003D2176" w:rsidP="00765413">
      <w:p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2</w:t>
      </w:r>
      <w:r w:rsidR="00765413">
        <w:rPr>
          <w:rFonts w:ascii="Arial" w:hAnsi="Arial" w:cs="Arial"/>
          <w:b/>
          <w:sz w:val="24"/>
          <w:szCs w:val="24"/>
        </w:rPr>
        <w:t xml:space="preserve">) </w:t>
      </w:r>
      <w:r>
        <w:rPr>
          <w:rFonts w:ascii="Arial" w:hAnsi="Arial" w:cs="Arial"/>
          <w:sz w:val="24"/>
          <w:szCs w:val="24"/>
        </w:rPr>
        <w:t>Observar el gasto derivado de la Contrat</w:t>
      </w:r>
      <w:r w:rsidR="00993644">
        <w:rPr>
          <w:rFonts w:ascii="Arial" w:hAnsi="Arial" w:cs="Arial"/>
          <w:sz w:val="24"/>
          <w:szCs w:val="24"/>
        </w:rPr>
        <w:t>ación Directa por Excepción N°</w:t>
      </w:r>
      <w:r>
        <w:rPr>
          <w:rFonts w:ascii="Arial" w:hAnsi="Arial" w:cs="Arial"/>
          <w:sz w:val="24"/>
          <w:szCs w:val="24"/>
        </w:rPr>
        <w:t>53/2018 por hasta la suma de $ 1:344.388, por lo expuesto en el Considerando 2);</w:t>
      </w:r>
    </w:p>
    <w:p w:rsidR="003D2176" w:rsidRDefault="003D2176" w:rsidP="003D2176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765413">
        <w:rPr>
          <w:rFonts w:ascii="Arial" w:hAnsi="Arial" w:cs="Arial"/>
          <w:b/>
          <w:sz w:val="24"/>
          <w:szCs w:val="24"/>
        </w:rPr>
        <w:t xml:space="preserve">) </w:t>
      </w:r>
      <w:r w:rsidR="00993644">
        <w:rPr>
          <w:rFonts w:ascii="Arial" w:hAnsi="Arial" w:cs="Arial"/>
          <w:sz w:val="24"/>
          <w:szCs w:val="24"/>
        </w:rPr>
        <w:t>Comunicar al Contador Auditor;</w:t>
      </w:r>
    </w:p>
    <w:p w:rsidR="00BD0FBB" w:rsidRDefault="003D2176" w:rsidP="00BD0FBB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4</w:t>
      </w:r>
      <w:r w:rsidR="00765413">
        <w:rPr>
          <w:rFonts w:ascii="Arial" w:hAnsi="Arial" w:cs="Arial"/>
          <w:b/>
          <w:sz w:val="24"/>
          <w:szCs w:val="24"/>
        </w:rPr>
        <w:t xml:space="preserve">) </w:t>
      </w:r>
      <w:r w:rsidR="00765413">
        <w:rPr>
          <w:rFonts w:ascii="Arial" w:hAnsi="Arial" w:cs="Arial"/>
          <w:sz w:val="24"/>
          <w:szCs w:val="24"/>
        </w:rPr>
        <w:t>Devolver las actuaciones.</w:t>
      </w:r>
    </w:p>
    <w:p w:rsidR="00BD0FBB" w:rsidRDefault="00BD0FBB" w:rsidP="00BD0F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D0FBB" w:rsidRDefault="00BD0FBB" w:rsidP="00BD0F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D0FBB" w:rsidRDefault="00BD0FBB" w:rsidP="00BD0FBB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BD0FBB" w:rsidRPr="00BD0FBB" w:rsidRDefault="00BD0FBB" w:rsidP="00BD0FBB">
      <w:pPr>
        <w:spacing w:after="0" w:line="360" w:lineRule="auto"/>
        <w:jc w:val="both"/>
        <w:rPr>
          <w:rFonts w:ascii="Arial" w:hAnsi="Arial"/>
          <w:sz w:val="24"/>
          <w:szCs w:val="24"/>
        </w:rPr>
      </w:pPr>
      <w:r w:rsidRPr="00BD0FBB">
        <w:rPr>
          <w:rFonts w:ascii="Arial" w:hAnsi="Arial" w:cs="Arial"/>
          <w:b/>
          <w:sz w:val="24"/>
          <w:szCs w:val="24"/>
        </w:rPr>
        <w:t>CONSTANCIA DE FUNDAMENTO DE VOTO DISCORDE DE LA MINISTRA             CRA. DIANA MARCOS:</w:t>
      </w:r>
      <w:r>
        <w:rPr>
          <w:rFonts w:ascii="Arial" w:hAnsi="Arial" w:cs="Arial"/>
          <w:b/>
          <w:sz w:val="24"/>
          <w:szCs w:val="24"/>
        </w:rPr>
        <w:t xml:space="preserve"> “</w:t>
      </w:r>
      <w:r w:rsidRPr="00BD0FBB">
        <w:rPr>
          <w:rFonts w:ascii="Arial" w:hAnsi="Arial"/>
          <w:sz w:val="24"/>
          <w:szCs w:val="24"/>
        </w:rPr>
        <w:t>Prórroga de los Convenios derivados de la Licitación Pública Nº 1/2018 para contratar Cooperativas de Trabajo y/</w:t>
      </w:r>
      <w:proofErr w:type="spellStart"/>
      <w:r w:rsidRPr="00BD0FBB">
        <w:rPr>
          <w:rFonts w:ascii="Arial" w:hAnsi="Arial"/>
          <w:sz w:val="24"/>
          <w:szCs w:val="24"/>
        </w:rPr>
        <w:t>o</w:t>
      </w:r>
      <w:proofErr w:type="spellEnd"/>
      <w:r w:rsidRPr="00BD0FBB">
        <w:rPr>
          <w:rFonts w:ascii="Arial" w:hAnsi="Arial"/>
          <w:sz w:val="24"/>
          <w:szCs w:val="24"/>
        </w:rPr>
        <w:t xml:space="preserve"> Organizaciones de la Sociedad Civil a los efectos de implementar y ejecutar un programa Educativo Laboral para los participantes del Programa Uruguay Trabaja, en el marco de los Valores de la Economía Social.</w:t>
      </w:r>
    </w:p>
    <w:p w:rsidR="00BD0FBB" w:rsidRP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FBB">
        <w:rPr>
          <w:rFonts w:ascii="Arial" w:hAnsi="Arial" w:cs="Arial"/>
          <w:sz w:val="24"/>
          <w:szCs w:val="24"/>
        </w:rPr>
        <w:t xml:space="preserve">Fundo mi voto discorde por considerar que la forma de pago propuesta no contraviene el Artículo 20 del </w:t>
      </w:r>
      <w:proofErr w:type="spellStart"/>
      <w:r w:rsidRPr="00BD0FBB">
        <w:rPr>
          <w:rFonts w:ascii="Arial" w:hAnsi="Arial" w:cs="Arial"/>
          <w:sz w:val="24"/>
          <w:szCs w:val="24"/>
        </w:rPr>
        <w:t>Tocaf</w:t>
      </w:r>
      <w:proofErr w:type="spellEnd"/>
      <w:r w:rsidRPr="00BD0FBB">
        <w:rPr>
          <w:rFonts w:ascii="Arial" w:hAnsi="Arial" w:cs="Arial"/>
          <w:sz w:val="24"/>
          <w:szCs w:val="24"/>
        </w:rPr>
        <w:t>, el cual dice: “se entiende que los gastos se devengan cuando surge la obligación de pago por el cumplimiento de un</w:t>
      </w:r>
      <w:r w:rsidR="00993644">
        <w:rPr>
          <w:rFonts w:ascii="Arial" w:hAnsi="Arial" w:cs="Arial"/>
          <w:sz w:val="24"/>
          <w:szCs w:val="24"/>
        </w:rPr>
        <w:t xml:space="preserve"> servicio o de una prestación”.</w:t>
      </w:r>
    </w:p>
    <w:p w:rsidR="00BD0FBB" w:rsidRP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FBB">
        <w:rPr>
          <w:rFonts w:ascii="Arial" w:hAnsi="Arial" w:cs="Arial"/>
          <w:sz w:val="24"/>
          <w:szCs w:val="24"/>
        </w:rPr>
        <w:t>En particular</w:t>
      </w:r>
    </w:p>
    <w:p w:rsidR="00BD0FBB" w:rsidRP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FBB">
        <w:rPr>
          <w:rFonts w:ascii="Arial" w:hAnsi="Arial" w:cs="Arial"/>
          <w:sz w:val="24"/>
          <w:szCs w:val="24"/>
        </w:rPr>
        <w:t>(…)2) Para los gastos corrientes  y de capital, la recepción conforme del objeto adquirido o la prestación del  servicio contratado, sin perjuicio de la asignación anticipada de recursos, que se otorguen a proveedores con destino a una inversión  o a un gasto cuando ello estuviere  estipulado en las condiciones que establezca  la Administración”.</w:t>
      </w: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FBB">
        <w:rPr>
          <w:rFonts w:ascii="Arial" w:hAnsi="Arial" w:cs="Arial"/>
          <w:sz w:val="24"/>
          <w:szCs w:val="24"/>
        </w:rPr>
        <w:t>Entiendo que en este caso la Administración  actuante estipuló las condiciones de acuerdo a una forma de pago anticipada, necesaria a los efectos del correcto funcionamiento del contrato que se considera</w:t>
      </w:r>
      <w:r>
        <w:rPr>
          <w:rFonts w:ascii="Arial" w:hAnsi="Arial" w:cs="Arial"/>
          <w:sz w:val="24"/>
          <w:szCs w:val="24"/>
        </w:rPr>
        <w:t>”</w:t>
      </w:r>
      <w:r w:rsidRPr="00BD0FBB">
        <w:rPr>
          <w:rFonts w:ascii="Arial" w:hAnsi="Arial" w:cs="Arial"/>
          <w:sz w:val="24"/>
          <w:szCs w:val="24"/>
        </w:rPr>
        <w:t>.</w:t>
      </w: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0FBB" w:rsidRPr="00BD0FBB" w:rsidRDefault="00BD0FBB" w:rsidP="00BD0FB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D0FBB">
        <w:rPr>
          <w:rFonts w:ascii="Arial" w:hAnsi="Arial" w:cs="Arial"/>
          <w:b/>
          <w:sz w:val="24"/>
          <w:szCs w:val="24"/>
        </w:rPr>
        <w:t>CONSTANCIA DE FUNDAMENTO DE VOTO DISCORDE DEL MINISTRO</w:t>
      </w:r>
      <w:r w:rsidRPr="00BD0FBB">
        <w:rPr>
          <w:rFonts w:ascii="Arial" w:hAnsi="Arial" w:cs="Arial"/>
          <w:sz w:val="24"/>
          <w:szCs w:val="24"/>
        </w:rPr>
        <w:t xml:space="preserve">               </w:t>
      </w:r>
      <w:r w:rsidRPr="00BD0FBB">
        <w:rPr>
          <w:rFonts w:ascii="Arial" w:hAnsi="Arial" w:cs="Arial"/>
          <w:b/>
          <w:sz w:val="24"/>
          <w:szCs w:val="24"/>
        </w:rPr>
        <w:t xml:space="preserve">ING. MIGUEL AUMENTO: </w:t>
      </w:r>
      <w:r>
        <w:rPr>
          <w:rFonts w:ascii="Arial" w:hAnsi="Arial" w:cs="Arial"/>
          <w:b/>
          <w:sz w:val="24"/>
          <w:szCs w:val="24"/>
        </w:rPr>
        <w:t>“</w:t>
      </w:r>
      <w:r w:rsidRPr="00BD0FBB">
        <w:rPr>
          <w:rFonts w:ascii="Arial" w:eastAsia="Calibri" w:hAnsi="Arial" w:cs="Arial"/>
          <w:sz w:val="24"/>
          <w:szCs w:val="24"/>
        </w:rPr>
        <w:t>Comparto con la mayoría del Tribunal el hecho de no formular observación a la prórroga de los Convenios a suscribirse en el marco de la Licitación Pública N° 1/2018. No obstante, discrepo con la observación formulada al gasto derivado de la Contratación Directa N° 53/2018 según lo esgrimido en el Considerando 2.</w:t>
      </w:r>
    </w:p>
    <w:p w:rsidR="00BD0FBB" w:rsidRPr="00BD0FBB" w:rsidRDefault="00BD0FBB" w:rsidP="00BD0FB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BD0FBB">
        <w:rPr>
          <w:rFonts w:ascii="Arial" w:eastAsia="Calibri" w:hAnsi="Arial" w:cs="Arial"/>
          <w:sz w:val="24"/>
          <w:szCs w:val="24"/>
        </w:rPr>
        <w:t>En efecto, no se ha vulnerado el Artículo 20 Numeral 2 del TOCAF, dado que justamente dicha norma faculta a la Administración actuante a la asignación anticipada de recursos, que se otorguen a proveedores con destino a una inversión o a un gasto, siempre y cuando ello estuviere estipulado en las condiciones establecidas por la Administración. Dichas condiciones fueron determinadas en el Artículo 33 “Criterios y forma de transferencia de fondos” del Pliego Particular del gasto originario, que rige también para la compra directa</w:t>
      </w:r>
      <w:r w:rsidR="00993644">
        <w:rPr>
          <w:rFonts w:ascii="Arial" w:eastAsia="Calibri" w:hAnsi="Arial" w:cs="Arial"/>
          <w:sz w:val="24"/>
          <w:szCs w:val="24"/>
        </w:rPr>
        <w:t xml:space="preserve"> por excepción que nos ocupa.</w:t>
      </w:r>
    </w:p>
    <w:p w:rsidR="00BD0FBB" w:rsidRDefault="00BD0FBB" w:rsidP="00BD0FB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  <w:r w:rsidRPr="00BD0FBB">
        <w:rPr>
          <w:rFonts w:ascii="Arial" w:eastAsia="Calibri" w:hAnsi="Arial" w:cs="Arial"/>
          <w:sz w:val="24"/>
          <w:szCs w:val="24"/>
          <w:lang w:val="es-MX"/>
        </w:rPr>
        <w:t>Por todo lo expuesto, he votado en forma discorde la Resolución de este expediente</w:t>
      </w:r>
      <w:r>
        <w:rPr>
          <w:rFonts w:ascii="Arial" w:eastAsia="Calibri" w:hAnsi="Arial" w:cs="Arial"/>
          <w:sz w:val="24"/>
          <w:szCs w:val="24"/>
          <w:lang w:val="es-MX"/>
        </w:rPr>
        <w:t>”</w:t>
      </w:r>
      <w:r w:rsidRPr="00BD0FBB">
        <w:rPr>
          <w:rFonts w:ascii="Arial" w:eastAsia="Calibri" w:hAnsi="Arial" w:cs="Arial"/>
          <w:sz w:val="24"/>
          <w:szCs w:val="24"/>
          <w:lang w:val="es-MX"/>
        </w:rPr>
        <w:t>.</w:t>
      </w:r>
    </w:p>
    <w:p w:rsidR="00BD0FBB" w:rsidRDefault="00BD0FBB" w:rsidP="00BD0FBB">
      <w:pPr>
        <w:spacing w:after="0" w:line="360" w:lineRule="auto"/>
        <w:jc w:val="both"/>
        <w:rPr>
          <w:rFonts w:ascii="Arial" w:eastAsia="Calibri" w:hAnsi="Arial" w:cs="Arial"/>
          <w:sz w:val="24"/>
          <w:szCs w:val="24"/>
          <w:lang w:val="es-MX"/>
        </w:rPr>
      </w:pP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D0FBB">
        <w:rPr>
          <w:rFonts w:ascii="Arial" w:hAnsi="Arial" w:cs="Arial"/>
          <w:b/>
          <w:sz w:val="24"/>
          <w:szCs w:val="24"/>
        </w:rPr>
        <w:t>CONSTANCIA DE FUNDAMENTO DE VOTO DISCORDE DEL MINISTRO CR. ENRIQUE CABRERA:</w:t>
      </w:r>
      <w:r w:rsidRPr="00BD0F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“</w:t>
      </w:r>
      <w:r w:rsidRPr="005009F8">
        <w:rPr>
          <w:rFonts w:ascii="Arial" w:hAnsi="Arial" w:cs="Arial"/>
          <w:sz w:val="24"/>
          <w:szCs w:val="24"/>
        </w:rPr>
        <w:t xml:space="preserve">Hago míos los argumentos de fundamento de voto discorde expresados por el Ministro Miguel </w:t>
      </w:r>
      <w:r>
        <w:rPr>
          <w:rFonts w:ascii="Arial" w:hAnsi="Arial" w:cs="Arial"/>
          <w:sz w:val="24"/>
          <w:szCs w:val="24"/>
        </w:rPr>
        <w:t>Aumento</w:t>
      </w:r>
      <w:r w:rsidRPr="005009F8">
        <w:rPr>
          <w:rFonts w:ascii="Arial" w:hAnsi="Arial" w:cs="Arial"/>
          <w:sz w:val="24"/>
          <w:szCs w:val="24"/>
        </w:rPr>
        <w:t xml:space="preserve">, sobre el expediente remitido por </w:t>
      </w:r>
      <w:r>
        <w:rPr>
          <w:rFonts w:ascii="Arial" w:hAnsi="Arial" w:cs="Arial"/>
          <w:sz w:val="24"/>
          <w:szCs w:val="24"/>
        </w:rPr>
        <w:t xml:space="preserve">el Ministerio de Desarrollo Social </w:t>
      </w:r>
      <w:r w:rsidRPr="005009F8">
        <w:rPr>
          <w:rFonts w:ascii="Arial" w:hAnsi="Arial" w:cs="Arial"/>
          <w:sz w:val="24"/>
          <w:szCs w:val="24"/>
        </w:rPr>
        <w:t xml:space="preserve"> relacionado con </w:t>
      </w:r>
      <w:r>
        <w:rPr>
          <w:rFonts w:ascii="Arial" w:hAnsi="Arial" w:cs="Arial"/>
          <w:sz w:val="24"/>
          <w:szCs w:val="24"/>
        </w:rPr>
        <w:t xml:space="preserve">los Convenios suscriptos en el marco de la Licitación Pública </w:t>
      </w:r>
      <w:r w:rsidRPr="005009F8">
        <w:rPr>
          <w:rFonts w:ascii="Arial" w:hAnsi="Arial" w:cs="Arial"/>
          <w:sz w:val="24"/>
          <w:szCs w:val="24"/>
        </w:rPr>
        <w:t xml:space="preserve"> N°</w:t>
      </w:r>
      <w:r>
        <w:rPr>
          <w:rFonts w:ascii="Arial" w:hAnsi="Arial" w:cs="Arial"/>
          <w:sz w:val="24"/>
          <w:szCs w:val="24"/>
        </w:rPr>
        <w:t>1</w:t>
      </w:r>
      <w:r w:rsidRPr="005009F8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 w:rsidRPr="005009F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con el objeto de seleccionar y contratar Organizaciones de Sociedad Civil (</w:t>
      </w:r>
      <w:proofErr w:type="spellStart"/>
      <w:r>
        <w:rPr>
          <w:rFonts w:ascii="Arial" w:hAnsi="Arial" w:cs="Arial"/>
          <w:sz w:val="24"/>
          <w:szCs w:val="24"/>
        </w:rPr>
        <w:t>OSCs</w:t>
      </w:r>
      <w:proofErr w:type="spellEnd"/>
      <w:r>
        <w:rPr>
          <w:rFonts w:ascii="Arial" w:hAnsi="Arial" w:cs="Arial"/>
          <w:sz w:val="24"/>
          <w:szCs w:val="24"/>
        </w:rPr>
        <w:t>) y/o cooperativas de Trabajo, para ejecutar un Programa Educativo Laboral”.</w:t>
      </w: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D0FBB" w:rsidRDefault="00BD0FBB" w:rsidP="00BD0FB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BF3D1A" w:rsidRPr="00680629" w:rsidRDefault="00993644" w:rsidP="00993644">
      <w:pPr>
        <w:spacing w:after="0" w:line="360" w:lineRule="auto"/>
        <w:ind w:hanging="709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</w:p>
    <w:sectPr w:rsidR="00BF3D1A" w:rsidRPr="00680629" w:rsidSect="005E12D6">
      <w:footerReference w:type="default" r:id="rId8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12D6" w:rsidRDefault="005E12D6" w:rsidP="005E12D6">
      <w:pPr>
        <w:spacing w:after="0" w:line="240" w:lineRule="auto"/>
      </w:pPr>
      <w:r>
        <w:separator/>
      </w:r>
    </w:p>
  </w:endnote>
  <w:endnote w:type="continuationSeparator" w:id="0">
    <w:p w:rsidR="005E12D6" w:rsidRDefault="005E12D6" w:rsidP="005E12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282437"/>
      <w:docPartObj>
        <w:docPartGallery w:val="Page Numbers (Bottom of Page)"/>
        <w:docPartUnique/>
      </w:docPartObj>
    </w:sdtPr>
    <w:sdtEndPr/>
    <w:sdtContent>
      <w:p w:rsidR="005E12D6" w:rsidRDefault="005E12D6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07C5D" w:rsidRPr="00C07C5D">
          <w:rPr>
            <w:noProof/>
            <w:lang w:val="es-ES"/>
          </w:rPr>
          <w:t>1</w:t>
        </w:r>
        <w:r>
          <w:fldChar w:fldCharType="end"/>
        </w:r>
      </w:p>
    </w:sdtContent>
  </w:sdt>
  <w:p w:rsidR="005E12D6" w:rsidRDefault="005E12D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12D6" w:rsidRDefault="005E12D6" w:rsidP="005E12D6">
      <w:pPr>
        <w:spacing w:after="0" w:line="240" w:lineRule="auto"/>
      </w:pPr>
      <w:r>
        <w:separator/>
      </w:r>
    </w:p>
  </w:footnote>
  <w:footnote w:type="continuationSeparator" w:id="0">
    <w:p w:rsidR="005E12D6" w:rsidRDefault="005E12D6" w:rsidP="005E12D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CE6"/>
    <w:rsid w:val="00087C68"/>
    <w:rsid w:val="000C63EA"/>
    <w:rsid w:val="000C7875"/>
    <w:rsid w:val="002A31ED"/>
    <w:rsid w:val="003D2176"/>
    <w:rsid w:val="00475040"/>
    <w:rsid w:val="00484D9B"/>
    <w:rsid w:val="004E6629"/>
    <w:rsid w:val="00555AC2"/>
    <w:rsid w:val="00573CE6"/>
    <w:rsid w:val="005B1512"/>
    <w:rsid w:val="005E0A63"/>
    <w:rsid w:val="005E12D6"/>
    <w:rsid w:val="00680629"/>
    <w:rsid w:val="006E453B"/>
    <w:rsid w:val="00733A32"/>
    <w:rsid w:val="00765413"/>
    <w:rsid w:val="007E6170"/>
    <w:rsid w:val="0081335E"/>
    <w:rsid w:val="008F405E"/>
    <w:rsid w:val="0094278B"/>
    <w:rsid w:val="00993644"/>
    <w:rsid w:val="009B2A34"/>
    <w:rsid w:val="00B75C59"/>
    <w:rsid w:val="00BD0FBB"/>
    <w:rsid w:val="00BD688B"/>
    <w:rsid w:val="00BF02F9"/>
    <w:rsid w:val="00BF3D1A"/>
    <w:rsid w:val="00C07C5D"/>
    <w:rsid w:val="00CE0605"/>
    <w:rsid w:val="00D10E57"/>
    <w:rsid w:val="00DA04A9"/>
    <w:rsid w:val="00DD172D"/>
    <w:rsid w:val="00E0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2D6"/>
  </w:style>
  <w:style w:type="paragraph" w:styleId="Piedepgina">
    <w:name w:val="footer"/>
    <w:basedOn w:val="Normal"/>
    <w:link w:val="PiedepginaCar"/>
    <w:uiPriority w:val="99"/>
    <w:unhideWhenUsed/>
    <w:rsid w:val="005E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2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E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E12D6"/>
  </w:style>
  <w:style w:type="paragraph" w:styleId="Piedepgina">
    <w:name w:val="footer"/>
    <w:basedOn w:val="Normal"/>
    <w:link w:val="PiedepginaCar"/>
    <w:uiPriority w:val="99"/>
    <w:unhideWhenUsed/>
    <w:rsid w:val="005E12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E12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983D6-4CD5-4144-A9EA-E74F3673E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1750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Martha García Sclavi</dc:creator>
  <cp:lastModifiedBy>Tribunal1</cp:lastModifiedBy>
  <cp:revision>4</cp:revision>
  <cp:lastPrinted>2019-03-25T16:01:00Z</cp:lastPrinted>
  <dcterms:created xsi:type="dcterms:W3CDTF">2019-03-25T16:02:00Z</dcterms:created>
  <dcterms:modified xsi:type="dcterms:W3CDTF">2019-04-09T19:49:00Z</dcterms:modified>
</cp:coreProperties>
</file>