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1EE" w:rsidRPr="00786EEB" w:rsidRDefault="00C661EE"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701/19</w:t>
      </w:r>
    </w:p>
    <w:p w:rsidR="00C661EE" w:rsidRDefault="00C661EE" w:rsidP="00786EEB">
      <w:pPr>
        <w:tabs>
          <w:tab w:val="center" w:pos="4253"/>
        </w:tabs>
        <w:suppressAutoHyphens/>
        <w:jc w:val="right"/>
        <w:rPr>
          <w:rFonts w:cs="Arial"/>
          <w:b/>
          <w:lang w:val="es-ES_tradnl"/>
        </w:rPr>
      </w:pPr>
    </w:p>
    <w:p w:rsidR="00C661EE" w:rsidRPr="00762B34" w:rsidRDefault="00C661EE">
      <w:pPr>
        <w:tabs>
          <w:tab w:val="center" w:pos="4253"/>
        </w:tabs>
        <w:suppressAutoHyphens/>
        <w:jc w:val="center"/>
        <w:rPr>
          <w:rFonts w:cs="Arial"/>
          <w:b/>
          <w:lang w:val="es-ES_tradnl"/>
        </w:rPr>
      </w:pPr>
      <w:r w:rsidRPr="00762B34">
        <w:rPr>
          <w:rFonts w:cs="Arial"/>
          <w:b/>
          <w:lang w:val="es-ES_tradnl"/>
        </w:rPr>
        <w:t>RESOLUCION ADOPTADA POR EL</w:t>
      </w:r>
    </w:p>
    <w:p w:rsidR="00C661EE" w:rsidRPr="00762B34" w:rsidRDefault="00C661EE">
      <w:pPr>
        <w:tabs>
          <w:tab w:val="left" w:pos="-720"/>
        </w:tabs>
        <w:suppressAutoHyphens/>
        <w:jc w:val="center"/>
        <w:rPr>
          <w:rFonts w:cs="Arial"/>
          <w:b/>
          <w:lang w:val="es-ES_tradnl"/>
        </w:rPr>
      </w:pPr>
    </w:p>
    <w:p w:rsidR="00C661EE" w:rsidRPr="00762B34" w:rsidRDefault="00C661EE">
      <w:pPr>
        <w:tabs>
          <w:tab w:val="center" w:pos="4253"/>
        </w:tabs>
        <w:suppressAutoHyphens/>
        <w:jc w:val="center"/>
        <w:rPr>
          <w:rFonts w:cs="Arial"/>
          <w:b/>
          <w:lang w:val="es-ES_tradnl"/>
        </w:rPr>
      </w:pPr>
      <w:r w:rsidRPr="00762B34">
        <w:rPr>
          <w:rFonts w:cs="Arial"/>
          <w:b/>
          <w:lang w:val="es-ES_tradnl"/>
        </w:rPr>
        <w:t>TRIBUNAL DE CUENTAS</w:t>
      </w:r>
    </w:p>
    <w:p w:rsidR="00C661EE" w:rsidRPr="00762B34" w:rsidRDefault="00C661EE">
      <w:pPr>
        <w:tabs>
          <w:tab w:val="left" w:pos="-720"/>
        </w:tabs>
        <w:suppressAutoHyphens/>
        <w:jc w:val="center"/>
        <w:rPr>
          <w:rFonts w:cs="Arial"/>
          <w:b/>
          <w:lang w:val="es-ES_tradnl"/>
        </w:rPr>
      </w:pPr>
    </w:p>
    <w:p w:rsidR="00C661EE" w:rsidRPr="00762B34" w:rsidRDefault="00C661EE">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20 DE MARZO DE 2019</w:t>
      </w:r>
    </w:p>
    <w:p w:rsidR="00C661EE" w:rsidRPr="00762B34" w:rsidRDefault="00C661EE">
      <w:pPr>
        <w:tabs>
          <w:tab w:val="center" w:pos="4253"/>
        </w:tabs>
        <w:suppressAutoHyphens/>
        <w:jc w:val="center"/>
        <w:rPr>
          <w:rFonts w:cs="Arial"/>
          <w:b/>
          <w:lang w:val="es-ES_tradnl"/>
        </w:rPr>
      </w:pPr>
    </w:p>
    <w:p w:rsidR="00C661EE" w:rsidRPr="00D47F5A" w:rsidRDefault="00C661EE">
      <w:pPr>
        <w:tabs>
          <w:tab w:val="center" w:pos="4253"/>
        </w:tabs>
        <w:suppressAutoHyphens/>
        <w:jc w:val="center"/>
        <w:rPr>
          <w:rFonts w:cs="Arial"/>
          <w:b/>
          <w:lang w:val="es-UY"/>
        </w:rPr>
      </w:pPr>
      <w:r w:rsidRPr="00D47F5A">
        <w:rPr>
          <w:rFonts w:cs="Arial"/>
          <w:b/>
          <w:lang w:val="es-UY"/>
        </w:rPr>
        <w:t xml:space="preserve">(E. E. Nº 2016-17-1-0000125, </w:t>
      </w:r>
      <w:proofErr w:type="spellStart"/>
      <w:r w:rsidRPr="00D47F5A">
        <w:rPr>
          <w:rFonts w:cs="Arial"/>
          <w:b/>
          <w:lang w:val="es-UY"/>
        </w:rPr>
        <w:t>Ent</w:t>
      </w:r>
      <w:proofErr w:type="spellEnd"/>
      <w:r w:rsidRPr="00D47F5A">
        <w:rPr>
          <w:rFonts w:cs="Arial"/>
          <w:b/>
          <w:lang w:val="es-UY"/>
        </w:rPr>
        <w:t>. N° 725/19)</w:t>
      </w:r>
    </w:p>
    <w:p w:rsidR="00C661EE" w:rsidRPr="00D47F5A" w:rsidRDefault="00C661EE">
      <w:pPr>
        <w:tabs>
          <w:tab w:val="center" w:pos="4253"/>
        </w:tabs>
        <w:suppressAutoHyphens/>
        <w:jc w:val="center"/>
        <w:rPr>
          <w:rFonts w:ascii="Helvetica" w:hAnsi="Helvetica"/>
          <w:b/>
          <w:lang w:val="es-UY"/>
        </w:rPr>
      </w:pPr>
    </w:p>
    <w:p w:rsidR="00C661EE" w:rsidRDefault="00E044FF" w:rsidP="00C661EE">
      <w:pPr>
        <w:spacing w:line="360" w:lineRule="auto"/>
        <w:ind w:firstLine="851"/>
        <w:jc w:val="both"/>
      </w:pPr>
      <w:r>
        <w:rPr>
          <w:b/>
        </w:rPr>
        <w:t xml:space="preserve">VISTO: </w:t>
      </w:r>
      <w:r w:rsidR="00987F76">
        <w:t>la Resolución Ministerial N° 0111/019 de fecha 8.02.2019, relacionada con la prórroga de la</w:t>
      </w:r>
      <w:r>
        <w:t xml:space="preserve"> Licitación Pública Nº 2/2015, convocada para la contratación de servicio integral de limpieza y limpieza de vidrios exteriores del edificio en altura, para su edificio Sede y Anexos, CECAP, Centro de Documentación Musical, Centros MEC de Montevideo, Secretaría Permanente, ICAU y Biblioteca Batlle, por</w:t>
      </w:r>
      <w:r w:rsidR="00EE003E">
        <w:t xml:space="preserve"> el</w:t>
      </w:r>
      <w:r>
        <w:t xml:space="preserve"> pl</w:t>
      </w:r>
      <w:r w:rsidR="00C661EE">
        <w:t>azo de un año con opción a dos;</w:t>
      </w:r>
    </w:p>
    <w:p w:rsidR="00C661EE" w:rsidRDefault="00E044FF" w:rsidP="00C661EE">
      <w:pPr>
        <w:spacing w:line="360" w:lineRule="auto"/>
        <w:ind w:firstLine="851"/>
        <w:jc w:val="both"/>
      </w:pPr>
      <w:r>
        <w:rPr>
          <w:b/>
        </w:rPr>
        <w:t xml:space="preserve">RESULTANDO: 1) </w:t>
      </w:r>
      <w:r>
        <w:t xml:space="preserve">que en Sesión de fecha 20 de enero de 2016, este Tribunal acordó observar el gasto por considerar que no se </w:t>
      </w:r>
      <w:r w:rsidR="00EE003E">
        <w:t>había dado</w:t>
      </w:r>
      <w:r w:rsidR="00C661EE">
        <w:t xml:space="preserve"> cumplimiento con el</w:t>
      </w:r>
      <w:r>
        <w:t xml:space="preserve"> </w:t>
      </w:r>
      <w:r w:rsidR="00C661EE">
        <w:t>A</w:t>
      </w:r>
      <w:r>
        <w:t xml:space="preserve">rtículo 51 del TOCAF y </w:t>
      </w:r>
      <w:r w:rsidR="00EE003E">
        <w:t xml:space="preserve">por </w:t>
      </w:r>
      <w:r>
        <w:t>contar las actuaciones con principio de e</w:t>
      </w:r>
      <w:r w:rsidR="00C661EE">
        <w:t>jecución, en contravención del Artículo 211 L</w:t>
      </w:r>
      <w:r>
        <w:t>iteral B) de l</w:t>
      </w:r>
      <w:r w:rsidR="00C661EE">
        <w:t>a Constitución de la República;</w:t>
      </w:r>
    </w:p>
    <w:p w:rsidR="00C661EE" w:rsidRDefault="00D47F5A" w:rsidP="00D47F5A">
      <w:pPr>
        <w:spacing w:line="360" w:lineRule="auto"/>
        <w:ind w:firstLine="2694"/>
        <w:jc w:val="both"/>
      </w:pPr>
      <w:r>
        <w:rPr>
          <w:b/>
        </w:rPr>
        <w:t xml:space="preserve"> </w:t>
      </w:r>
      <w:r w:rsidR="00E044FF">
        <w:rPr>
          <w:b/>
        </w:rPr>
        <w:t>2)</w:t>
      </w:r>
      <w:r w:rsidR="00E044FF">
        <w:t xml:space="preserve"> que posteriormente, en Sesión de fecha 30 de marzo de 2016, este Tribunal acordó levantar las observaciones formuladas en Sesión de fecha 20 de enero de 2016 (Considerandos 1 y 2) y cometió al Contador Delegado la intervención del gasto anual de $ 11:965.560 (impuestos incluidos), previo control de su imputación en el Grupo adecuado con disponibilidad suficiente, así</w:t>
      </w:r>
      <w:r w:rsidR="00C661EE">
        <w:t xml:space="preserve"> como las eventuales prórrogas;</w:t>
      </w:r>
    </w:p>
    <w:p w:rsidR="00C661EE" w:rsidRDefault="00D47F5A" w:rsidP="00D47F5A">
      <w:pPr>
        <w:spacing w:line="360" w:lineRule="auto"/>
        <w:ind w:firstLine="2694"/>
        <w:jc w:val="both"/>
      </w:pPr>
      <w:r>
        <w:rPr>
          <w:b/>
        </w:rPr>
        <w:t xml:space="preserve"> </w:t>
      </w:r>
      <w:r w:rsidR="00E044FF">
        <w:rPr>
          <w:b/>
        </w:rPr>
        <w:t>3)</w:t>
      </w:r>
      <w:r w:rsidR="00E044FF">
        <w:t xml:space="preserve"> que en Sesión de fecha 11 de enero de 2017, </w:t>
      </w:r>
      <w:r w:rsidR="00946A37">
        <w:t>se remitió la prórroga del llamado y este Tribunal acordó</w:t>
      </w:r>
      <w:r w:rsidR="00E044FF">
        <w:t xml:space="preserve"> estar a lo resuelto en Sesión de fecha 30 de marzo de 2016, instancia en la que se cometió la intervenció</w:t>
      </w:r>
      <w:r w:rsidR="00C661EE">
        <w:t>n de las eventuales prórrogas;</w:t>
      </w:r>
    </w:p>
    <w:p w:rsidR="00C661EE" w:rsidRDefault="00D47F5A" w:rsidP="00D47F5A">
      <w:pPr>
        <w:spacing w:line="360" w:lineRule="auto"/>
        <w:ind w:firstLine="2694"/>
        <w:jc w:val="both"/>
      </w:pPr>
      <w:r>
        <w:rPr>
          <w:b/>
        </w:rPr>
        <w:lastRenderedPageBreak/>
        <w:t xml:space="preserve"> </w:t>
      </w:r>
      <w:r w:rsidR="00E044FF">
        <w:rPr>
          <w:b/>
        </w:rPr>
        <w:t>4)</w:t>
      </w:r>
      <w:r w:rsidR="00E044FF">
        <w:t xml:space="preserve"> que en Sesión de fecha 22 de noviembre de 2017, este Tribunal acordó: </w:t>
      </w:r>
      <w:r w:rsidR="00E044FF">
        <w:rPr>
          <w:i/>
        </w:rPr>
        <w:t>“</w:t>
      </w:r>
      <w:r w:rsidR="00E044FF">
        <w:t xml:space="preserve">1) Abiertos los créditos para el Ejercicio 2018, </w:t>
      </w:r>
      <w:proofErr w:type="spellStart"/>
      <w:r w:rsidR="00E044FF">
        <w:t>cométese</w:t>
      </w:r>
      <w:proofErr w:type="spellEnd"/>
      <w:r w:rsidR="00E044FF">
        <w:t xml:space="preserve"> al Contador Delegado en el Ministerio de Educación y Cultura, la intervención del gasto emergente  de la ampliación del 100% de la adjudicación a favor de la empresa PERFIL S.A., previo control de su imputación en el Grupo adecuado con disponibilidad suficiente, así como el cumplimiento de lo dispuesto en el Artículo 3º de la Ley Nº 18.244 (…)”;</w:t>
      </w:r>
    </w:p>
    <w:p w:rsidR="00C661EE" w:rsidRDefault="00D47F5A" w:rsidP="00D47F5A">
      <w:pPr>
        <w:spacing w:line="360" w:lineRule="auto"/>
        <w:ind w:firstLine="2694"/>
        <w:jc w:val="both"/>
      </w:pPr>
      <w:r>
        <w:rPr>
          <w:b/>
        </w:rPr>
        <w:t xml:space="preserve"> </w:t>
      </w:r>
      <w:r w:rsidR="00E044FF">
        <w:rPr>
          <w:b/>
        </w:rPr>
        <w:t>5)</w:t>
      </w:r>
      <w:r w:rsidR="00E044FF">
        <w:t xml:space="preserve"> que </w:t>
      </w:r>
      <w:r w:rsidR="009E011C">
        <w:t>por</w:t>
      </w:r>
      <w:r w:rsidR="00E044FF">
        <w:t xml:space="preserve"> Resolución </w:t>
      </w:r>
      <w:r w:rsidR="009E011C">
        <w:t xml:space="preserve">Ministerial </w:t>
      </w:r>
      <w:r w:rsidR="00E044FF">
        <w:t>Nº 1221/018</w:t>
      </w:r>
      <w:r w:rsidR="009E011C">
        <w:t xml:space="preserve"> de</w:t>
      </w:r>
      <w:r w:rsidR="00E044FF">
        <w:t xml:space="preserve"> fecha 6 d</w:t>
      </w:r>
      <w:r w:rsidR="009E011C">
        <w:t>e diciembre de 2018, se prorrogó</w:t>
      </w:r>
      <w:r w:rsidR="00E044FF">
        <w:t xml:space="preserve"> por un año más la contratación </w:t>
      </w:r>
      <w:r w:rsidR="009E011C">
        <w:t>con la firma PERFIL S.A.</w:t>
      </w:r>
      <w:r w:rsidR="00E044FF">
        <w:t>;</w:t>
      </w:r>
    </w:p>
    <w:p w:rsidR="00C661EE" w:rsidRDefault="00D47F5A" w:rsidP="00D47F5A">
      <w:pPr>
        <w:spacing w:line="360" w:lineRule="auto"/>
        <w:ind w:firstLine="2694"/>
        <w:jc w:val="both"/>
      </w:pPr>
      <w:r>
        <w:rPr>
          <w:b/>
        </w:rPr>
        <w:t xml:space="preserve"> </w:t>
      </w:r>
      <w:r w:rsidR="00D917EF">
        <w:rPr>
          <w:b/>
        </w:rPr>
        <w:t>6)</w:t>
      </w:r>
      <w:r w:rsidR="00E044FF">
        <w:rPr>
          <w:b/>
        </w:rPr>
        <w:t xml:space="preserve"> </w:t>
      </w:r>
      <w:r w:rsidR="00E044FF">
        <w:t>que</w:t>
      </w:r>
      <w:r w:rsidR="00D917EF">
        <w:t xml:space="preserve"> este Tribunal en Sesión de fecha </w:t>
      </w:r>
      <w:r w:rsidR="00946A37">
        <w:t>9.01.2019,</w:t>
      </w:r>
      <w:r w:rsidR="00D917EF">
        <w:t xml:space="preserve">  acordó obser</w:t>
      </w:r>
      <w:r>
        <w:t>var el gasto, en virtud de que:</w:t>
      </w:r>
    </w:p>
    <w:p w:rsidR="00C661EE" w:rsidRDefault="00D47F5A" w:rsidP="00D47F5A">
      <w:pPr>
        <w:spacing w:line="360" w:lineRule="auto"/>
        <w:ind w:firstLine="2694"/>
        <w:jc w:val="both"/>
      </w:pPr>
      <w:r>
        <w:rPr>
          <w:b/>
        </w:rPr>
        <w:t xml:space="preserve"> </w:t>
      </w:r>
      <w:r w:rsidR="00D917EF" w:rsidRPr="00C661EE">
        <w:rPr>
          <w:b/>
        </w:rPr>
        <w:t>6.1)</w:t>
      </w:r>
      <w:r w:rsidR="00C661EE">
        <w:t xml:space="preserve"> el A</w:t>
      </w:r>
      <w:r w:rsidR="00E044FF">
        <w:t>rtículo 23 del Pliego de Condiciones estableció que “La ejecución del contrato objeto de este llamado comenzará una vez notificada al adjudicatario la resolución de adjudicación. El plazo de la contratación será de un año con opción a dos, a criterio del MEC, en función de la evaluación del desempeño de</w:t>
      </w:r>
      <w:r>
        <w:t xml:space="preserve"> la empresa adjudicataria (…)”;</w:t>
      </w:r>
    </w:p>
    <w:p w:rsidR="00C661EE" w:rsidRDefault="00D47F5A" w:rsidP="00D47F5A">
      <w:pPr>
        <w:spacing w:line="360" w:lineRule="auto"/>
        <w:ind w:firstLine="2694"/>
        <w:jc w:val="both"/>
      </w:pPr>
      <w:r>
        <w:rPr>
          <w:b/>
        </w:rPr>
        <w:t xml:space="preserve"> </w:t>
      </w:r>
      <w:r w:rsidR="00D917EF" w:rsidRPr="00C661EE">
        <w:rPr>
          <w:b/>
        </w:rPr>
        <w:t>6.2)</w:t>
      </w:r>
      <w:r w:rsidR="00E044FF">
        <w:t xml:space="preserve"> que conforme surge de las actuaciones</w:t>
      </w:r>
      <w:r w:rsidR="00946A37">
        <w:t>,</w:t>
      </w:r>
      <w:r w:rsidR="00E044FF">
        <w:t xml:space="preserve"> la Administración ya hizo uso de las prórrogas mediante Resolución Ministerial de fecha 14 de diciembre de 2016, donde prorrogó por un año la contratación realizada con la empresa PERFIL S.A.; </w:t>
      </w:r>
      <w:r>
        <w:t>y</w:t>
      </w:r>
    </w:p>
    <w:p w:rsidR="00C661EE" w:rsidRDefault="00D47F5A" w:rsidP="00D47F5A">
      <w:pPr>
        <w:spacing w:line="360" w:lineRule="auto"/>
        <w:ind w:firstLine="2694"/>
        <w:jc w:val="both"/>
      </w:pPr>
      <w:r>
        <w:rPr>
          <w:b/>
        </w:rPr>
        <w:t xml:space="preserve"> </w:t>
      </w:r>
      <w:r w:rsidR="00D917EF" w:rsidRPr="00C661EE">
        <w:rPr>
          <w:b/>
        </w:rPr>
        <w:t>6.3)</w:t>
      </w:r>
      <w:r w:rsidR="00D917EF">
        <w:t xml:space="preserve"> </w:t>
      </w:r>
      <w:r w:rsidR="00E044FF">
        <w:t>l</w:t>
      </w:r>
      <w:r w:rsidR="00D917EF">
        <w:t>a Administración ya hizo uso de la facultad establecida por el Artículo 74 del TOCAF, habiendo ampliado en un 100% la contratación original, por lo que no correspond</w:t>
      </w:r>
      <w:r w:rsidR="00D9637F">
        <w:t>ería, ni prórroga, ni nueva ampliación</w:t>
      </w:r>
      <w:r w:rsidR="00C661EE">
        <w:t>;</w:t>
      </w:r>
    </w:p>
    <w:p w:rsidR="00263149" w:rsidRDefault="00D47F5A" w:rsidP="00D47F5A">
      <w:pPr>
        <w:spacing w:line="360" w:lineRule="auto"/>
        <w:ind w:firstLine="2694"/>
        <w:jc w:val="both"/>
      </w:pPr>
      <w:r>
        <w:rPr>
          <w:b/>
        </w:rPr>
        <w:t xml:space="preserve"> </w:t>
      </w:r>
      <w:r w:rsidR="00263149">
        <w:rPr>
          <w:b/>
        </w:rPr>
        <w:t xml:space="preserve">7) </w:t>
      </w:r>
      <w:r w:rsidR="00263149">
        <w:t>que en esta oportunidad se remite Resolución Ministerial N° 0111/019 de fecha 8.02.2019, mediante la cual se insiste en el gasto dispuesto por Resolución Ministerial N° 1221/018 de 6.12.2018 que prorrogó por un año más la referida contratación</w:t>
      </w:r>
      <w:r w:rsidR="002A505B">
        <w:t>, fundando la misma en que los servicios de limpieza integral y de vidrios son de inaplazable necesidad para la Administración;</w:t>
      </w:r>
    </w:p>
    <w:p w:rsidR="00C97654" w:rsidRDefault="00D4175A" w:rsidP="00C97654">
      <w:pPr>
        <w:tabs>
          <w:tab w:val="left" w:pos="3000"/>
        </w:tabs>
        <w:spacing w:line="360" w:lineRule="auto"/>
        <w:ind w:firstLine="851"/>
        <w:jc w:val="both"/>
        <w:rPr>
          <w:rFonts w:cs="Arial"/>
        </w:rPr>
      </w:pPr>
      <w:r w:rsidRPr="00127ADC">
        <w:rPr>
          <w:rFonts w:cs="Arial"/>
          <w:b/>
        </w:rPr>
        <w:t>CONSIDERANDO:</w:t>
      </w:r>
      <w:r w:rsidRPr="00127ADC">
        <w:rPr>
          <w:rFonts w:cs="Arial"/>
        </w:rPr>
        <w:t xml:space="preserve"> que se mantienen incambiadas la</w:t>
      </w:r>
      <w:r>
        <w:rPr>
          <w:rFonts w:cs="Arial"/>
        </w:rPr>
        <w:t>s</w:t>
      </w:r>
      <w:r w:rsidRPr="00127ADC">
        <w:rPr>
          <w:rFonts w:cs="Arial"/>
        </w:rPr>
        <w:t xml:space="preserve"> razones que motivaron la observación de este Tribunal de fecha </w:t>
      </w:r>
      <w:r w:rsidR="003A5D76">
        <w:t>9.01.2019</w:t>
      </w:r>
      <w:r w:rsidRPr="00127ADC">
        <w:rPr>
          <w:rFonts w:cs="Arial"/>
        </w:rPr>
        <w:t>;</w:t>
      </w:r>
    </w:p>
    <w:p w:rsidR="00BE41C9" w:rsidRDefault="00D4175A" w:rsidP="00C97654">
      <w:pPr>
        <w:tabs>
          <w:tab w:val="left" w:pos="3000"/>
        </w:tabs>
        <w:spacing w:line="360" w:lineRule="auto"/>
        <w:ind w:firstLine="851"/>
        <w:jc w:val="both"/>
        <w:rPr>
          <w:rFonts w:cs="Arial"/>
          <w:lang w:val="es-MX"/>
        </w:rPr>
      </w:pPr>
      <w:r w:rsidRPr="00127ADC">
        <w:rPr>
          <w:rFonts w:cs="Arial"/>
          <w:b/>
          <w:bCs/>
          <w:lang w:val="es-MX"/>
        </w:rPr>
        <w:t>ATENTO:</w:t>
      </w:r>
      <w:r w:rsidRPr="00127ADC">
        <w:rPr>
          <w:rFonts w:cs="Arial"/>
          <w:bCs/>
          <w:lang w:val="es-MX"/>
        </w:rPr>
        <w:t xml:space="preserve"> </w:t>
      </w:r>
      <w:r w:rsidRPr="00127ADC">
        <w:rPr>
          <w:rFonts w:cs="Arial"/>
          <w:lang w:val="es-MX"/>
        </w:rPr>
        <w:t>a lo expre</w:t>
      </w:r>
      <w:r w:rsidR="00C97654">
        <w:rPr>
          <w:rFonts w:cs="Arial"/>
          <w:lang w:val="es-MX"/>
        </w:rPr>
        <w:t>sado y a lo establecido por el A</w:t>
      </w:r>
      <w:r w:rsidRPr="00127ADC">
        <w:rPr>
          <w:rFonts w:cs="Arial"/>
          <w:lang w:val="es-MX"/>
        </w:rPr>
        <w:t>rtículo 211 Literal B) de la Constitución de la República;</w:t>
      </w:r>
    </w:p>
    <w:p w:rsidR="00D4175A" w:rsidRDefault="00D4175A" w:rsidP="003A5D76">
      <w:pPr>
        <w:tabs>
          <w:tab w:val="left" w:pos="3000"/>
        </w:tabs>
        <w:spacing w:line="360" w:lineRule="auto"/>
        <w:jc w:val="center"/>
        <w:rPr>
          <w:rFonts w:cs="Arial"/>
          <w:b/>
          <w:bCs/>
          <w:lang w:val="es-MX"/>
        </w:rPr>
      </w:pPr>
      <w:r w:rsidRPr="00127ADC">
        <w:rPr>
          <w:rFonts w:cs="Arial"/>
          <w:b/>
          <w:bCs/>
          <w:lang w:val="es-MX"/>
        </w:rPr>
        <w:t>EL TRIBUNAL ACUERDA</w:t>
      </w:r>
    </w:p>
    <w:p w:rsidR="00D4175A" w:rsidRPr="00127ADC" w:rsidRDefault="00D4175A" w:rsidP="00C97654">
      <w:pPr>
        <w:spacing w:line="360" w:lineRule="auto"/>
        <w:jc w:val="both"/>
        <w:rPr>
          <w:rFonts w:cs="Arial"/>
        </w:rPr>
      </w:pPr>
      <w:r w:rsidRPr="00EE003E">
        <w:rPr>
          <w:rFonts w:cs="Arial"/>
          <w:b/>
        </w:rPr>
        <w:t>1)</w:t>
      </w:r>
      <w:r w:rsidRPr="00127ADC">
        <w:rPr>
          <w:rFonts w:cs="Arial"/>
        </w:rPr>
        <w:t xml:space="preserve">  Mantener la observación formulada </w:t>
      </w:r>
      <w:r w:rsidRPr="00127ADC">
        <w:rPr>
          <w:rFonts w:cs="Arial"/>
          <w:lang w:val="es-UY"/>
        </w:rPr>
        <w:t>con fecha</w:t>
      </w:r>
      <w:r>
        <w:rPr>
          <w:rFonts w:cs="Arial"/>
          <w:lang w:val="es-UY"/>
        </w:rPr>
        <w:t xml:space="preserve"> 9.01.2019</w:t>
      </w:r>
      <w:r w:rsidR="00C97654">
        <w:rPr>
          <w:rFonts w:cs="Arial"/>
          <w:lang w:val="es-UY"/>
        </w:rPr>
        <w:t>;</w:t>
      </w:r>
    </w:p>
    <w:p w:rsidR="00D4175A" w:rsidRPr="00127ADC" w:rsidRDefault="00D4175A" w:rsidP="00C97654">
      <w:pPr>
        <w:spacing w:line="360" w:lineRule="auto"/>
        <w:jc w:val="both"/>
        <w:rPr>
          <w:rFonts w:cs="Arial"/>
        </w:rPr>
      </w:pPr>
      <w:r w:rsidRPr="00EE003E">
        <w:rPr>
          <w:rFonts w:cs="Arial"/>
          <w:b/>
        </w:rPr>
        <w:t>2)</w:t>
      </w:r>
      <w:r w:rsidRPr="00127ADC">
        <w:rPr>
          <w:rFonts w:cs="Arial"/>
        </w:rPr>
        <w:t xml:space="preserve">  Comunicar al Poder Ejecutivo y d</w:t>
      </w:r>
      <w:r w:rsidR="00C97654">
        <w:rPr>
          <w:rFonts w:cs="Arial"/>
        </w:rPr>
        <w:t>ar cuenta a la Asamblea General;</w:t>
      </w:r>
    </w:p>
    <w:p w:rsidR="00D4175A" w:rsidRPr="00127ADC" w:rsidRDefault="00D4175A" w:rsidP="00C97654">
      <w:pPr>
        <w:spacing w:line="360" w:lineRule="auto"/>
        <w:jc w:val="both"/>
        <w:rPr>
          <w:rFonts w:cs="Arial"/>
        </w:rPr>
      </w:pPr>
      <w:r w:rsidRPr="00EE003E">
        <w:rPr>
          <w:rFonts w:cs="Arial"/>
          <w:b/>
        </w:rPr>
        <w:t>3)</w:t>
      </w:r>
      <w:r w:rsidRPr="00127ADC">
        <w:rPr>
          <w:rFonts w:cs="Arial"/>
        </w:rPr>
        <w:t xml:space="preserve">  </w:t>
      </w:r>
      <w:r w:rsidRPr="00127ADC">
        <w:rPr>
          <w:rFonts w:cs="Arial"/>
          <w:bCs/>
        </w:rPr>
        <w:t xml:space="preserve">Comunicar al Contador </w:t>
      </w:r>
      <w:r w:rsidR="00EE003E">
        <w:rPr>
          <w:rFonts w:cs="Arial"/>
          <w:bCs/>
        </w:rPr>
        <w:t>Delegado</w:t>
      </w:r>
      <w:r w:rsidR="00C97654">
        <w:rPr>
          <w:rFonts w:cs="Arial"/>
          <w:bCs/>
        </w:rPr>
        <w:t>;</w:t>
      </w:r>
    </w:p>
    <w:p w:rsidR="00E044FF" w:rsidRDefault="00D4175A" w:rsidP="00C97654">
      <w:pPr>
        <w:spacing w:line="360" w:lineRule="auto"/>
        <w:jc w:val="both"/>
      </w:pPr>
      <w:r w:rsidRPr="00EE003E">
        <w:rPr>
          <w:rFonts w:cs="Arial"/>
          <w:b/>
        </w:rPr>
        <w:t>4)</w:t>
      </w:r>
      <w:r>
        <w:rPr>
          <w:rFonts w:cs="Arial"/>
        </w:rPr>
        <w:t xml:space="preserve"> </w:t>
      </w:r>
      <w:r w:rsidR="00EE003E">
        <w:rPr>
          <w:rFonts w:cs="Arial"/>
        </w:rPr>
        <w:t>Oficiar</w:t>
      </w:r>
      <w:r>
        <w:rPr>
          <w:rFonts w:cs="Arial"/>
        </w:rPr>
        <w:t xml:space="preserve"> al Ministerio de Educación </w:t>
      </w:r>
      <w:r w:rsidR="00903E16">
        <w:t>y Cultura.</w:t>
      </w:r>
    </w:p>
    <w:p w:rsidR="00E044FF" w:rsidRDefault="00E044FF" w:rsidP="00E044FF">
      <w:pPr>
        <w:spacing w:line="360" w:lineRule="auto"/>
        <w:jc w:val="both"/>
      </w:pPr>
    </w:p>
    <w:sectPr w:rsidR="00E044FF" w:rsidSect="00C97654">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1EE" w:rsidRDefault="00C661EE" w:rsidP="00C661EE">
      <w:r>
        <w:separator/>
      </w:r>
    </w:p>
  </w:endnote>
  <w:endnote w:type="continuationSeparator" w:id="0">
    <w:p w:rsidR="00C661EE" w:rsidRDefault="00C661EE" w:rsidP="00C6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408287"/>
      <w:docPartObj>
        <w:docPartGallery w:val="Page Numbers (Bottom of Page)"/>
        <w:docPartUnique/>
      </w:docPartObj>
    </w:sdtPr>
    <w:sdtEndPr/>
    <w:sdtContent>
      <w:p w:rsidR="00C661EE" w:rsidRDefault="00C661EE">
        <w:pPr>
          <w:pStyle w:val="Piedepgina"/>
          <w:jc w:val="center"/>
        </w:pPr>
        <w:r>
          <w:fldChar w:fldCharType="begin"/>
        </w:r>
        <w:r>
          <w:instrText>PAGE   \* MERGEFORMAT</w:instrText>
        </w:r>
        <w:r>
          <w:fldChar w:fldCharType="separate"/>
        </w:r>
        <w:r w:rsidR="00D47F5A">
          <w:rPr>
            <w:noProof/>
          </w:rPr>
          <w:t>1</w:t>
        </w:r>
        <w:r>
          <w:fldChar w:fldCharType="end"/>
        </w:r>
      </w:p>
    </w:sdtContent>
  </w:sdt>
  <w:p w:rsidR="00C661EE" w:rsidRDefault="00C661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1EE" w:rsidRDefault="00C661EE" w:rsidP="00C661EE">
      <w:r>
        <w:separator/>
      </w:r>
    </w:p>
  </w:footnote>
  <w:footnote w:type="continuationSeparator" w:id="0">
    <w:p w:rsidR="00C661EE" w:rsidRDefault="00C661EE" w:rsidP="00C66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54E09"/>
    <w:multiLevelType w:val="hybridMultilevel"/>
    <w:tmpl w:val="E6DE59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4FF"/>
    <w:rsid w:val="0008463C"/>
    <w:rsid w:val="000C5384"/>
    <w:rsid w:val="00263149"/>
    <w:rsid w:val="002A505B"/>
    <w:rsid w:val="002C2086"/>
    <w:rsid w:val="003A5D76"/>
    <w:rsid w:val="00551557"/>
    <w:rsid w:val="006B5AF5"/>
    <w:rsid w:val="0076564A"/>
    <w:rsid w:val="00836098"/>
    <w:rsid w:val="00903E16"/>
    <w:rsid w:val="009139DA"/>
    <w:rsid w:val="00946A37"/>
    <w:rsid w:val="00987F76"/>
    <w:rsid w:val="009E011C"/>
    <w:rsid w:val="00A15B98"/>
    <w:rsid w:val="00A523C2"/>
    <w:rsid w:val="00B9798F"/>
    <w:rsid w:val="00BE41C9"/>
    <w:rsid w:val="00C661EE"/>
    <w:rsid w:val="00C76044"/>
    <w:rsid w:val="00C97654"/>
    <w:rsid w:val="00D4175A"/>
    <w:rsid w:val="00D47F5A"/>
    <w:rsid w:val="00D917EF"/>
    <w:rsid w:val="00D9637F"/>
    <w:rsid w:val="00E044FF"/>
    <w:rsid w:val="00EE003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bCs/>
        <w:spacing w:val="-3"/>
        <w:sz w:val="24"/>
        <w:szCs w:val="24"/>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4FF"/>
    <w:pPr>
      <w:spacing w:after="0" w:line="240" w:lineRule="auto"/>
    </w:pPr>
    <w:rPr>
      <w:rFonts w:cs="Times New Roman"/>
      <w:bCs w:val="0"/>
      <w:spacing w:val="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E044FF"/>
    <w:pPr>
      <w:spacing w:line="360" w:lineRule="auto"/>
      <w:jc w:val="both"/>
    </w:pPr>
  </w:style>
  <w:style w:type="character" w:customStyle="1" w:styleId="TextoindependienteCar">
    <w:name w:val="Texto independiente Car"/>
    <w:basedOn w:val="Fuentedeprrafopredeter"/>
    <w:link w:val="Textoindependiente"/>
    <w:rsid w:val="00E044FF"/>
    <w:rPr>
      <w:rFonts w:cs="Times New Roman"/>
      <w:bCs w:val="0"/>
      <w:spacing w:val="0"/>
      <w:lang w:val="es-ES" w:eastAsia="es-ES"/>
    </w:rPr>
  </w:style>
  <w:style w:type="paragraph" w:styleId="Encabezado">
    <w:name w:val="header"/>
    <w:basedOn w:val="Normal"/>
    <w:link w:val="EncabezadoCar"/>
    <w:uiPriority w:val="99"/>
    <w:unhideWhenUsed/>
    <w:rsid w:val="00C661EE"/>
    <w:pPr>
      <w:tabs>
        <w:tab w:val="center" w:pos="4252"/>
        <w:tab w:val="right" w:pos="8504"/>
      </w:tabs>
    </w:pPr>
  </w:style>
  <w:style w:type="character" w:customStyle="1" w:styleId="EncabezadoCar">
    <w:name w:val="Encabezado Car"/>
    <w:basedOn w:val="Fuentedeprrafopredeter"/>
    <w:link w:val="Encabezado"/>
    <w:uiPriority w:val="99"/>
    <w:rsid w:val="00C661EE"/>
    <w:rPr>
      <w:rFonts w:cs="Times New Roman"/>
      <w:bCs w:val="0"/>
      <w:spacing w:val="0"/>
      <w:lang w:val="es-ES" w:eastAsia="es-ES"/>
    </w:rPr>
  </w:style>
  <w:style w:type="paragraph" w:styleId="Piedepgina">
    <w:name w:val="footer"/>
    <w:basedOn w:val="Normal"/>
    <w:link w:val="PiedepginaCar"/>
    <w:uiPriority w:val="99"/>
    <w:unhideWhenUsed/>
    <w:rsid w:val="00C661EE"/>
    <w:pPr>
      <w:tabs>
        <w:tab w:val="center" w:pos="4252"/>
        <w:tab w:val="right" w:pos="8504"/>
      </w:tabs>
    </w:pPr>
  </w:style>
  <w:style w:type="character" w:customStyle="1" w:styleId="PiedepginaCar">
    <w:name w:val="Pie de página Car"/>
    <w:basedOn w:val="Fuentedeprrafopredeter"/>
    <w:link w:val="Piedepgina"/>
    <w:uiPriority w:val="99"/>
    <w:rsid w:val="00C661EE"/>
    <w:rPr>
      <w:rFonts w:cs="Times New Roman"/>
      <w:bCs w:val="0"/>
      <w:spacing w:val="0"/>
      <w:lang w:val="es-ES" w:eastAsia="es-ES"/>
    </w:rPr>
  </w:style>
  <w:style w:type="paragraph" w:styleId="Textodeglobo">
    <w:name w:val="Balloon Text"/>
    <w:basedOn w:val="Normal"/>
    <w:link w:val="TextodegloboCar"/>
    <w:uiPriority w:val="99"/>
    <w:semiHidden/>
    <w:unhideWhenUsed/>
    <w:rsid w:val="00C97654"/>
    <w:rPr>
      <w:rFonts w:ascii="Tahoma" w:hAnsi="Tahoma" w:cs="Tahoma"/>
      <w:sz w:val="16"/>
      <w:szCs w:val="16"/>
    </w:rPr>
  </w:style>
  <w:style w:type="character" w:customStyle="1" w:styleId="TextodegloboCar">
    <w:name w:val="Texto de globo Car"/>
    <w:basedOn w:val="Fuentedeprrafopredeter"/>
    <w:link w:val="Textodeglobo"/>
    <w:uiPriority w:val="99"/>
    <w:semiHidden/>
    <w:rsid w:val="00C97654"/>
    <w:rPr>
      <w:rFonts w:ascii="Tahoma" w:hAnsi="Tahoma" w:cs="Tahoma"/>
      <w:bCs w:val="0"/>
      <w:spacing w:val="0"/>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bCs/>
        <w:spacing w:val="-3"/>
        <w:sz w:val="24"/>
        <w:szCs w:val="24"/>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4FF"/>
    <w:pPr>
      <w:spacing w:after="0" w:line="240" w:lineRule="auto"/>
    </w:pPr>
    <w:rPr>
      <w:rFonts w:cs="Times New Roman"/>
      <w:bCs w:val="0"/>
      <w:spacing w:val="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E044FF"/>
    <w:pPr>
      <w:spacing w:line="360" w:lineRule="auto"/>
      <w:jc w:val="both"/>
    </w:pPr>
  </w:style>
  <w:style w:type="character" w:customStyle="1" w:styleId="TextoindependienteCar">
    <w:name w:val="Texto independiente Car"/>
    <w:basedOn w:val="Fuentedeprrafopredeter"/>
    <w:link w:val="Textoindependiente"/>
    <w:rsid w:val="00E044FF"/>
    <w:rPr>
      <w:rFonts w:cs="Times New Roman"/>
      <w:bCs w:val="0"/>
      <w:spacing w:val="0"/>
      <w:lang w:val="es-ES" w:eastAsia="es-ES"/>
    </w:rPr>
  </w:style>
  <w:style w:type="paragraph" w:styleId="Encabezado">
    <w:name w:val="header"/>
    <w:basedOn w:val="Normal"/>
    <w:link w:val="EncabezadoCar"/>
    <w:uiPriority w:val="99"/>
    <w:unhideWhenUsed/>
    <w:rsid w:val="00C661EE"/>
    <w:pPr>
      <w:tabs>
        <w:tab w:val="center" w:pos="4252"/>
        <w:tab w:val="right" w:pos="8504"/>
      </w:tabs>
    </w:pPr>
  </w:style>
  <w:style w:type="character" w:customStyle="1" w:styleId="EncabezadoCar">
    <w:name w:val="Encabezado Car"/>
    <w:basedOn w:val="Fuentedeprrafopredeter"/>
    <w:link w:val="Encabezado"/>
    <w:uiPriority w:val="99"/>
    <w:rsid w:val="00C661EE"/>
    <w:rPr>
      <w:rFonts w:cs="Times New Roman"/>
      <w:bCs w:val="0"/>
      <w:spacing w:val="0"/>
      <w:lang w:val="es-ES" w:eastAsia="es-ES"/>
    </w:rPr>
  </w:style>
  <w:style w:type="paragraph" w:styleId="Piedepgina">
    <w:name w:val="footer"/>
    <w:basedOn w:val="Normal"/>
    <w:link w:val="PiedepginaCar"/>
    <w:uiPriority w:val="99"/>
    <w:unhideWhenUsed/>
    <w:rsid w:val="00C661EE"/>
    <w:pPr>
      <w:tabs>
        <w:tab w:val="center" w:pos="4252"/>
        <w:tab w:val="right" w:pos="8504"/>
      </w:tabs>
    </w:pPr>
  </w:style>
  <w:style w:type="character" w:customStyle="1" w:styleId="PiedepginaCar">
    <w:name w:val="Pie de página Car"/>
    <w:basedOn w:val="Fuentedeprrafopredeter"/>
    <w:link w:val="Piedepgina"/>
    <w:uiPriority w:val="99"/>
    <w:rsid w:val="00C661EE"/>
    <w:rPr>
      <w:rFonts w:cs="Times New Roman"/>
      <w:bCs w:val="0"/>
      <w:spacing w:val="0"/>
      <w:lang w:val="es-ES" w:eastAsia="es-ES"/>
    </w:rPr>
  </w:style>
  <w:style w:type="paragraph" w:styleId="Textodeglobo">
    <w:name w:val="Balloon Text"/>
    <w:basedOn w:val="Normal"/>
    <w:link w:val="TextodegloboCar"/>
    <w:uiPriority w:val="99"/>
    <w:semiHidden/>
    <w:unhideWhenUsed/>
    <w:rsid w:val="00C97654"/>
    <w:rPr>
      <w:rFonts w:ascii="Tahoma" w:hAnsi="Tahoma" w:cs="Tahoma"/>
      <w:sz w:val="16"/>
      <w:szCs w:val="16"/>
    </w:rPr>
  </w:style>
  <w:style w:type="character" w:customStyle="1" w:styleId="TextodegloboCar">
    <w:name w:val="Texto de globo Car"/>
    <w:basedOn w:val="Fuentedeprrafopredeter"/>
    <w:link w:val="Textodeglobo"/>
    <w:uiPriority w:val="99"/>
    <w:semiHidden/>
    <w:rsid w:val="00C97654"/>
    <w:rPr>
      <w:rFonts w:ascii="Tahoma" w:hAnsi="Tahoma" w:cs="Tahoma"/>
      <w:bCs w:val="0"/>
      <w:spacing w:val="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C0FC0-3B1E-4294-A790-641D0794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601</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2019-03-21T16:58:00Z</cp:lastPrinted>
  <dcterms:created xsi:type="dcterms:W3CDTF">2019-03-21T16:59:00Z</dcterms:created>
  <dcterms:modified xsi:type="dcterms:W3CDTF">2019-04-08T18:41:00Z</dcterms:modified>
</cp:coreProperties>
</file>