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32B" w:rsidRPr="003F3A3F" w:rsidRDefault="00EA732B" w:rsidP="00EA732B">
      <w:pPr>
        <w:tabs>
          <w:tab w:val="center" w:pos="4253"/>
        </w:tabs>
        <w:suppressAutoHyphens/>
        <w:spacing w:after="0" w:line="480" w:lineRule="auto"/>
        <w:jc w:val="right"/>
        <w:rPr>
          <w:rFonts w:ascii="Arial" w:hAnsi="Arial" w:cs="Arial"/>
          <w:b/>
          <w:sz w:val="28"/>
          <w:szCs w:val="28"/>
          <w:lang w:val="es-ES_tradnl"/>
        </w:rPr>
      </w:pPr>
      <w:bookmarkStart w:id="0" w:name="_GoBack"/>
      <w:bookmarkEnd w:id="0"/>
      <w:r w:rsidRPr="003F3A3F">
        <w:rPr>
          <w:rFonts w:ascii="Arial" w:hAnsi="Arial" w:cs="Arial"/>
          <w:b/>
          <w:sz w:val="28"/>
          <w:szCs w:val="28"/>
          <w:lang w:val="es-ES_tradnl"/>
        </w:rPr>
        <w:t xml:space="preserve">RES. </w:t>
      </w:r>
      <w:r>
        <w:rPr>
          <w:rFonts w:ascii="Arial" w:hAnsi="Arial" w:cs="Arial"/>
          <w:b/>
          <w:sz w:val="28"/>
          <w:szCs w:val="28"/>
          <w:lang w:val="es-ES_tradnl"/>
        </w:rPr>
        <w:t>755</w:t>
      </w:r>
      <w:r w:rsidRPr="003F3A3F">
        <w:rPr>
          <w:rFonts w:ascii="Arial" w:hAnsi="Arial" w:cs="Arial"/>
          <w:b/>
          <w:sz w:val="28"/>
          <w:szCs w:val="28"/>
          <w:lang w:val="es-ES_tradnl"/>
        </w:rPr>
        <w:t>/19</w:t>
      </w:r>
    </w:p>
    <w:p w:rsidR="00EA732B" w:rsidRPr="000F48AC" w:rsidRDefault="00EA732B" w:rsidP="00EA732B">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EA732B" w:rsidRPr="000F48AC" w:rsidRDefault="00EA732B" w:rsidP="00EA732B">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EA732B" w:rsidRPr="000F48AC" w:rsidRDefault="00EA732B" w:rsidP="00EA732B">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20</w:t>
      </w:r>
      <w:r w:rsidRPr="0058790E">
        <w:rPr>
          <w:rFonts w:ascii="Arial" w:hAnsi="Arial" w:cs="Arial"/>
          <w:b/>
          <w:sz w:val="24"/>
          <w:szCs w:val="24"/>
          <w:lang w:val="es-ES_tradnl"/>
        </w:rPr>
        <w:t xml:space="preserve"> </w:t>
      </w:r>
      <w:r w:rsidRPr="000F48AC">
        <w:rPr>
          <w:rFonts w:ascii="Arial" w:hAnsi="Arial" w:cs="Arial"/>
          <w:b/>
          <w:sz w:val="24"/>
          <w:szCs w:val="24"/>
          <w:lang w:val="es-ES_tradnl"/>
        </w:rPr>
        <w:t xml:space="preserve">DE </w:t>
      </w:r>
      <w:r>
        <w:rPr>
          <w:rFonts w:ascii="Arial" w:hAnsi="Arial" w:cs="Arial"/>
          <w:b/>
          <w:sz w:val="24"/>
          <w:szCs w:val="24"/>
          <w:lang w:val="es-ES_tradnl"/>
        </w:rPr>
        <w:t>MARZO DE 2019</w:t>
      </w:r>
    </w:p>
    <w:p w:rsidR="00EA732B" w:rsidRDefault="00EA732B" w:rsidP="00EA732B">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2018-17-1-0006120, </w:t>
      </w:r>
      <w:proofErr w:type="spellStart"/>
      <w:r>
        <w:rPr>
          <w:rFonts w:ascii="Arial" w:hAnsi="Arial" w:cs="Arial"/>
          <w:b/>
          <w:sz w:val="24"/>
          <w:szCs w:val="24"/>
        </w:rPr>
        <w:t>Ent</w:t>
      </w:r>
      <w:proofErr w:type="spellEnd"/>
      <w:r>
        <w:rPr>
          <w:rFonts w:ascii="Arial" w:hAnsi="Arial" w:cs="Arial"/>
          <w:b/>
          <w:sz w:val="24"/>
          <w:szCs w:val="24"/>
        </w:rPr>
        <w:t>. N° 0599/19</w:t>
      </w:r>
      <w:r w:rsidRPr="00BB4DEC">
        <w:rPr>
          <w:rFonts w:ascii="Arial" w:hAnsi="Arial" w:cs="Arial"/>
          <w:b/>
          <w:sz w:val="24"/>
          <w:szCs w:val="24"/>
        </w:rPr>
        <w:t>)</w:t>
      </w:r>
    </w:p>
    <w:p w:rsidR="00FA427D" w:rsidRDefault="00FA427D" w:rsidP="00EA732B">
      <w:pPr>
        <w:tabs>
          <w:tab w:val="center" w:pos="4253"/>
        </w:tabs>
        <w:suppressAutoHyphens/>
        <w:spacing w:after="0" w:line="360" w:lineRule="auto"/>
        <w:jc w:val="center"/>
        <w:rPr>
          <w:rFonts w:ascii="Arial" w:hAnsi="Arial" w:cs="Arial"/>
          <w:b/>
          <w:sz w:val="24"/>
          <w:szCs w:val="24"/>
        </w:rPr>
      </w:pPr>
    </w:p>
    <w:p w:rsidR="00DC321E" w:rsidRPr="00EA732B" w:rsidRDefault="00DC321E" w:rsidP="00EA732B">
      <w:pPr>
        <w:spacing w:after="0" w:line="360" w:lineRule="auto"/>
        <w:ind w:firstLine="851"/>
        <w:jc w:val="both"/>
        <w:rPr>
          <w:rFonts w:ascii="Arial" w:hAnsi="Arial" w:cs="Arial"/>
          <w:sz w:val="24"/>
          <w:szCs w:val="24"/>
        </w:rPr>
      </w:pPr>
      <w:r w:rsidRPr="00EA732B">
        <w:rPr>
          <w:rFonts w:ascii="Arial" w:hAnsi="Arial" w:cs="Arial"/>
          <w:b/>
          <w:sz w:val="24"/>
          <w:szCs w:val="24"/>
        </w:rPr>
        <w:t xml:space="preserve">VISTO: </w:t>
      </w:r>
      <w:r w:rsidR="002131EF" w:rsidRPr="00EA732B">
        <w:rPr>
          <w:rFonts w:ascii="Arial" w:hAnsi="Arial" w:cs="Arial"/>
          <w:sz w:val="24"/>
          <w:szCs w:val="24"/>
        </w:rPr>
        <w:t>las actuaciones remitidas por la Contadora Delegada en la Intendencia de Montevideo, relacionada con la</w:t>
      </w:r>
      <w:r w:rsidR="00991461" w:rsidRPr="00EA732B">
        <w:rPr>
          <w:rFonts w:ascii="Arial" w:hAnsi="Arial" w:cs="Arial"/>
          <w:sz w:val="24"/>
          <w:szCs w:val="24"/>
        </w:rPr>
        <w:t xml:space="preserve"> reiteración del gasto emergente de la </w:t>
      </w:r>
      <w:r w:rsidR="002131EF" w:rsidRPr="00EA732B">
        <w:rPr>
          <w:rFonts w:ascii="Arial" w:hAnsi="Arial" w:cs="Arial"/>
          <w:sz w:val="24"/>
          <w:szCs w:val="24"/>
        </w:rPr>
        <w:t xml:space="preserve">Licitación Pública N° 347219/1 </w:t>
      </w:r>
      <w:r w:rsidR="003035A1" w:rsidRPr="00EA732B">
        <w:rPr>
          <w:rFonts w:ascii="Arial" w:hAnsi="Arial" w:cs="Arial"/>
          <w:sz w:val="24"/>
          <w:szCs w:val="24"/>
        </w:rPr>
        <w:t xml:space="preserve">convocada </w:t>
      </w:r>
      <w:r w:rsidR="002131EF" w:rsidRPr="00EA732B">
        <w:rPr>
          <w:rFonts w:ascii="Arial" w:hAnsi="Arial" w:cs="Arial"/>
          <w:sz w:val="24"/>
          <w:szCs w:val="24"/>
        </w:rPr>
        <w:t xml:space="preserve">para </w:t>
      </w:r>
      <w:r w:rsidR="003035A1" w:rsidRPr="00EA732B">
        <w:rPr>
          <w:rFonts w:ascii="Arial" w:hAnsi="Arial" w:cs="Arial"/>
          <w:sz w:val="24"/>
          <w:szCs w:val="24"/>
        </w:rPr>
        <w:t xml:space="preserve">la </w:t>
      </w:r>
      <w:r w:rsidR="002131EF" w:rsidRPr="00EA732B">
        <w:rPr>
          <w:rFonts w:ascii="Arial" w:hAnsi="Arial" w:cs="Arial"/>
          <w:sz w:val="24"/>
          <w:szCs w:val="24"/>
        </w:rPr>
        <w:t>contratación de agencias o planificadores de medios</w:t>
      </w:r>
      <w:r w:rsidR="009C45F7" w:rsidRPr="00EA732B">
        <w:rPr>
          <w:rFonts w:ascii="Arial" w:hAnsi="Arial" w:cs="Arial"/>
          <w:sz w:val="24"/>
          <w:szCs w:val="24"/>
        </w:rPr>
        <w:t xml:space="preserve"> interesados en proveer la planificación, pauta, compra y monitoreo de los espacios de difusión de las distintas campañas de comunicación</w:t>
      </w:r>
      <w:r w:rsidR="00A236C1" w:rsidRPr="00EA732B">
        <w:rPr>
          <w:rFonts w:ascii="Arial" w:hAnsi="Arial" w:cs="Arial"/>
          <w:sz w:val="24"/>
          <w:szCs w:val="24"/>
        </w:rPr>
        <w:t xml:space="preserve"> de la Intendencia de Montevideo</w:t>
      </w:r>
      <w:r w:rsidR="00265108" w:rsidRPr="00EA732B">
        <w:rPr>
          <w:rFonts w:ascii="Arial" w:hAnsi="Arial" w:cs="Arial"/>
          <w:sz w:val="24"/>
          <w:szCs w:val="24"/>
        </w:rPr>
        <w:t>, por un plazo de hasta 2 años</w:t>
      </w:r>
      <w:r w:rsidR="002131EF" w:rsidRPr="00EA732B">
        <w:rPr>
          <w:rFonts w:ascii="Arial" w:hAnsi="Arial" w:cs="Arial"/>
          <w:sz w:val="24"/>
          <w:szCs w:val="24"/>
        </w:rPr>
        <w:t>;</w:t>
      </w:r>
    </w:p>
    <w:p w:rsidR="004D40B8" w:rsidRDefault="002131EF" w:rsidP="004D40B8">
      <w:pPr>
        <w:spacing w:after="0" w:line="360" w:lineRule="auto"/>
        <w:ind w:firstLine="851"/>
        <w:jc w:val="both"/>
        <w:rPr>
          <w:rFonts w:ascii="Arial" w:hAnsi="Arial" w:cs="Arial"/>
          <w:sz w:val="24"/>
          <w:szCs w:val="24"/>
        </w:rPr>
      </w:pPr>
      <w:r w:rsidRPr="00EA732B">
        <w:rPr>
          <w:rFonts w:ascii="Arial" w:hAnsi="Arial" w:cs="Arial"/>
          <w:b/>
          <w:sz w:val="24"/>
          <w:szCs w:val="24"/>
        </w:rPr>
        <w:t xml:space="preserve">RESULTANDO: 1) </w:t>
      </w:r>
      <w:r w:rsidRPr="00EA732B">
        <w:rPr>
          <w:rFonts w:ascii="Arial" w:hAnsi="Arial" w:cs="Arial"/>
          <w:sz w:val="24"/>
          <w:szCs w:val="24"/>
        </w:rPr>
        <w:t>que por Resolución N° 431/2018 de fecha 26.07.18, se dispuso autorizar el llamado a licitación y aprobar el Pliego Particular de Condiciones, autorizando la reducción de plazos al amparo de lo dispuesto por los Arts. 51 y 52 del TOCAF, por razones de urgencia</w:t>
      </w:r>
      <w:r w:rsidR="00423DD0" w:rsidRPr="00EA732B">
        <w:rPr>
          <w:rFonts w:ascii="Arial" w:hAnsi="Arial" w:cs="Arial"/>
          <w:sz w:val="24"/>
          <w:szCs w:val="24"/>
        </w:rPr>
        <w:t xml:space="preserve"> en el marco</w:t>
      </w:r>
      <w:r w:rsidR="00585A14" w:rsidRPr="00EA732B">
        <w:rPr>
          <w:rFonts w:ascii="Arial" w:hAnsi="Arial" w:cs="Arial"/>
          <w:sz w:val="24"/>
          <w:szCs w:val="24"/>
        </w:rPr>
        <w:t xml:space="preserve"> de la difusión de las campañas necesarias;</w:t>
      </w:r>
    </w:p>
    <w:p w:rsidR="00A236C1" w:rsidRPr="00EA732B" w:rsidRDefault="00910776" w:rsidP="004D40B8">
      <w:pPr>
        <w:spacing w:after="0" w:line="360" w:lineRule="auto"/>
        <w:ind w:firstLine="2694"/>
        <w:jc w:val="both"/>
        <w:rPr>
          <w:rFonts w:ascii="Arial" w:hAnsi="Arial" w:cs="Arial"/>
          <w:sz w:val="24"/>
          <w:szCs w:val="24"/>
        </w:rPr>
      </w:pPr>
      <w:r w:rsidRPr="00EA732B">
        <w:rPr>
          <w:rFonts w:ascii="Arial" w:hAnsi="Arial" w:cs="Arial"/>
          <w:b/>
          <w:sz w:val="24"/>
          <w:szCs w:val="24"/>
        </w:rPr>
        <w:t xml:space="preserve">2) </w:t>
      </w:r>
      <w:r w:rsidRPr="00EA732B">
        <w:rPr>
          <w:rFonts w:ascii="Arial" w:hAnsi="Arial" w:cs="Arial"/>
          <w:sz w:val="24"/>
          <w:szCs w:val="24"/>
        </w:rPr>
        <w:t>que</w:t>
      </w:r>
      <w:r w:rsidR="00A236C1" w:rsidRPr="00EA732B">
        <w:rPr>
          <w:rFonts w:ascii="Arial" w:hAnsi="Arial" w:cs="Arial"/>
          <w:sz w:val="24"/>
          <w:szCs w:val="24"/>
        </w:rPr>
        <w:t xml:space="preserve"> de acuerdo al Art. 13 del Pliego de Condiciones, los criterios de evaluación y comparación de ofertas son: antecedentes (15 puntos), formación y experiencia del equipo</w:t>
      </w:r>
      <w:r w:rsidR="004D40B8">
        <w:rPr>
          <w:rFonts w:ascii="Arial" w:hAnsi="Arial" w:cs="Arial"/>
          <w:sz w:val="24"/>
          <w:szCs w:val="24"/>
        </w:rPr>
        <w:t xml:space="preserve"> de trabajo asignado (15 puntos)</w:t>
      </w:r>
      <w:r w:rsidR="00A236C1" w:rsidRPr="00EA732B">
        <w:rPr>
          <w:rFonts w:ascii="Arial" w:hAnsi="Arial" w:cs="Arial"/>
          <w:sz w:val="24"/>
          <w:szCs w:val="24"/>
        </w:rPr>
        <w:t xml:space="preserve"> formación de los integrantes del equipo </w:t>
      </w:r>
      <w:r w:rsidR="004D40B8">
        <w:rPr>
          <w:rFonts w:ascii="Arial" w:hAnsi="Arial" w:cs="Arial"/>
          <w:sz w:val="24"/>
          <w:szCs w:val="24"/>
        </w:rPr>
        <w:t>(</w:t>
      </w:r>
      <w:r w:rsidR="00A236C1" w:rsidRPr="00EA732B">
        <w:rPr>
          <w:rFonts w:ascii="Arial" w:hAnsi="Arial" w:cs="Arial"/>
          <w:sz w:val="24"/>
          <w:szCs w:val="24"/>
        </w:rPr>
        <w:t>6 puntos</w:t>
      </w:r>
      <w:r w:rsidR="004D40B8">
        <w:rPr>
          <w:rFonts w:ascii="Arial" w:hAnsi="Arial" w:cs="Arial"/>
          <w:sz w:val="24"/>
          <w:szCs w:val="24"/>
        </w:rPr>
        <w:t>)</w:t>
      </w:r>
      <w:r w:rsidR="00A236C1" w:rsidRPr="00EA732B">
        <w:rPr>
          <w:rFonts w:ascii="Arial" w:hAnsi="Arial" w:cs="Arial"/>
          <w:sz w:val="24"/>
          <w:szCs w:val="24"/>
        </w:rPr>
        <w:t xml:space="preserve">, y experiencia en el área </w:t>
      </w:r>
      <w:r w:rsidR="004D40B8">
        <w:rPr>
          <w:rFonts w:ascii="Arial" w:hAnsi="Arial" w:cs="Arial"/>
          <w:sz w:val="24"/>
          <w:szCs w:val="24"/>
        </w:rPr>
        <w:t>(</w:t>
      </w:r>
      <w:r w:rsidR="00A236C1" w:rsidRPr="00EA732B">
        <w:rPr>
          <w:rFonts w:ascii="Arial" w:hAnsi="Arial" w:cs="Arial"/>
          <w:sz w:val="24"/>
          <w:szCs w:val="24"/>
        </w:rPr>
        <w:t>9 puntos), propuesta técnica (70 puntos</w:t>
      </w:r>
      <w:r w:rsidR="004D40B8">
        <w:rPr>
          <w:rFonts w:ascii="Arial" w:hAnsi="Arial" w:cs="Arial"/>
          <w:sz w:val="24"/>
          <w:szCs w:val="24"/>
        </w:rPr>
        <w:t>)</w:t>
      </w:r>
      <w:r w:rsidR="00A236C1" w:rsidRPr="00EA732B">
        <w:rPr>
          <w:rFonts w:ascii="Arial" w:hAnsi="Arial" w:cs="Arial"/>
          <w:sz w:val="24"/>
          <w:szCs w:val="24"/>
        </w:rPr>
        <w:t xml:space="preserve"> estrategia de medios, efectividad</w:t>
      </w:r>
      <w:r w:rsidR="004D40B8">
        <w:rPr>
          <w:rFonts w:ascii="Arial" w:hAnsi="Arial" w:cs="Arial"/>
          <w:sz w:val="24"/>
          <w:szCs w:val="24"/>
        </w:rPr>
        <w:t xml:space="preserve"> </w:t>
      </w:r>
      <w:r w:rsidR="00A236C1" w:rsidRPr="00EA732B">
        <w:rPr>
          <w:rFonts w:ascii="Arial" w:hAnsi="Arial" w:cs="Arial"/>
          <w:sz w:val="24"/>
          <w:szCs w:val="24"/>
        </w:rPr>
        <w:t xml:space="preserve">- mayor cobertura de la campaña </w:t>
      </w:r>
      <w:r w:rsidR="004D40B8">
        <w:rPr>
          <w:rFonts w:ascii="Arial" w:hAnsi="Arial" w:cs="Arial"/>
          <w:sz w:val="24"/>
          <w:szCs w:val="24"/>
        </w:rPr>
        <w:t>(</w:t>
      </w:r>
      <w:r w:rsidR="00A236C1" w:rsidRPr="00EA732B">
        <w:rPr>
          <w:rFonts w:ascii="Arial" w:hAnsi="Arial" w:cs="Arial"/>
          <w:sz w:val="24"/>
          <w:szCs w:val="24"/>
        </w:rPr>
        <w:t>25 puntos</w:t>
      </w:r>
      <w:r w:rsidR="004D40B8">
        <w:rPr>
          <w:rFonts w:ascii="Arial" w:hAnsi="Arial" w:cs="Arial"/>
          <w:sz w:val="24"/>
          <w:szCs w:val="24"/>
        </w:rPr>
        <w:t>)</w:t>
      </w:r>
      <w:r w:rsidR="00A236C1" w:rsidRPr="00EA732B">
        <w:rPr>
          <w:rFonts w:ascii="Arial" w:hAnsi="Arial" w:cs="Arial"/>
          <w:sz w:val="24"/>
          <w:szCs w:val="24"/>
        </w:rPr>
        <w:t>, eficiencia</w:t>
      </w:r>
      <w:r w:rsidR="004D40B8">
        <w:rPr>
          <w:rFonts w:ascii="Arial" w:hAnsi="Arial" w:cs="Arial"/>
          <w:sz w:val="24"/>
          <w:szCs w:val="24"/>
        </w:rPr>
        <w:t xml:space="preserve">        -mejor relación costo-</w:t>
      </w:r>
      <w:r w:rsidR="00A236C1" w:rsidRPr="00EA732B">
        <w:rPr>
          <w:rFonts w:ascii="Arial" w:hAnsi="Arial" w:cs="Arial"/>
          <w:sz w:val="24"/>
          <w:szCs w:val="24"/>
        </w:rPr>
        <w:t xml:space="preserve"> </w:t>
      </w:r>
      <w:r w:rsidR="004D40B8">
        <w:rPr>
          <w:rFonts w:ascii="Arial" w:hAnsi="Arial" w:cs="Arial"/>
          <w:sz w:val="24"/>
          <w:szCs w:val="24"/>
        </w:rPr>
        <w:t>(</w:t>
      </w:r>
      <w:r w:rsidR="00A236C1" w:rsidRPr="00EA732B">
        <w:rPr>
          <w:rFonts w:ascii="Arial" w:hAnsi="Arial" w:cs="Arial"/>
          <w:sz w:val="24"/>
          <w:szCs w:val="24"/>
        </w:rPr>
        <w:t>25 puntos</w:t>
      </w:r>
      <w:r w:rsidR="004D40B8">
        <w:rPr>
          <w:rFonts w:ascii="Arial" w:hAnsi="Arial" w:cs="Arial"/>
          <w:sz w:val="24"/>
          <w:szCs w:val="24"/>
        </w:rPr>
        <w:t>)</w:t>
      </w:r>
      <w:r w:rsidR="00A236C1" w:rsidRPr="00EA732B">
        <w:rPr>
          <w:rFonts w:ascii="Arial" w:hAnsi="Arial" w:cs="Arial"/>
          <w:sz w:val="24"/>
          <w:szCs w:val="24"/>
        </w:rPr>
        <w:t>, impacto y pertinencia</w:t>
      </w:r>
      <w:r w:rsidR="00524FAB">
        <w:rPr>
          <w:rFonts w:ascii="Arial" w:hAnsi="Arial" w:cs="Arial"/>
          <w:sz w:val="24"/>
          <w:szCs w:val="24"/>
        </w:rPr>
        <w:t xml:space="preserve"> -</w:t>
      </w:r>
      <w:r w:rsidR="00A236C1" w:rsidRPr="00EA732B">
        <w:rPr>
          <w:rFonts w:ascii="Arial" w:hAnsi="Arial" w:cs="Arial"/>
          <w:sz w:val="24"/>
          <w:szCs w:val="24"/>
        </w:rPr>
        <w:t>alineación de los medios propuestos con los objetivos de campaña-</w:t>
      </w:r>
      <w:r w:rsidR="004D40B8">
        <w:rPr>
          <w:rFonts w:ascii="Arial" w:hAnsi="Arial" w:cs="Arial"/>
          <w:sz w:val="24"/>
          <w:szCs w:val="24"/>
        </w:rPr>
        <w:t xml:space="preserve"> </w:t>
      </w:r>
      <w:r w:rsidR="00A236C1" w:rsidRPr="00EA732B">
        <w:rPr>
          <w:rFonts w:ascii="Arial" w:hAnsi="Arial" w:cs="Arial"/>
          <w:sz w:val="24"/>
          <w:szCs w:val="24"/>
        </w:rPr>
        <w:t xml:space="preserve"> </w:t>
      </w:r>
      <w:r w:rsidR="004D40B8">
        <w:rPr>
          <w:rFonts w:ascii="Arial" w:hAnsi="Arial" w:cs="Arial"/>
          <w:sz w:val="24"/>
          <w:szCs w:val="24"/>
        </w:rPr>
        <w:t>(</w:t>
      </w:r>
      <w:r w:rsidR="00A236C1" w:rsidRPr="00EA732B">
        <w:rPr>
          <w:rFonts w:ascii="Arial" w:hAnsi="Arial" w:cs="Arial"/>
          <w:sz w:val="24"/>
          <w:szCs w:val="24"/>
        </w:rPr>
        <w:t xml:space="preserve">20 puntos). Se asignará a la propuesta que cumpla mejor con las especificaciones solicitadas el puntaje máximo correspondiente a ese concepto. Se asignarán a las restantes </w:t>
      </w:r>
      <w:r w:rsidR="00A236C1" w:rsidRPr="00EA732B">
        <w:rPr>
          <w:rFonts w:ascii="Arial" w:hAnsi="Arial" w:cs="Arial"/>
          <w:sz w:val="24"/>
          <w:szCs w:val="24"/>
        </w:rPr>
        <w:lastRenderedPageBreak/>
        <w:t>propuestas puntajes proporcionales a sus méritos en relación con la propuesta que reciba el puntaje máximo, (total 100 puntos);</w:t>
      </w:r>
    </w:p>
    <w:p w:rsidR="00211150" w:rsidRDefault="00A236C1" w:rsidP="00211150">
      <w:pPr>
        <w:spacing w:after="0" w:line="360" w:lineRule="auto"/>
        <w:ind w:firstLine="2694"/>
        <w:jc w:val="both"/>
        <w:rPr>
          <w:rFonts w:ascii="Arial" w:hAnsi="Arial" w:cs="Arial"/>
          <w:sz w:val="24"/>
          <w:szCs w:val="24"/>
        </w:rPr>
      </w:pPr>
      <w:r w:rsidRPr="00EA732B">
        <w:rPr>
          <w:rFonts w:ascii="Arial" w:hAnsi="Arial" w:cs="Arial"/>
          <w:b/>
          <w:sz w:val="24"/>
          <w:szCs w:val="24"/>
        </w:rPr>
        <w:t xml:space="preserve">3) </w:t>
      </w:r>
      <w:r w:rsidR="006A3600" w:rsidRPr="00EA732B">
        <w:rPr>
          <w:rFonts w:ascii="Arial" w:hAnsi="Arial" w:cs="Arial"/>
          <w:sz w:val="24"/>
          <w:szCs w:val="24"/>
        </w:rPr>
        <w:t>que</w:t>
      </w:r>
      <w:r w:rsidR="00C741F6" w:rsidRPr="00EA732B">
        <w:rPr>
          <w:rFonts w:ascii="Arial" w:hAnsi="Arial" w:cs="Arial"/>
          <w:sz w:val="24"/>
          <w:szCs w:val="24"/>
        </w:rPr>
        <w:t xml:space="preserve"> por Resolución N° 4320 de fecha 20.09.18, el Intendente de Montevideo, resolvió adjudicar ad referéndum de la intervención de este Tribunal, la presente licitación a la empresa </w:t>
      </w:r>
      <w:r w:rsidR="00585A14" w:rsidRPr="00EA732B">
        <w:rPr>
          <w:rFonts w:ascii="Arial" w:hAnsi="Arial" w:cs="Arial"/>
          <w:sz w:val="24"/>
          <w:szCs w:val="24"/>
        </w:rPr>
        <w:t>720 MEDIOS</w:t>
      </w:r>
      <w:r w:rsidR="00C741F6" w:rsidRPr="00EA732B">
        <w:rPr>
          <w:rFonts w:ascii="Arial" w:hAnsi="Arial" w:cs="Arial"/>
          <w:sz w:val="24"/>
          <w:szCs w:val="24"/>
        </w:rPr>
        <w:t xml:space="preserve"> SRL, en un todo de acuerdo a lo estipulado en el Pliego de Condiciones por</w:t>
      </w:r>
      <w:r w:rsidR="00211150">
        <w:rPr>
          <w:rFonts w:ascii="Arial" w:hAnsi="Arial" w:cs="Arial"/>
          <w:sz w:val="24"/>
          <w:szCs w:val="24"/>
        </w:rPr>
        <w:t xml:space="preserve"> la suma total de $ 16:800.000, i</w:t>
      </w:r>
      <w:r w:rsidR="00C741F6" w:rsidRPr="00EA732B">
        <w:rPr>
          <w:rFonts w:ascii="Arial" w:hAnsi="Arial" w:cs="Arial"/>
          <w:sz w:val="24"/>
          <w:szCs w:val="24"/>
        </w:rPr>
        <w:t>mpuestos incluidos;</w:t>
      </w:r>
    </w:p>
    <w:p w:rsidR="00211150" w:rsidRDefault="006A3600" w:rsidP="00211150">
      <w:pPr>
        <w:spacing w:after="0" w:line="360" w:lineRule="auto"/>
        <w:ind w:firstLine="2694"/>
        <w:jc w:val="both"/>
        <w:rPr>
          <w:rFonts w:ascii="Arial" w:hAnsi="Arial" w:cs="Arial"/>
          <w:sz w:val="24"/>
          <w:szCs w:val="24"/>
        </w:rPr>
      </w:pPr>
      <w:r w:rsidRPr="00EA732B">
        <w:rPr>
          <w:rFonts w:ascii="Arial" w:hAnsi="Arial" w:cs="Arial"/>
          <w:b/>
          <w:sz w:val="24"/>
          <w:szCs w:val="24"/>
        </w:rPr>
        <w:t xml:space="preserve">4) </w:t>
      </w:r>
      <w:r w:rsidR="00211CED" w:rsidRPr="00EA732B">
        <w:rPr>
          <w:rFonts w:ascii="Arial" w:hAnsi="Arial" w:cs="Arial"/>
          <w:sz w:val="24"/>
          <w:szCs w:val="24"/>
        </w:rPr>
        <w:t xml:space="preserve">que este Tribunal, en sesión de fecha 24/10/2018 adoptó la Resolución </w:t>
      </w:r>
      <w:r w:rsidR="00F03D15" w:rsidRPr="00EA732B">
        <w:rPr>
          <w:rFonts w:ascii="Arial" w:hAnsi="Arial" w:cs="Arial"/>
          <w:sz w:val="24"/>
          <w:szCs w:val="24"/>
        </w:rPr>
        <w:t xml:space="preserve">3327/18 </w:t>
      </w:r>
      <w:r w:rsidR="00211CED" w:rsidRPr="00EA732B">
        <w:rPr>
          <w:rFonts w:ascii="Arial" w:hAnsi="Arial" w:cs="Arial"/>
          <w:sz w:val="24"/>
          <w:szCs w:val="24"/>
        </w:rPr>
        <w:t>por la que se observó el gasto de $ 16:800.000 por apartamiento del Art. 48 literal C) del TOCAF, en virtud de que si bien el Pliego</w:t>
      </w:r>
      <w:r w:rsidR="00C4482B" w:rsidRPr="00EA732B">
        <w:rPr>
          <w:rFonts w:ascii="Arial" w:hAnsi="Arial" w:cs="Arial"/>
          <w:sz w:val="24"/>
          <w:szCs w:val="24"/>
        </w:rPr>
        <w:t xml:space="preserve"> establece puntajes en los factores de ponderación</w:t>
      </w:r>
      <w:r w:rsidR="00585A14" w:rsidRPr="00EA732B">
        <w:rPr>
          <w:rFonts w:ascii="Arial" w:hAnsi="Arial" w:cs="Arial"/>
          <w:sz w:val="24"/>
          <w:szCs w:val="24"/>
        </w:rPr>
        <w:t xml:space="preserve"> solo se indican máximos</w:t>
      </w:r>
      <w:r w:rsidR="00C4482B" w:rsidRPr="00EA732B">
        <w:rPr>
          <w:rFonts w:ascii="Arial" w:hAnsi="Arial" w:cs="Arial"/>
          <w:sz w:val="24"/>
          <w:szCs w:val="24"/>
        </w:rPr>
        <w:t>, no se establecen criterios para la asignación de</w:t>
      </w:r>
      <w:r w:rsidR="00211CED" w:rsidRPr="00EA732B">
        <w:rPr>
          <w:rFonts w:ascii="Arial" w:hAnsi="Arial" w:cs="Arial"/>
          <w:sz w:val="24"/>
          <w:szCs w:val="24"/>
        </w:rPr>
        <w:t xml:space="preserve"> los mismos</w:t>
      </w:r>
      <w:r w:rsidR="00C4482B" w:rsidRPr="00EA732B">
        <w:rPr>
          <w:rFonts w:ascii="Arial" w:hAnsi="Arial" w:cs="Arial"/>
          <w:sz w:val="24"/>
          <w:szCs w:val="24"/>
        </w:rPr>
        <w:t xml:space="preserve"> dentro de cada factor, </w:t>
      </w:r>
      <w:r w:rsidR="00585A14" w:rsidRPr="00EA732B">
        <w:rPr>
          <w:rFonts w:ascii="Arial" w:hAnsi="Arial" w:cs="Arial"/>
          <w:sz w:val="24"/>
          <w:szCs w:val="24"/>
        </w:rPr>
        <w:t>y</w:t>
      </w:r>
      <w:r w:rsidR="00211CED" w:rsidRPr="00EA732B">
        <w:rPr>
          <w:rFonts w:ascii="Arial" w:hAnsi="Arial" w:cs="Arial"/>
          <w:sz w:val="24"/>
          <w:szCs w:val="24"/>
        </w:rPr>
        <w:t xml:space="preserve"> por carecer de disponibilidad el rubro de imputación</w:t>
      </w:r>
      <w:r w:rsidR="002121CE" w:rsidRPr="00EA732B">
        <w:rPr>
          <w:rFonts w:ascii="Arial" w:hAnsi="Arial" w:cs="Arial"/>
          <w:sz w:val="24"/>
          <w:szCs w:val="24"/>
        </w:rPr>
        <w:t xml:space="preserve"> (Art. 15 del TOCAF);</w:t>
      </w:r>
    </w:p>
    <w:p w:rsidR="00F03D15" w:rsidRPr="00EA732B" w:rsidRDefault="00211CED" w:rsidP="00211150">
      <w:pPr>
        <w:spacing w:after="0" w:line="360" w:lineRule="auto"/>
        <w:ind w:firstLine="2694"/>
        <w:jc w:val="both"/>
        <w:rPr>
          <w:rFonts w:ascii="Arial" w:hAnsi="Arial" w:cs="Arial"/>
          <w:sz w:val="24"/>
          <w:szCs w:val="24"/>
        </w:rPr>
      </w:pPr>
      <w:r w:rsidRPr="00EA732B">
        <w:rPr>
          <w:rFonts w:ascii="Arial" w:hAnsi="Arial" w:cs="Arial"/>
          <w:b/>
          <w:sz w:val="24"/>
          <w:szCs w:val="24"/>
        </w:rPr>
        <w:t xml:space="preserve">5) </w:t>
      </w:r>
      <w:r w:rsidRPr="00EA732B">
        <w:rPr>
          <w:rFonts w:ascii="Arial" w:hAnsi="Arial" w:cs="Arial"/>
          <w:sz w:val="24"/>
          <w:szCs w:val="24"/>
        </w:rPr>
        <w:t>que por Resolución N° 5401 de 20/11/2018 el Intendente reitera el gasto indicando que no se comparte la observación por apartamiento del Art. 48 “ya que se establecieron los principales factores y sus ponderaciones y que la autorización por parte de Ejecución Presupuestal de imputación al déficit</w:t>
      </w:r>
      <w:r w:rsidR="00602F86" w:rsidRPr="00EA732B">
        <w:rPr>
          <w:rFonts w:ascii="Arial" w:hAnsi="Arial" w:cs="Arial"/>
          <w:sz w:val="24"/>
          <w:szCs w:val="24"/>
        </w:rPr>
        <w:t xml:space="preserve"> </w:t>
      </w:r>
      <w:r w:rsidR="00E43785" w:rsidRPr="00EA732B">
        <w:rPr>
          <w:rFonts w:ascii="Arial" w:hAnsi="Arial" w:cs="Arial"/>
          <w:sz w:val="24"/>
          <w:szCs w:val="24"/>
        </w:rPr>
        <w:t>mantiene el equilibrio presupuestal</w:t>
      </w:r>
      <w:r w:rsidR="00F03D15" w:rsidRPr="00EA732B">
        <w:rPr>
          <w:rFonts w:ascii="Arial" w:hAnsi="Arial" w:cs="Arial"/>
          <w:sz w:val="24"/>
          <w:szCs w:val="24"/>
        </w:rPr>
        <w:t>”;</w:t>
      </w:r>
    </w:p>
    <w:p w:rsidR="00E43785" w:rsidRPr="00EA732B" w:rsidRDefault="00E43785" w:rsidP="00211150">
      <w:pPr>
        <w:spacing w:after="0" w:line="360" w:lineRule="auto"/>
        <w:ind w:firstLine="851"/>
        <w:jc w:val="both"/>
        <w:rPr>
          <w:rFonts w:ascii="Arial" w:hAnsi="Arial" w:cs="Arial"/>
          <w:sz w:val="24"/>
          <w:szCs w:val="24"/>
        </w:rPr>
      </w:pPr>
      <w:r w:rsidRPr="00EA732B">
        <w:rPr>
          <w:rFonts w:ascii="Arial" w:eastAsia="Times New Roman" w:hAnsi="Arial" w:cs="Arial"/>
          <w:b/>
          <w:bCs/>
          <w:color w:val="000000"/>
          <w:sz w:val="24"/>
          <w:szCs w:val="24"/>
          <w:lang w:val="es-ES" w:eastAsia="es-ES"/>
        </w:rPr>
        <w:t>CONSIDERANDO</w:t>
      </w:r>
      <w:r w:rsidRPr="00EA732B">
        <w:rPr>
          <w:rFonts w:ascii="Arial" w:eastAsia="Times New Roman" w:hAnsi="Arial" w:cs="Arial"/>
          <w:b/>
          <w:bCs/>
          <w:sz w:val="24"/>
          <w:szCs w:val="24"/>
          <w:lang w:eastAsia="es-ES"/>
        </w:rPr>
        <w:t xml:space="preserve">: 1) </w:t>
      </w:r>
      <w:r w:rsidRPr="00EA732B">
        <w:rPr>
          <w:rFonts w:ascii="Arial" w:eastAsia="Times New Roman" w:hAnsi="Arial" w:cs="Arial"/>
          <w:bCs/>
          <w:sz w:val="24"/>
          <w:szCs w:val="24"/>
          <w:lang w:val="es-MX" w:eastAsia="es-ES"/>
        </w:rPr>
        <w:t>que el Artículo 475 de l</w:t>
      </w:r>
      <w:r w:rsidR="00DA3FCB">
        <w:rPr>
          <w:rFonts w:ascii="Arial" w:eastAsia="Times New Roman" w:hAnsi="Arial" w:cs="Arial"/>
          <w:bCs/>
          <w:sz w:val="24"/>
          <w:szCs w:val="24"/>
          <w:lang w:val="es-MX" w:eastAsia="es-ES"/>
        </w:rPr>
        <w:t>a Ley 17.296 establece que los o</w:t>
      </w:r>
      <w:r w:rsidRPr="00EA732B">
        <w:rPr>
          <w:rFonts w:ascii="Arial" w:eastAsia="Times New Roman" w:hAnsi="Arial" w:cs="Arial"/>
          <w:bCs/>
          <w:sz w:val="24"/>
          <w:szCs w:val="24"/>
          <w:lang w:val="es-MX" w:eastAsia="es-ES"/>
        </w:rPr>
        <w:t>rdenadores de gastos y pagos, al ejercer la facultad de insistencia o reiteración que les acuerda el Literal B) del Artículo 211 de la Constitución de la República, deben hacerlo en forma fundada,  expresando de manera detallada los motivos que justifican a su juicio segu</w:t>
      </w:r>
      <w:r w:rsidR="00FA427D">
        <w:rPr>
          <w:rFonts w:ascii="Arial" w:eastAsia="Times New Roman" w:hAnsi="Arial" w:cs="Arial"/>
          <w:bCs/>
          <w:sz w:val="24"/>
          <w:szCs w:val="24"/>
          <w:lang w:val="es-MX" w:eastAsia="es-ES"/>
        </w:rPr>
        <w:t>ir el curso del gasto del pago;</w:t>
      </w:r>
    </w:p>
    <w:p w:rsidR="00E43785" w:rsidRPr="00EA732B" w:rsidRDefault="00FA427D" w:rsidP="00211150">
      <w:pPr>
        <w:spacing w:after="0" w:line="360" w:lineRule="auto"/>
        <w:ind w:firstLine="2977"/>
        <w:jc w:val="both"/>
        <w:rPr>
          <w:rFonts w:ascii="Arial" w:eastAsia="Times New Roman" w:hAnsi="Arial" w:cs="Arial"/>
          <w:sz w:val="24"/>
          <w:szCs w:val="24"/>
          <w:lang w:eastAsia="es-ES"/>
        </w:rPr>
      </w:pPr>
      <w:r>
        <w:rPr>
          <w:rFonts w:ascii="Arial" w:eastAsia="Times New Roman" w:hAnsi="Arial" w:cs="Arial"/>
          <w:b/>
          <w:sz w:val="24"/>
          <w:szCs w:val="24"/>
          <w:lang w:val="es-MX" w:eastAsia="es-ES"/>
        </w:rPr>
        <w:t xml:space="preserve"> </w:t>
      </w:r>
      <w:r w:rsidR="00E43785" w:rsidRPr="00EA732B">
        <w:rPr>
          <w:rFonts w:ascii="Arial" w:eastAsia="Times New Roman" w:hAnsi="Arial" w:cs="Arial"/>
          <w:b/>
          <w:sz w:val="24"/>
          <w:szCs w:val="24"/>
          <w:lang w:val="es-MX" w:eastAsia="es-ES"/>
        </w:rPr>
        <w:t xml:space="preserve">2) </w:t>
      </w:r>
      <w:r w:rsidR="00E43785" w:rsidRPr="00EA732B">
        <w:rPr>
          <w:rFonts w:ascii="Arial" w:eastAsia="Times New Roman" w:hAnsi="Arial" w:cs="Arial"/>
          <w:sz w:val="24"/>
          <w:szCs w:val="24"/>
          <w:lang w:eastAsia="es-ES"/>
        </w:rPr>
        <w:t>que la argumentación</w:t>
      </w:r>
      <w:r w:rsidR="00DA3FCB">
        <w:rPr>
          <w:rFonts w:ascii="Arial" w:eastAsia="Times New Roman" w:hAnsi="Arial" w:cs="Arial"/>
          <w:sz w:val="24"/>
          <w:szCs w:val="24"/>
          <w:lang w:eastAsia="es-ES"/>
        </w:rPr>
        <w:t xml:space="preserve"> esgrimida</w:t>
      </w:r>
      <w:r w:rsidR="00211150">
        <w:rPr>
          <w:rFonts w:ascii="Arial" w:eastAsia="Times New Roman" w:hAnsi="Arial" w:cs="Arial"/>
          <w:sz w:val="24"/>
          <w:szCs w:val="24"/>
          <w:lang w:eastAsia="es-ES"/>
        </w:rPr>
        <w:t xml:space="preserve"> </w:t>
      </w:r>
      <w:r w:rsidR="00DA3FCB">
        <w:rPr>
          <w:rFonts w:ascii="Arial" w:eastAsia="Times New Roman" w:hAnsi="Arial" w:cs="Arial"/>
          <w:sz w:val="24"/>
          <w:szCs w:val="24"/>
          <w:lang w:eastAsia="es-ES"/>
        </w:rPr>
        <w:t>por</w:t>
      </w:r>
      <w:r w:rsidR="00211150">
        <w:rPr>
          <w:rFonts w:ascii="Arial" w:eastAsia="Times New Roman" w:hAnsi="Arial" w:cs="Arial"/>
          <w:sz w:val="24"/>
          <w:szCs w:val="24"/>
          <w:lang w:eastAsia="es-ES"/>
        </w:rPr>
        <w:t xml:space="preserve"> </w:t>
      </w:r>
      <w:r w:rsidR="00E43785" w:rsidRPr="00EA732B">
        <w:rPr>
          <w:rFonts w:ascii="Arial" w:eastAsia="Times New Roman" w:hAnsi="Arial" w:cs="Arial"/>
          <w:sz w:val="24"/>
          <w:szCs w:val="24"/>
          <w:lang w:eastAsia="es-ES"/>
        </w:rPr>
        <w:t>la Intendencia, no enerva los fundamentos de derecho que dieran mot</w:t>
      </w:r>
      <w:r w:rsidR="00F03D15" w:rsidRPr="00EA732B">
        <w:rPr>
          <w:rFonts w:ascii="Arial" w:eastAsia="Times New Roman" w:hAnsi="Arial" w:cs="Arial"/>
          <w:sz w:val="24"/>
          <w:szCs w:val="24"/>
          <w:lang w:eastAsia="es-ES"/>
        </w:rPr>
        <w:t>ivo a la observación del gasto;</w:t>
      </w:r>
    </w:p>
    <w:p w:rsidR="00E43785" w:rsidRPr="00EA732B" w:rsidRDefault="00E43785" w:rsidP="00211150">
      <w:pPr>
        <w:spacing w:after="0" w:line="360" w:lineRule="auto"/>
        <w:ind w:firstLine="851"/>
        <w:jc w:val="both"/>
        <w:rPr>
          <w:rFonts w:ascii="Arial" w:eastAsia="Times New Roman" w:hAnsi="Arial" w:cs="Arial"/>
          <w:sz w:val="24"/>
          <w:szCs w:val="24"/>
          <w:lang w:eastAsia="es-ES"/>
        </w:rPr>
      </w:pPr>
      <w:r w:rsidRPr="00EA732B">
        <w:rPr>
          <w:rFonts w:ascii="Arial" w:eastAsia="Times New Roman" w:hAnsi="Arial" w:cs="Arial"/>
          <w:b/>
          <w:bCs/>
          <w:sz w:val="24"/>
          <w:szCs w:val="24"/>
          <w:lang w:eastAsia="es-ES"/>
        </w:rPr>
        <w:t>ATENTO:</w:t>
      </w:r>
      <w:r w:rsidR="00211150">
        <w:rPr>
          <w:rFonts w:ascii="Arial" w:eastAsia="Times New Roman" w:hAnsi="Arial" w:cs="Arial"/>
          <w:sz w:val="24"/>
          <w:szCs w:val="24"/>
          <w:lang w:eastAsia="es-ES"/>
        </w:rPr>
        <w:t xml:space="preserve"> a lo expresado</w:t>
      </w:r>
      <w:r w:rsidRPr="00EA732B">
        <w:rPr>
          <w:rFonts w:ascii="Arial" w:eastAsia="Times New Roman" w:hAnsi="Arial" w:cs="Arial"/>
          <w:sz w:val="24"/>
          <w:szCs w:val="24"/>
          <w:lang w:eastAsia="es-ES"/>
        </w:rPr>
        <w:t xml:space="preserve"> y a lo dispuesto en el art. 211 literal B) de la Constitución de la República;</w:t>
      </w:r>
    </w:p>
    <w:p w:rsidR="00211150" w:rsidRDefault="00211150" w:rsidP="00EA732B">
      <w:pPr>
        <w:spacing w:after="0" w:line="360" w:lineRule="auto"/>
        <w:jc w:val="center"/>
        <w:rPr>
          <w:rFonts w:ascii="Arial" w:eastAsia="Times New Roman" w:hAnsi="Arial" w:cs="Arial"/>
          <w:b/>
          <w:bCs/>
          <w:sz w:val="24"/>
          <w:szCs w:val="24"/>
          <w:lang w:eastAsia="es-ES"/>
        </w:rPr>
      </w:pPr>
    </w:p>
    <w:p w:rsidR="00E43785" w:rsidRPr="00EA732B" w:rsidRDefault="00E43785" w:rsidP="00EA732B">
      <w:pPr>
        <w:spacing w:after="0" w:line="360" w:lineRule="auto"/>
        <w:jc w:val="center"/>
        <w:rPr>
          <w:rFonts w:ascii="Arial" w:eastAsia="Times New Roman" w:hAnsi="Arial" w:cs="Arial"/>
          <w:b/>
          <w:bCs/>
          <w:sz w:val="24"/>
          <w:szCs w:val="24"/>
          <w:lang w:val="es-MX" w:eastAsia="es-ES"/>
        </w:rPr>
      </w:pPr>
      <w:r w:rsidRPr="00EA732B">
        <w:rPr>
          <w:rFonts w:ascii="Arial" w:eastAsia="Times New Roman" w:hAnsi="Arial" w:cs="Arial"/>
          <w:b/>
          <w:bCs/>
          <w:sz w:val="24"/>
          <w:szCs w:val="24"/>
          <w:lang w:val="es-MX" w:eastAsia="es-ES"/>
        </w:rPr>
        <w:t>EL TRIBUNAL ACUERDA</w:t>
      </w:r>
    </w:p>
    <w:p w:rsidR="00E43785" w:rsidRPr="00EA732B" w:rsidRDefault="00211150" w:rsidP="00DA3FCB">
      <w:pPr>
        <w:spacing w:after="0" w:line="360" w:lineRule="auto"/>
        <w:jc w:val="both"/>
        <w:rPr>
          <w:rFonts w:ascii="Arial" w:eastAsia="Times New Roman" w:hAnsi="Arial" w:cs="Arial"/>
          <w:sz w:val="24"/>
          <w:szCs w:val="24"/>
          <w:lang w:eastAsia="es-ES"/>
        </w:rPr>
      </w:pPr>
      <w:r w:rsidRPr="00211150">
        <w:rPr>
          <w:rFonts w:ascii="Arial" w:eastAsia="Times New Roman" w:hAnsi="Arial" w:cs="Arial"/>
          <w:b/>
          <w:sz w:val="24"/>
          <w:szCs w:val="24"/>
          <w:lang w:val="es-MX" w:eastAsia="es-ES"/>
        </w:rPr>
        <w:t>1)</w:t>
      </w:r>
      <w:r>
        <w:rPr>
          <w:rFonts w:ascii="Arial" w:eastAsia="Times New Roman" w:hAnsi="Arial" w:cs="Arial"/>
          <w:sz w:val="24"/>
          <w:szCs w:val="24"/>
          <w:lang w:val="es-MX" w:eastAsia="es-ES"/>
        </w:rPr>
        <w:t xml:space="preserve"> </w:t>
      </w:r>
      <w:r w:rsidR="00E43785" w:rsidRPr="00EA732B">
        <w:rPr>
          <w:rFonts w:ascii="Arial" w:eastAsia="Times New Roman" w:hAnsi="Arial" w:cs="Arial"/>
          <w:sz w:val="24"/>
          <w:szCs w:val="24"/>
          <w:lang w:eastAsia="es-ES"/>
        </w:rPr>
        <w:t>Manten</w:t>
      </w:r>
      <w:r w:rsidR="00F03D15" w:rsidRPr="00EA732B">
        <w:rPr>
          <w:rFonts w:ascii="Arial" w:eastAsia="Times New Roman" w:hAnsi="Arial" w:cs="Arial"/>
          <w:sz w:val="24"/>
          <w:szCs w:val="24"/>
          <w:lang w:eastAsia="es-ES"/>
        </w:rPr>
        <w:t xml:space="preserve">er la observación formulada por Resolución Nº 3327/18 de </w:t>
      </w:r>
      <w:r w:rsidR="00E43785" w:rsidRPr="00EA732B">
        <w:rPr>
          <w:rFonts w:ascii="Arial" w:eastAsia="Times New Roman" w:hAnsi="Arial" w:cs="Arial"/>
          <w:sz w:val="24"/>
          <w:szCs w:val="24"/>
          <w:lang w:eastAsia="es-ES"/>
        </w:rPr>
        <w:t>fecha 24/10/2018;</w:t>
      </w:r>
    </w:p>
    <w:p w:rsidR="00E43785" w:rsidRPr="00EA732B" w:rsidRDefault="00211150" w:rsidP="00DA3FCB">
      <w:pPr>
        <w:spacing w:after="0" w:line="360" w:lineRule="auto"/>
        <w:jc w:val="both"/>
        <w:rPr>
          <w:rFonts w:ascii="Arial" w:eastAsia="Times New Roman" w:hAnsi="Arial" w:cs="Arial"/>
          <w:sz w:val="24"/>
          <w:szCs w:val="24"/>
          <w:lang w:eastAsia="es-ES"/>
        </w:rPr>
      </w:pPr>
      <w:r w:rsidRPr="00211150">
        <w:rPr>
          <w:rFonts w:ascii="Arial" w:eastAsia="Times New Roman" w:hAnsi="Arial" w:cs="Arial"/>
          <w:b/>
          <w:sz w:val="24"/>
          <w:szCs w:val="24"/>
          <w:lang w:eastAsia="es-ES"/>
        </w:rPr>
        <w:t>2)</w:t>
      </w:r>
      <w:r>
        <w:rPr>
          <w:rFonts w:ascii="Arial" w:eastAsia="Times New Roman" w:hAnsi="Arial" w:cs="Arial"/>
          <w:sz w:val="24"/>
          <w:szCs w:val="24"/>
          <w:lang w:eastAsia="es-ES"/>
        </w:rPr>
        <w:t xml:space="preserve"> </w:t>
      </w:r>
      <w:r w:rsidR="00E43785" w:rsidRPr="00EA732B">
        <w:rPr>
          <w:rFonts w:ascii="Arial" w:eastAsia="Times New Roman" w:hAnsi="Arial" w:cs="Arial"/>
          <w:sz w:val="24"/>
          <w:szCs w:val="24"/>
          <w:lang w:eastAsia="es-ES"/>
        </w:rPr>
        <w:t>Comunicar a la Contadora Delegada;</w:t>
      </w:r>
    </w:p>
    <w:p w:rsidR="00E43785" w:rsidRPr="00EA732B" w:rsidRDefault="00211150" w:rsidP="00DA3FCB">
      <w:pPr>
        <w:spacing w:after="0" w:line="360" w:lineRule="auto"/>
        <w:jc w:val="both"/>
        <w:rPr>
          <w:rFonts w:ascii="Arial" w:eastAsia="Times New Roman" w:hAnsi="Arial" w:cs="Arial"/>
          <w:sz w:val="24"/>
          <w:szCs w:val="24"/>
          <w:lang w:eastAsia="es-ES"/>
        </w:rPr>
      </w:pPr>
      <w:r w:rsidRPr="00211150">
        <w:rPr>
          <w:rFonts w:ascii="Arial" w:eastAsia="Times New Roman" w:hAnsi="Arial" w:cs="Arial"/>
          <w:b/>
          <w:sz w:val="24"/>
          <w:szCs w:val="24"/>
          <w:lang w:eastAsia="es-ES"/>
        </w:rPr>
        <w:t>3)</w:t>
      </w:r>
      <w:r>
        <w:rPr>
          <w:rFonts w:ascii="Arial" w:eastAsia="Times New Roman" w:hAnsi="Arial" w:cs="Arial"/>
          <w:sz w:val="24"/>
          <w:szCs w:val="24"/>
          <w:lang w:eastAsia="es-ES"/>
        </w:rPr>
        <w:t xml:space="preserve"> </w:t>
      </w:r>
      <w:r w:rsidR="00E43785" w:rsidRPr="00EA732B">
        <w:rPr>
          <w:rFonts w:ascii="Arial" w:eastAsia="Times New Roman" w:hAnsi="Arial" w:cs="Arial"/>
          <w:sz w:val="24"/>
          <w:szCs w:val="24"/>
          <w:lang w:eastAsia="es-ES"/>
        </w:rPr>
        <w:t>Dar cuenta a la Junta Departamental de Montevideo; y</w:t>
      </w:r>
    </w:p>
    <w:p w:rsidR="00E43785" w:rsidRPr="00EA732B" w:rsidRDefault="00211150" w:rsidP="00DA3FCB">
      <w:pPr>
        <w:spacing w:after="0" w:line="360" w:lineRule="auto"/>
        <w:jc w:val="both"/>
        <w:rPr>
          <w:rFonts w:ascii="Arial" w:eastAsia="Times New Roman" w:hAnsi="Arial" w:cs="Arial"/>
          <w:sz w:val="24"/>
          <w:szCs w:val="24"/>
          <w:lang w:eastAsia="es-ES"/>
        </w:rPr>
      </w:pPr>
      <w:r w:rsidRPr="00211150">
        <w:rPr>
          <w:rFonts w:ascii="Arial" w:eastAsia="Times New Roman" w:hAnsi="Arial" w:cs="Arial"/>
          <w:b/>
          <w:sz w:val="24"/>
          <w:szCs w:val="24"/>
          <w:lang w:eastAsia="es-ES"/>
        </w:rPr>
        <w:t>4)</w:t>
      </w:r>
      <w:r>
        <w:rPr>
          <w:rFonts w:ascii="Arial" w:eastAsia="Times New Roman" w:hAnsi="Arial" w:cs="Arial"/>
          <w:sz w:val="24"/>
          <w:szCs w:val="24"/>
          <w:lang w:eastAsia="es-ES"/>
        </w:rPr>
        <w:t xml:space="preserve"> </w:t>
      </w:r>
      <w:r w:rsidR="00E43785" w:rsidRPr="00EA732B">
        <w:rPr>
          <w:rFonts w:ascii="Arial" w:eastAsia="Times New Roman" w:hAnsi="Arial" w:cs="Arial"/>
          <w:sz w:val="24"/>
          <w:szCs w:val="24"/>
          <w:lang w:eastAsia="es-ES"/>
        </w:rPr>
        <w:t>Oficiar a la Intendencia de Montevideo.</w:t>
      </w:r>
    </w:p>
    <w:p w:rsidR="00E43785" w:rsidRPr="00EA732B" w:rsidRDefault="00E43785" w:rsidP="00DA3FCB">
      <w:pPr>
        <w:spacing w:after="0" w:line="360" w:lineRule="auto"/>
        <w:jc w:val="both"/>
        <w:rPr>
          <w:rFonts w:ascii="Arial" w:eastAsia="Times New Roman" w:hAnsi="Arial" w:cs="Arial"/>
          <w:sz w:val="24"/>
          <w:szCs w:val="24"/>
          <w:lang w:eastAsia="es-ES"/>
        </w:rPr>
      </w:pPr>
      <w:r w:rsidRPr="00EA732B">
        <w:rPr>
          <w:rFonts w:ascii="Arial" w:eastAsia="Times New Roman" w:hAnsi="Arial" w:cs="Arial"/>
          <w:sz w:val="24"/>
          <w:szCs w:val="24"/>
          <w:lang w:eastAsia="es-ES"/>
        </w:rPr>
        <w:t xml:space="preserve">     </w:t>
      </w:r>
    </w:p>
    <w:p w:rsidR="006C2703" w:rsidRDefault="006C2703" w:rsidP="00DA3FCB">
      <w:pPr>
        <w:spacing w:after="0" w:line="360" w:lineRule="auto"/>
        <w:rPr>
          <w:rFonts w:ascii="Arial" w:hAnsi="Arial" w:cs="Arial"/>
          <w:sz w:val="24"/>
          <w:szCs w:val="24"/>
        </w:rPr>
      </w:pPr>
    </w:p>
    <w:p w:rsidR="006C2703" w:rsidRDefault="006C2703" w:rsidP="00DA3FCB">
      <w:pPr>
        <w:spacing w:after="0" w:line="360" w:lineRule="auto"/>
        <w:rPr>
          <w:rFonts w:ascii="Arial" w:hAnsi="Arial" w:cs="Arial"/>
          <w:sz w:val="24"/>
          <w:szCs w:val="24"/>
        </w:rPr>
      </w:pPr>
    </w:p>
    <w:p w:rsidR="006C2703" w:rsidRDefault="006C2703" w:rsidP="00DA3FCB">
      <w:pPr>
        <w:spacing w:after="0" w:line="360" w:lineRule="auto"/>
        <w:rPr>
          <w:rFonts w:ascii="Arial" w:hAnsi="Arial" w:cs="Arial"/>
          <w:sz w:val="24"/>
          <w:szCs w:val="24"/>
        </w:rPr>
      </w:pPr>
    </w:p>
    <w:p w:rsidR="00DA3FCB" w:rsidRDefault="00DA3FCB" w:rsidP="00DA3FCB">
      <w:pPr>
        <w:spacing w:after="0" w:line="360" w:lineRule="auto"/>
        <w:rPr>
          <w:rFonts w:ascii="Arial" w:hAnsi="Arial" w:cs="Arial"/>
          <w:sz w:val="24"/>
          <w:szCs w:val="24"/>
        </w:rPr>
      </w:pPr>
    </w:p>
    <w:p w:rsidR="00E60CBD" w:rsidRDefault="00E60CBD" w:rsidP="00DA3FCB">
      <w:pPr>
        <w:spacing w:after="0" w:line="360" w:lineRule="auto"/>
        <w:rPr>
          <w:rFonts w:ascii="Arial" w:hAnsi="Arial" w:cs="Arial"/>
          <w:sz w:val="24"/>
          <w:szCs w:val="24"/>
        </w:rPr>
      </w:pPr>
    </w:p>
    <w:p w:rsidR="00DA3FCB" w:rsidRDefault="00DA3FCB" w:rsidP="00DA3FCB">
      <w:pPr>
        <w:spacing w:after="0" w:line="360" w:lineRule="auto"/>
        <w:rPr>
          <w:rFonts w:ascii="Arial" w:hAnsi="Arial" w:cs="Arial"/>
          <w:sz w:val="24"/>
          <w:szCs w:val="24"/>
        </w:rPr>
      </w:pPr>
    </w:p>
    <w:p w:rsidR="00DA3FCB" w:rsidRDefault="00DA3FCB" w:rsidP="00DA3FCB">
      <w:pPr>
        <w:spacing w:after="0" w:line="360" w:lineRule="auto"/>
        <w:rPr>
          <w:rFonts w:ascii="Arial" w:hAnsi="Arial" w:cs="Arial"/>
          <w:sz w:val="24"/>
          <w:szCs w:val="24"/>
        </w:rPr>
      </w:pPr>
    </w:p>
    <w:p w:rsidR="00DA3FCB" w:rsidRDefault="00DA3FCB" w:rsidP="00DA3FCB">
      <w:pPr>
        <w:spacing w:after="0" w:line="360" w:lineRule="auto"/>
        <w:rPr>
          <w:rFonts w:ascii="Arial" w:hAnsi="Arial" w:cs="Arial"/>
          <w:sz w:val="24"/>
          <w:szCs w:val="24"/>
        </w:rPr>
      </w:pPr>
    </w:p>
    <w:p w:rsidR="00DA3FCB" w:rsidRDefault="00DA3FCB" w:rsidP="00DA3FCB">
      <w:pPr>
        <w:spacing w:after="0" w:line="360" w:lineRule="auto"/>
        <w:jc w:val="both"/>
        <w:rPr>
          <w:rFonts w:ascii="Arial" w:eastAsia="Times New Roman" w:hAnsi="Arial" w:cs="Arial"/>
          <w:bCs/>
          <w:sz w:val="24"/>
          <w:szCs w:val="24"/>
          <w:lang w:val="es-MX" w:eastAsia="es-ES"/>
        </w:rPr>
      </w:pPr>
      <w:r>
        <w:rPr>
          <w:rFonts w:ascii="Arial" w:hAnsi="Arial" w:cs="Arial"/>
          <w:b/>
          <w:sz w:val="24"/>
          <w:szCs w:val="24"/>
        </w:rPr>
        <w:t>CONSTANCIA DE FUNDAMENTO DE VOTO DISCORDE DEL MINISTRO</w:t>
      </w:r>
      <w:r>
        <w:rPr>
          <w:rFonts w:ascii="Arial" w:hAnsi="Arial" w:cs="Arial"/>
          <w:sz w:val="24"/>
          <w:szCs w:val="24"/>
        </w:rPr>
        <w:t xml:space="preserve">               </w:t>
      </w:r>
      <w:r>
        <w:rPr>
          <w:rFonts w:ascii="Arial" w:hAnsi="Arial" w:cs="Arial"/>
          <w:b/>
          <w:sz w:val="24"/>
          <w:szCs w:val="24"/>
        </w:rPr>
        <w:t xml:space="preserve">ING. MIGUEL AUMENTO: </w:t>
      </w:r>
      <w:r w:rsidRPr="00DA3FCB">
        <w:rPr>
          <w:rFonts w:ascii="Arial" w:eastAsia="Times New Roman" w:hAnsi="Arial" w:cs="Arial"/>
          <w:bCs/>
          <w:sz w:val="24"/>
          <w:szCs w:val="24"/>
          <w:lang w:val="es-MX" w:eastAsia="es-ES"/>
        </w:rPr>
        <w:t>“He votado en forma discorde la Resolución recaída en este expediente, en tanto mantengo íntegramente mi posición, sustentada en Sesión del 24 de octubre de 2018.</w:t>
      </w:r>
      <w:r>
        <w:rPr>
          <w:rFonts w:ascii="Arial" w:eastAsia="Times New Roman" w:hAnsi="Arial" w:cs="Arial"/>
          <w:bCs/>
          <w:sz w:val="24"/>
          <w:szCs w:val="24"/>
          <w:lang w:val="es-MX" w:eastAsia="es-ES"/>
        </w:rPr>
        <w:t>”</w:t>
      </w:r>
    </w:p>
    <w:p w:rsidR="00DA3FCB" w:rsidRDefault="00DA3FCB" w:rsidP="00DA3FCB">
      <w:pPr>
        <w:spacing w:after="0" w:line="360" w:lineRule="auto"/>
        <w:jc w:val="both"/>
        <w:rPr>
          <w:rFonts w:ascii="Arial" w:eastAsia="Times New Roman" w:hAnsi="Arial" w:cs="Arial"/>
          <w:bCs/>
          <w:sz w:val="24"/>
          <w:szCs w:val="24"/>
          <w:lang w:val="es-MX" w:eastAsia="es-ES"/>
        </w:rPr>
      </w:pPr>
    </w:p>
    <w:p w:rsidR="001157E4" w:rsidRPr="001157E4" w:rsidRDefault="00DA3FCB" w:rsidP="00A93527">
      <w:pPr>
        <w:spacing w:after="0" w:line="360" w:lineRule="auto"/>
        <w:ind w:right="-1"/>
        <w:jc w:val="both"/>
        <w:rPr>
          <w:rFonts w:ascii="Arial" w:hAnsi="Arial" w:cs="Arial"/>
          <w:sz w:val="24"/>
        </w:rPr>
      </w:pPr>
      <w:r w:rsidRPr="001157E4">
        <w:rPr>
          <w:rFonts w:ascii="Arial" w:hAnsi="Arial" w:cs="Arial"/>
          <w:b/>
          <w:sz w:val="24"/>
          <w:szCs w:val="24"/>
        </w:rPr>
        <w:t xml:space="preserve">CONSTANCIA DE FUNDAMENTO DE VOTO DISCORDE DEL MINISTRO CR. ENRIQUE CABRERA: </w:t>
      </w:r>
      <w:r w:rsidRPr="001157E4">
        <w:rPr>
          <w:rFonts w:ascii="Arial" w:hAnsi="Arial" w:cs="Arial"/>
          <w:sz w:val="24"/>
          <w:szCs w:val="24"/>
        </w:rPr>
        <w:t>“</w:t>
      </w:r>
      <w:r w:rsidR="001157E4" w:rsidRPr="001157E4">
        <w:rPr>
          <w:rFonts w:ascii="Arial" w:hAnsi="Arial" w:cs="Arial"/>
          <w:sz w:val="24"/>
        </w:rPr>
        <w:t>He concluido que no corresponde la causal de observación formulada por el Tribunal de Cuentas en la medida que en su considerando 1</w:t>
      </w:r>
      <w:r w:rsidR="00A93527">
        <w:rPr>
          <w:rFonts w:ascii="Arial" w:hAnsi="Arial" w:cs="Arial"/>
          <w:sz w:val="24"/>
        </w:rPr>
        <w:t xml:space="preserve"> se hace referencia </w:t>
      </w:r>
      <w:r w:rsidR="001157E4" w:rsidRPr="001157E4">
        <w:rPr>
          <w:rFonts w:ascii="Arial" w:hAnsi="Arial" w:cs="Arial"/>
          <w:sz w:val="24"/>
        </w:rPr>
        <w:t>a la observac</w:t>
      </w:r>
      <w:r w:rsidR="00E60CBD">
        <w:rPr>
          <w:rFonts w:ascii="Arial" w:hAnsi="Arial" w:cs="Arial"/>
          <w:sz w:val="24"/>
        </w:rPr>
        <w:t>ión</w:t>
      </w:r>
      <w:r w:rsidR="001157E4" w:rsidRPr="001157E4">
        <w:rPr>
          <w:rFonts w:ascii="Arial" w:hAnsi="Arial" w:cs="Arial"/>
          <w:sz w:val="24"/>
        </w:rPr>
        <w:t xml:space="preserve"> del procedimiento realizada en la Resolución N°3327/18 sesión del 24//10/2018 (Resultando 4 de esta resolución).</w:t>
      </w:r>
    </w:p>
    <w:p w:rsidR="00E60CBD" w:rsidRDefault="001157E4" w:rsidP="00A93527">
      <w:pPr>
        <w:spacing w:after="0" w:line="360" w:lineRule="auto"/>
        <w:ind w:right="-1"/>
        <w:jc w:val="both"/>
        <w:rPr>
          <w:rFonts w:ascii="Arial" w:hAnsi="Arial" w:cs="Arial"/>
          <w:sz w:val="24"/>
        </w:rPr>
      </w:pPr>
      <w:r w:rsidRPr="001157E4">
        <w:rPr>
          <w:rFonts w:ascii="Arial" w:hAnsi="Arial" w:cs="Arial"/>
          <w:sz w:val="24"/>
        </w:rPr>
        <w:t>Que en la resolución N°3327/18 del 24/10/2018 se observa por contravenir lo dispues</w:t>
      </w:r>
      <w:r>
        <w:rPr>
          <w:rFonts w:ascii="Arial" w:hAnsi="Arial" w:cs="Arial"/>
          <w:sz w:val="24"/>
        </w:rPr>
        <w:t>to en al artículo 48 Literal C,</w:t>
      </w:r>
      <w:r w:rsidRPr="001157E4">
        <w:rPr>
          <w:rFonts w:ascii="Arial" w:hAnsi="Arial" w:cs="Arial"/>
          <w:sz w:val="24"/>
        </w:rPr>
        <w:t xml:space="preserve"> posición sustentada con la cual muestro mi discordia.</w:t>
      </w:r>
    </w:p>
    <w:p w:rsidR="00E60CBD" w:rsidRDefault="00E60CBD" w:rsidP="00A93527">
      <w:pPr>
        <w:spacing w:after="0" w:line="360" w:lineRule="auto"/>
        <w:ind w:right="-1"/>
        <w:jc w:val="both"/>
        <w:rPr>
          <w:rFonts w:ascii="Arial" w:hAnsi="Arial" w:cs="Arial"/>
          <w:sz w:val="24"/>
        </w:rPr>
      </w:pPr>
    </w:p>
    <w:p w:rsidR="001157E4" w:rsidRDefault="001157E4" w:rsidP="00A93527">
      <w:pPr>
        <w:spacing w:after="0" w:line="360" w:lineRule="auto"/>
        <w:ind w:right="-1"/>
        <w:jc w:val="both"/>
        <w:rPr>
          <w:rFonts w:ascii="Arial" w:eastAsia="Times New Roman" w:hAnsi="Arial" w:cs="Arial"/>
          <w:sz w:val="24"/>
        </w:rPr>
      </w:pPr>
      <w:r w:rsidRPr="001157E4">
        <w:rPr>
          <w:rFonts w:ascii="Arial" w:hAnsi="Arial" w:cs="Arial"/>
          <w:sz w:val="24"/>
        </w:rPr>
        <w:t>Fundamentación</w:t>
      </w:r>
    </w:p>
    <w:p w:rsidR="001157E4" w:rsidRPr="001157E4" w:rsidRDefault="001157E4" w:rsidP="00A93527">
      <w:pPr>
        <w:spacing w:after="0" w:line="360" w:lineRule="auto"/>
        <w:ind w:right="-1"/>
        <w:jc w:val="both"/>
        <w:rPr>
          <w:rFonts w:ascii="Arial" w:eastAsia="Times New Roman" w:hAnsi="Arial" w:cs="Arial"/>
          <w:sz w:val="24"/>
        </w:rPr>
      </w:pPr>
      <w:r w:rsidRPr="001157E4">
        <w:rPr>
          <w:rFonts w:ascii="Arial" w:eastAsia="Times New Roman" w:hAnsi="Arial" w:cs="Arial"/>
          <w:sz w:val="24"/>
        </w:rPr>
        <w:t xml:space="preserve">Para la misma cito textualmente la fundamentación realizada  por el </w:t>
      </w:r>
      <w:r>
        <w:rPr>
          <w:rFonts w:ascii="Arial" w:eastAsia="Times New Roman" w:hAnsi="Arial" w:cs="Arial"/>
          <w:sz w:val="24"/>
        </w:rPr>
        <w:t xml:space="preserve">Ministro Miguel </w:t>
      </w:r>
      <w:r w:rsidRPr="001157E4">
        <w:rPr>
          <w:rFonts w:ascii="Arial" w:eastAsia="Times New Roman" w:hAnsi="Arial" w:cs="Arial"/>
          <w:sz w:val="24"/>
        </w:rPr>
        <w:t xml:space="preserve">Aumento para el </w:t>
      </w:r>
      <w:r w:rsidRPr="001157E4">
        <w:rPr>
          <w:rFonts w:ascii="Arial" w:hAnsi="Arial" w:cs="Arial"/>
          <w:b/>
          <w:sz w:val="24"/>
        </w:rPr>
        <w:t xml:space="preserve">Asunto 1-1-2 Sesión Ordinaria del 10 de enero de 2018  </w:t>
      </w:r>
      <w:r w:rsidRPr="001157E4">
        <w:rPr>
          <w:rFonts w:ascii="Arial" w:hAnsi="Arial" w:cs="Arial"/>
          <w:sz w:val="24"/>
        </w:rPr>
        <w:t>por tratarse de un asunto similar.</w:t>
      </w:r>
    </w:p>
    <w:p w:rsidR="001157E4" w:rsidRPr="001157E4" w:rsidRDefault="001157E4" w:rsidP="00A93527">
      <w:pPr>
        <w:spacing w:after="0" w:line="360" w:lineRule="auto"/>
        <w:ind w:right="-1"/>
        <w:jc w:val="both"/>
        <w:rPr>
          <w:rFonts w:ascii="Arial" w:hAnsi="Arial" w:cs="Arial"/>
          <w:sz w:val="24"/>
        </w:rPr>
      </w:pPr>
      <w:r w:rsidRPr="001157E4">
        <w:rPr>
          <w:rFonts w:ascii="Arial" w:hAnsi="Arial" w:cs="Arial"/>
          <w:sz w:val="24"/>
        </w:rPr>
        <w:t xml:space="preserve">“La cuestión aquí es dirimir el grado de previsibilidad pretendido por el Legislador para la determinación de la calificación de ofertas, </w:t>
      </w:r>
      <w:r w:rsidRPr="001157E4">
        <w:rPr>
          <w:rFonts w:ascii="Arial" w:hAnsi="Arial" w:cs="Arial"/>
          <w:sz w:val="24"/>
          <w:u w:val="single"/>
        </w:rPr>
        <w:t>al momento de confeccionarse</w:t>
      </w:r>
      <w:r w:rsidRPr="001157E4">
        <w:rPr>
          <w:rFonts w:ascii="Arial" w:hAnsi="Arial" w:cs="Arial"/>
          <w:sz w:val="24"/>
        </w:rPr>
        <w:t xml:space="preserve"> </w:t>
      </w:r>
      <w:r w:rsidRPr="001157E4">
        <w:rPr>
          <w:rFonts w:ascii="Arial" w:hAnsi="Arial" w:cs="Arial"/>
          <w:sz w:val="24"/>
          <w:u w:val="single"/>
        </w:rPr>
        <w:t>el pliego</w:t>
      </w:r>
      <w:r w:rsidRPr="001157E4">
        <w:rPr>
          <w:rFonts w:ascii="Arial" w:hAnsi="Arial" w:cs="Arial"/>
          <w:sz w:val="24"/>
        </w:rPr>
        <w:t>.</w:t>
      </w:r>
    </w:p>
    <w:p w:rsidR="001157E4" w:rsidRPr="001157E4" w:rsidRDefault="001157E4" w:rsidP="00A93527">
      <w:pPr>
        <w:spacing w:after="0" w:line="360" w:lineRule="auto"/>
        <w:ind w:right="-1"/>
        <w:jc w:val="both"/>
        <w:rPr>
          <w:rFonts w:ascii="Arial" w:hAnsi="Arial" w:cs="Arial"/>
          <w:sz w:val="24"/>
        </w:rPr>
      </w:pPr>
      <w:r w:rsidRPr="001157E4">
        <w:rPr>
          <w:rFonts w:ascii="Arial" w:hAnsi="Arial" w:cs="Arial"/>
          <w:sz w:val="24"/>
        </w:rPr>
        <w:t>No comparto que se haya vulnerado el Artículo 48 del TOCAF, dado que la Administración actuante estableció los principales factores (a su propio juicio) y sus respectivas ponderaciones (pesos relativos) tal como preceptúa dicha norma, como obligación de mínima. A mi entender, la necesidad de determinar los criterios de asignación de puntajes dentro de cada factor no está indicada (ni para los factores cuantitativos ni mucho menos para los cualitativos, en su caso), efectuándose dentro de los parámetros de discrecionalidad reglada y sana crítica de la Comisión Asesora de Adjudicaciones y en última instancia del Ordenador.</w:t>
      </w:r>
    </w:p>
    <w:p w:rsidR="001157E4" w:rsidRPr="001157E4" w:rsidRDefault="001157E4" w:rsidP="00A93527">
      <w:pPr>
        <w:spacing w:after="0" w:line="360" w:lineRule="auto"/>
        <w:ind w:right="-1"/>
        <w:jc w:val="both"/>
        <w:rPr>
          <w:rFonts w:ascii="Arial" w:hAnsi="Arial" w:cs="Arial"/>
          <w:sz w:val="24"/>
        </w:rPr>
      </w:pPr>
      <w:r w:rsidRPr="001157E4">
        <w:rPr>
          <w:rFonts w:ascii="Arial" w:hAnsi="Arial" w:cs="Arial"/>
          <w:sz w:val="24"/>
        </w:rPr>
        <w:t xml:space="preserve">De forma adicional, no se puede soslayar que la redacción dada contiene la expresión “principales factores”. En mi opinión, se reduce así la posibilidad interpretativa de que exista también la obligación de determinar la distribución de los puntajes en cada factor, </w:t>
      </w:r>
      <w:r w:rsidRPr="001157E4">
        <w:rPr>
          <w:rFonts w:ascii="Arial" w:hAnsi="Arial" w:cs="Arial"/>
          <w:sz w:val="24"/>
          <w:u w:val="single"/>
        </w:rPr>
        <w:t>si es que ello -como es el caso- no está consagrado a texto expreso</w:t>
      </w:r>
      <w:r w:rsidRPr="001157E4">
        <w:rPr>
          <w:rFonts w:ascii="Arial" w:hAnsi="Arial" w:cs="Arial"/>
          <w:sz w:val="24"/>
        </w:rPr>
        <w:t>; dado que además está sujeto a la posibilidad de la Administración circunscribir la definición de factores a los considerados como principales (para luego establecer sus respectivos pesos relativos).</w:t>
      </w:r>
    </w:p>
    <w:p w:rsidR="001157E4" w:rsidRPr="001157E4" w:rsidRDefault="001157E4" w:rsidP="00A93527">
      <w:pPr>
        <w:spacing w:after="0" w:line="360" w:lineRule="auto"/>
        <w:ind w:right="-1"/>
        <w:jc w:val="both"/>
        <w:rPr>
          <w:rFonts w:ascii="Arial" w:hAnsi="Arial" w:cs="Arial"/>
          <w:sz w:val="24"/>
        </w:rPr>
      </w:pPr>
      <w:r w:rsidRPr="001157E4">
        <w:rPr>
          <w:rFonts w:ascii="Arial" w:hAnsi="Arial" w:cs="Arial"/>
          <w:sz w:val="24"/>
        </w:rPr>
        <w:t xml:space="preserve">En la misma línea, dicha expresión no podría referir a </w:t>
      </w:r>
      <w:r w:rsidRPr="001157E4">
        <w:rPr>
          <w:rFonts w:ascii="Arial" w:hAnsi="Arial" w:cs="Arial"/>
          <w:sz w:val="24"/>
          <w:u w:val="single"/>
        </w:rPr>
        <w:t>todo factor</w:t>
      </w:r>
      <w:r w:rsidRPr="001157E4">
        <w:rPr>
          <w:rFonts w:ascii="Arial" w:hAnsi="Arial" w:cs="Arial"/>
          <w:sz w:val="24"/>
        </w:rPr>
        <w:t xml:space="preserve"> del primer nivel (fáctico y potencial) </w:t>
      </w:r>
      <w:r w:rsidRPr="001157E4">
        <w:rPr>
          <w:rFonts w:ascii="Arial" w:hAnsi="Arial" w:cs="Arial"/>
          <w:sz w:val="24"/>
          <w:u w:val="single"/>
        </w:rPr>
        <w:t>sin que incluya</w:t>
      </w:r>
      <w:r w:rsidRPr="001157E4">
        <w:rPr>
          <w:rFonts w:ascii="Arial" w:hAnsi="Arial" w:cs="Arial"/>
          <w:sz w:val="24"/>
        </w:rPr>
        <w:t xml:space="preserve"> a sub-factores de aquel que lo pudiera contener, dado que dichos sub-factores resultan imprescindibles para arribar al pretendido grado de previsibilidad en la calificación de ofertas (asignando puntajes dentro de cada sub-factor). Entonces, resultaría aún más difícil concluir que la expresión “principales factores” incluye a todo factor del eventual árbol jerárquico, dado que la facultad discrecional ya señalada sigue en pie.</w:t>
      </w:r>
    </w:p>
    <w:p w:rsidR="001157E4" w:rsidRPr="001157E4" w:rsidRDefault="001157E4" w:rsidP="00A93527">
      <w:pPr>
        <w:spacing w:after="0" w:line="360" w:lineRule="auto"/>
        <w:ind w:right="-1"/>
        <w:jc w:val="both"/>
        <w:rPr>
          <w:rFonts w:ascii="Arial" w:hAnsi="Arial" w:cs="Arial"/>
          <w:sz w:val="24"/>
        </w:rPr>
      </w:pPr>
      <w:r w:rsidRPr="001157E4">
        <w:rPr>
          <w:rFonts w:ascii="Arial" w:hAnsi="Arial" w:cs="Arial"/>
          <w:sz w:val="24"/>
        </w:rPr>
        <w:t>Por otro lado, cabe detenerse en lo preceptuado por el Artículo 65 del propio TOCAF, que expresa textualmente “…</w:t>
      </w:r>
      <w:r w:rsidRPr="001157E4">
        <w:rPr>
          <w:rFonts w:ascii="Arial" w:hAnsi="Arial" w:cs="Arial"/>
          <w:i/>
          <w:sz w:val="24"/>
        </w:rPr>
        <w:t>Examinada la admisibilidad de las ofertas, a</w:t>
      </w:r>
      <w:r w:rsidRPr="001157E4">
        <w:rPr>
          <w:rFonts w:ascii="Arial" w:hAnsi="Arial" w:cs="Arial"/>
          <w:sz w:val="24"/>
        </w:rPr>
        <w:t xml:space="preserve"> </w:t>
      </w:r>
      <w:r w:rsidRPr="001157E4">
        <w:rPr>
          <w:rFonts w:ascii="Arial" w:hAnsi="Arial" w:cs="Arial"/>
          <w:i/>
          <w:sz w:val="24"/>
        </w:rPr>
        <w:t>los efectos de determinar la oferta más conveniente a los intereses de la</w:t>
      </w:r>
      <w:bookmarkStart w:id="1" w:name="page2"/>
      <w:bookmarkEnd w:id="1"/>
      <w:r w:rsidRPr="001157E4">
        <w:rPr>
          <w:rFonts w:ascii="Arial" w:hAnsi="Arial" w:cs="Arial"/>
          <w:i/>
          <w:sz w:val="24"/>
        </w:rPr>
        <w:t xml:space="preserve"> Administración pública y las necesidades del servicio, </w:t>
      </w:r>
      <w:r w:rsidRPr="001157E4">
        <w:rPr>
          <w:rFonts w:ascii="Arial" w:hAnsi="Arial" w:cs="Arial"/>
          <w:i/>
          <w:sz w:val="24"/>
          <w:u w:val="single"/>
        </w:rPr>
        <w:t>se tendrán en cuenta los</w:t>
      </w:r>
      <w:r w:rsidRPr="001157E4">
        <w:rPr>
          <w:rFonts w:ascii="Arial" w:hAnsi="Arial" w:cs="Arial"/>
          <w:i/>
          <w:sz w:val="24"/>
        </w:rPr>
        <w:t xml:space="preserve"> </w:t>
      </w:r>
      <w:r w:rsidRPr="001157E4">
        <w:rPr>
          <w:rFonts w:ascii="Arial" w:hAnsi="Arial" w:cs="Arial"/>
          <w:i/>
          <w:sz w:val="24"/>
          <w:u w:val="single"/>
        </w:rPr>
        <w:t>factores de evaluación cuantitativos y cualitativos aplicables en cada caso, que deberán constar en el pliego de condiciones particulares</w:t>
      </w:r>
      <w:r w:rsidRPr="001157E4">
        <w:rPr>
          <w:rFonts w:ascii="Arial" w:hAnsi="Arial" w:cs="Arial"/>
          <w:i/>
          <w:sz w:val="24"/>
        </w:rPr>
        <w:t xml:space="preserve"> </w:t>
      </w:r>
      <w:r>
        <w:rPr>
          <w:rFonts w:ascii="Arial" w:hAnsi="Arial" w:cs="Arial"/>
          <w:sz w:val="24"/>
        </w:rPr>
        <w:t>(el subrayado es mío).</w:t>
      </w:r>
    </w:p>
    <w:p w:rsidR="001157E4" w:rsidRPr="001157E4" w:rsidRDefault="001157E4" w:rsidP="00A93527">
      <w:pPr>
        <w:tabs>
          <w:tab w:val="left" w:pos="0"/>
        </w:tabs>
        <w:spacing w:after="0" w:line="360" w:lineRule="auto"/>
        <w:ind w:right="-1"/>
        <w:jc w:val="both"/>
        <w:rPr>
          <w:rFonts w:ascii="Arial" w:hAnsi="Arial" w:cs="Arial"/>
          <w:i/>
          <w:sz w:val="24"/>
        </w:rPr>
      </w:pPr>
      <w:r>
        <w:rPr>
          <w:rFonts w:ascii="Arial" w:hAnsi="Arial" w:cs="Arial"/>
          <w:i/>
          <w:sz w:val="24"/>
        </w:rPr>
        <w:t xml:space="preserve">A) </w:t>
      </w:r>
      <w:r w:rsidRPr="001157E4">
        <w:rPr>
          <w:rFonts w:ascii="Arial" w:hAnsi="Arial" w:cs="Arial"/>
          <w:i/>
          <w:sz w:val="24"/>
        </w:rPr>
        <w:t>Prever razonablemente una ejecución efectiva y eficiente del contrato.</w:t>
      </w:r>
    </w:p>
    <w:p w:rsidR="001157E4" w:rsidRPr="001157E4" w:rsidRDefault="001157E4" w:rsidP="00A93527">
      <w:pPr>
        <w:tabs>
          <w:tab w:val="left" w:pos="0"/>
        </w:tabs>
        <w:spacing w:after="0" w:line="360" w:lineRule="auto"/>
        <w:ind w:right="-1"/>
        <w:jc w:val="both"/>
        <w:rPr>
          <w:rFonts w:ascii="Arial" w:hAnsi="Arial" w:cs="Arial"/>
          <w:i/>
          <w:sz w:val="24"/>
        </w:rPr>
      </w:pPr>
      <w:r>
        <w:rPr>
          <w:rFonts w:ascii="Arial" w:hAnsi="Arial" w:cs="Arial"/>
          <w:i/>
          <w:sz w:val="24"/>
        </w:rPr>
        <w:t xml:space="preserve">B) </w:t>
      </w:r>
      <w:r w:rsidRPr="001157E4">
        <w:rPr>
          <w:rFonts w:ascii="Arial" w:hAnsi="Arial" w:cs="Arial"/>
          <w:i/>
          <w:sz w:val="24"/>
        </w:rPr>
        <w:t>Obtener las mejores condiciones de contratación de acuerdo con las necesidades de la Administración.</w:t>
      </w:r>
    </w:p>
    <w:p w:rsidR="001157E4" w:rsidRPr="001157E4" w:rsidRDefault="001157E4" w:rsidP="00A93527">
      <w:pPr>
        <w:tabs>
          <w:tab w:val="left" w:pos="0"/>
        </w:tabs>
        <w:spacing w:after="0" w:line="360" w:lineRule="auto"/>
        <w:ind w:right="-1"/>
        <w:jc w:val="both"/>
        <w:rPr>
          <w:rFonts w:ascii="Arial" w:hAnsi="Arial" w:cs="Arial"/>
          <w:i/>
          <w:sz w:val="24"/>
        </w:rPr>
      </w:pPr>
      <w:r>
        <w:rPr>
          <w:rFonts w:ascii="Arial" w:hAnsi="Arial" w:cs="Arial"/>
          <w:i/>
          <w:sz w:val="24"/>
        </w:rPr>
        <w:t xml:space="preserve">C) </w:t>
      </w:r>
      <w:r w:rsidRPr="001157E4">
        <w:rPr>
          <w:rFonts w:ascii="Arial" w:hAnsi="Arial" w:cs="Arial"/>
          <w:i/>
          <w:sz w:val="24"/>
          <w:u w:val="single"/>
        </w:rPr>
        <w:t>Juzgar los antecedentes de los oferentes y el contenido de las ofertas en base a los criterios objetivos que se determinen en los pliegos</w:t>
      </w:r>
      <w:r w:rsidRPr="001157E4">
        <w:rPr>
          <w:rFonts w:ascii="Arial" w:hAnsi="Arial" w:cs="Arial"/>
          <w:i/>
          <w:sz w:val="24"/>
        </w:rPr>
        <w:t xml:space="preserve">” </w:t>
      </w:r>
      <w:r w:rsidRPr="001157E4">
        <w:rPr>
          <w:rFonts w:ascii="Arial" w:hAnsi="Arial" w:cs="Arial"/>
          <w:sz w:val="24"/>
        </w:rPr>
        <w:t>(el subrayado es mío).</w:t>
      </w:r>
    </w:p>
    <w:p w:rsidR="001157E4" w:rsidRPr="001157E4" w:rsidRDefault="001157E4" w:rsidP="00A93527">
      <w:pPr>
        <w:spacing w:after="0" w:line="360" w:lineRule="auto"/>
        <w:ind w:right="-1"/>
        <w:jc w:val="both"/>
        <w:rPr>
          <w:rFonts w:ascii="Arial" w:hAnsi="Arial" w:cs="Arial"/>
          <w:sz w:val="24"/>
        </w:rPr>
      </w:pPr>
      <w:r w:rsidRPr="001157E4">
        <w:rPr>
          <w:rFonts w:ascii="Arial" w:hAnsi="Arial" w:cs="Arial"/>
          <w:sz w:val="24"/>
        </w:rPr>
        <w:t xml:space="preserve">Los Artículos 48 y 65 del TOCAF provienen de la misma Ley 18.834 (Artículos 29 y 39 respectivamente), pero no se puede obviar que éste último refiere a la actuación de la Comisión Asesora de Adjudicaciones (fase esencial), mientras que el Artículo 48 </w:t>
      </w:r>
      <w:r w:rsidRPr="001157E4">
        <w:rPr>
          <w:rFonts w:ascii="Arial" w:hAnsi="Arial" w:cs="Arial"/>
          <w:sz w:val="24"/>
          <w:u w:val="single"/>
        </w:rPr>
        <w:t>hace inequívocamente a la confección del pliego</w:t>
      </w:r>
      <w:r w:rsidR="00FA427D">
        <w:rPr>
          <w:rFonts w:ascii="Arial" w:hAnsi="Arial" w:cs="Arial"/>
          <w:sz w:val="24"/>
        </w:rPr>
        <w:t xml:space="preserve"> (etapa preparatoria).</w:t>
      </w:r>
    </w:p>
    <w:p w:rsidR="001157E4" w:rsidRDefault="001157E4" w:rsidP="00A93527">
      <w:pPr>
        <w:spacing w:after="0" w:line="360" w:lineRule="auto"/>
        <w:ind w:right="-1"/>
        <w:jc w:val="both"/>
        <w:rPr>
          <w:rFonts w:ascii="Arial" w:hAnsi="Arial" w:cs="Arial"/>
          <w:sz w:val="24"/>
        </w:rPr>
      </w:pPr>
      <w:r w:rsidRPr="001157E4">
        <w:rPr>
          <w:rFonts w:ascii="Arial" w:hAnsi="Arial" w:cs="Arial"/>
          <w:sz w:val="24"/>
        </w:rPr>
        <w:t xml:space="preserve">En mi opinión, el Artículo 65 precitado exige que dicha Comisión evalúe las ofertas en base a la información dada en el pliego sobre los factores allí determinados y sobre las ponderaciones definidas para aquellos. Esto es, más allá de la sana crítica con la que debe observarse cada uno de los factores, no cabe </w:t>
      </w:r>
      <w:r w:rsidRPr="001157E4">
        <w:rPr>
          <w:rFonts w:ascii="Arial" w:hAnsi="Arial" w:cs="Arial"/>
          <w:sz w:val="24"/>
          <w:u w:val="single"/>
        </w:rPr>
        <w:t>posibilidad alguna de evaluar</w:t>
      </w:r>
      <w:r w:rsidRPr="001157E4">
        <w:rPr>
          <w:rFonts w:ascii="Arial" w:hAnsi="Arial" w:cs="Arial"/>
          <w:color w:val="FF0000"/>
          <w:sz w:val="24"/>
          <w:u w:val="single"/>
        </w:rPr>
        <w:t xml:space="preserve"> </w:t>
      </w:r>
      <w:r w:rsidRPr="001157E4">
        <w:rPr>
          <w:rFonts w:ascii="Arial" w:hAnsi="Arial" w:cs="Arial"/>
          <w:sz w:val="24"/>
          <w:u w:val="single"/>
        </w:rPr>
        <w:t>cambiando los factores, ni alterando sus respectivos pesos relativos,</w:t>
      </w:r>
      <w:r w:rsidRPr="001157E4">
        <w:rPr>
          <w:rFonts w:ascii="Arial" w:hAnsi="Arial" w:cs="Arial"/>
          <w:sz w:val="24"/>
        </w:rPr>
        <w:t xml:space="preserve"> </w:t>
      </w:r>
      <w:r w:rsidRPr="001157E4">
        <w:rPr>
          <w:rFonts w:ascii="Arial" w:hAnsi="Arial" w:cs="Arial"/>
          <w:b/>
          <w:sz w:val="24"/>
        </w:rPr>
        <w:t>como criterio objetivo de actuación</w:t>
      </w:r>
      <w:r w:rsidRPr="001157E4">
        <w:rPr>
          <w:rFonts w:ascii="Arial" w:hAnsi="Arial" w:cs="Arial"/>
          <w:sz w:val="24"/>
        </w:rPr>
        <w:t>. En suma, entiendo que se procuró aportar previsibilidad normada al obrar de la Comisión en consistencia con los criterios de evaluación especificados en las bases.</w:t>
      </w:r>
    </w:p>
    <w:p w:rsidR="001157E4" w:rsidRPr="001157E4" w:rsidRDefault="001157E4" w:rsidP="00A93527">
      <w:pPr>
        <w:spacing w:after="0" w:line="360" w:lineRule="auto"/>
        <w:ind w:right="-1"/>
        <w:jc w:val="both"/>
        <w:rPr>
          <w:rFonts w:ascii="Arial" w:hAnsi="Arial" w:cs="Arial"/>
          <w:sz w:val="24"/>
        </w:rPr>
      </w:pPr>
      <w:r w:rsidRPr="001157E4">
        <w:rPr>
          <w:rFonts w:ascii="Arial" w:hAnsi="Arial" w:cs="Arial"/>
          <w:sz w:val="24"/>
        </w:rPr>
        <w:t>Dicho todo esto, bastaba con que el Legislador hubiera dispuesto, en la norma que hace indubitablemente al contenido mínimo de los pliegos (Artículo 48 del TOCAF), su voluntad expresa de que se elaboraran criterios de valoración al nivel de detalle que nos ocupa en este caso.</w:t>
      </w:r>
    </w:p>
    <w:p w:rsidR="001157E4" w:rsidRDefault="001157E4" w:rsidP="00A93527">
      <w:pPr>
        <w:spacing w:after="0" w:line="360" w:lineRule="auto"/>
        <w:ind w:right="-1"/>
        <w:jc w:val="both"/>
        <w:rPr>
          <w:rFonts w:ascii="Arial" w:hAnsi="Arial" w:cs="Arial"/>
          <w:sz w:val="24"/>
        </w:rPr>
      </w:pPr>
      <w:r w:rsidRPr="001157E4">
        <w:rPr>
          <w:rFonts w:ascii="Arial" w:hAnsi="Arial" w:cs="Arial"/>
          <w:sz w:val="24"/>
        </w:rPr>
        <w:t xml:space="preserve">Al respecto, resulta ahora indispensable señalar que el régimen de contratación pública, y en particular todo lo que refiere a la inclusión de mayor información en los pliegos en lo respecta a evaluación de ofertas, </w:t>
      </w:r>
      <w:r w:rsidRPr="001157E4">
        <w:rPr>
          <w:rFonts w:ascii="Arial" w:hAnsi="Arial" w:cs="Arial"/>
          <w:sz w:val="24"/>
          <w:u w:val="single"/>
        </w:rPr>
        <w:t>ha tenido una evolución</w:t>
      </w:r>
      <w:r w:rsidRPr="001157E4">
        <w:rPr>
          <w:rFonts w:ascii="Arial" w:hAnsi="Arial" w:cs="Arial"/>
          <w:sz w:val="24"/>
        </w:rPr>
        <w:t xml:space="preserve"> </w:t>
      </w:r>
      <w:r w:rsidRPr="001157E4">
        <w:rPr>
          <w:rFonts w:ascii="Arial" w:hAnsi="Arial" w:cs="Arial"/>
          <w:sz w:val="24"/>
          <w:u w:val="single"/>
        </w:rPr>
        <w:t>normativa lógica y gradual</w:t>
      </w:r>
      <w:r w:rsidRPr="001157E4">
        <w:rPr>
          <w:rFonts w:ascii="Arial" w:hAnsi="Arial" w:cs="Arial"/>
          <w:sz w:val="24"/>
        </w:rPr>
        <w:t xml:space="preserve">. El Decreto No. 104 del año 1968 y posteriormente la Ley 15.903 del año 1987, establecían </w:t>
      </w:r>
      <w:r w:rsidRPr="001157E4">
        <w:rPr>
          <w:rFonts w:ascii="Arial" w:hAnsi="Arial" w:cs="Arial"/>
          <w:sz w:val="24"/>
          <w:u w:val="single"/>
        </w:rPr>
        <w:t>solamente que la adjudicación se hará a la oferta que se considere más conveniente, sin que sea preciso hacer la adjudicación a favor de la de menor precio, salvo en identidad de circunstancias y calidad</w:t>
      </w:r>
      <w:r w:rsidRPr="001157E4">
        <w:rPr>
          <w:rFonts w:ascii="Arial" w:hAnsi="Arial" w:cs="Arial"/>
          <w:sz w:val="24"/>
        </w:rPr>
        <w:t xml:space="preserve">. La ley 16.170 del año 1990, configuró reformas significativas en lo que refiere a compras estatales en general. Desde allí, se incluyó la obligación que el pliego contenga </w:t>
      </w:r>
      <w:r w:rsidRPr="001157E4">
        <w:rPr>
          <w:rFonts w:ascii="Arial" w:hAnsi="Arial" w:cs="Arial"/>
          <w:sz w:val="24"/>
          <w:u w:val="single"/>
        </w:rPr>
        <w:t>los</w:t>
      </w:r>
      <w:r w:rsidRPr="001157E4">
        <w:rPr>
          <w:rFonts w:ascii="Arial" w:hAnsi="Arial" w:cs="Arial"/>
          <w:sz w:val="24"/>
        </w:rPr>
        <w:t xml:space="preserve"> </w:t>
      </w:r>
      <w:r w:rsidRPr="001157E4">
        <w:rPr>
          <w:rFonts w:ascii="Arial" w:hAnsi="Arial" w:cs="Arial"/>
          <w:sz w:val="24"/>
          <w:u w:val="single"/>
        </w:rPr>
        <w:t>principales factores que se tendrán en cuenta además del precio para evaluar las ofertas</w:t>
      </w:r>
      <w:r w:rsidRPr="001157E4">
        <w:rPr>
          <w:rFonts w:ascii="Arial" w:hAnsi="Arial" w:cs="Arial"/>
          <w:sz w:val="24"/>
        </w:rPr>
        <w:t>.</w:t>
      </w:r>
      <w:bookmarkStart w:id="2" w:name="page3"/>
      <w:bookmarkEnd w:id="2"/>
    </w:p>
    <w:p w:rsidR="001157E4" w:rsidRPr="001157E4" w:rsidRDefault="001157E4" w:rsidP="00A93527">
      <w:pPr>
        <w:spacing w:after="0" w:line="360" w:lineRule="auto"/>
        <w:ind w:right="-1"/>
        <w:jc w:val="both"/>
        <w:rPr>
          <w:rFonts w:ascii="Arial" w:hAnsi="Arial" w:cs="Arial"/>
          <w:sz w:val="24"/>
        </w:rPr>
      </w:pPr>
      <w:r w:rsidRPr="001157E4">
        <w:rPr>
          <w:rFonts w:ascii="Arial" w:hAnsi="Arial" w:cs="Arial"/>
          <w:sz w:val="24"/>
        </w:rPr>
        <w:t xml:space="preserve">Finalmente, en el año 2011 a través de la Ley 18.834, se dispuso la actual redacción del Artículo 48 del TOCAF, avanzando en la exigencia -en mi opinión- de que los pliegos al menos determinen, </w:t>
      </w:r>
      <w:r w:rsidRPr="001157E4">
        <w:rPr>
          <w:rFonts w:ascii="Arial" w:hAnsi="Arial" w:cs="Arial"/>
          <w:sz w:val="24"/>
          <w:u w:val="single"/>
        </w:rPr>
        <w:t>no sólo los principales factores, sino también la</w:t>
      </w:r>
      <w:r w:rsidRPr="001157E4">
        <w:rPr>
          <w:rFonts w:ascii="Arial" w:hAnsi="Arial" w:cs="Arial"/>
          <w:sz w:val="24"/>
        </w:rPr>
        <w:t xml:space="preserve"> </w:t>
      </w:r>
      <w:r w:rsidRPr="001157E4">
        <w:rPr>
          <w:rFonts w:ascii="Arial" w:hAnsi="Arial" w:cs="Arial"/>
          <w:sz w:val="24"/>
          <w:u w:val="single"/>
        </w:rPr>
        <w:t>ponderación de cada uno de ellos</w:t>
      </w:r>
      <w:r w:rsidRPr="001157E4">
        <w:rPr>
          <w:rFonts w:ascii="Arial" w:hAnsi="Arial" w:cs="Arial"/>
          <w:sz w:val="24"/>
        </w:rPr>
        <w:t>.</w:t>
      </w:r>
    </w:p>
    <w:p w:rsidR="001157E4" w:rsidRPr="001157E4" w:rsidRDefault="001157E4" w:rsidP="00A93527">
      <w:pPr>
        <w:spacing w:after="0" w:line="360" w:lineRule="auto"/>
        <w:ind w:right="-1"/>
        <w:jc w:val="both"/>
        <w:rPr>
          <w:rFonts w:ascii="Arial" w:hAnsi="Arial" w:cs="Arial"/>
          <w:sz w:val="24"/>
        </w:rPr>
      </w:pPr>
      <w:r w:rsidRPr="001157E4">
        <w:rPr>
          <w:rFonts w:ascii="Arial" w:hAnsi="Arial" w:cs="Arial"/>
          <w:sz w:val="24"/>
        </w:rPr>
        <w:t>Por cierto, las entidades públicas estatales pueden confeccionar sus pliegos con criterios superiores a los mínimos exigidos en la normativa vigente, pero luego, inevitablemente, deberán respetarlos a la hora de evaluar las propuestas y tomar luego la decisión de adjudicación.</w:t>
      </w:r>
    </w:p>
    <w:p w:rsidR="00E60CBD" w:rsidRDefault="001157E4" w:rsidP="00A93527">
      <w:pPr>
        <w:spacing w:after="0" w:line="360" w:lineRule="auto"/>
        <w:ind w:right="-1"/>
        <w:jc w:val="both"/>
        <w:rPr>
          <w:rFonts w:ascii="Arial" w:hAnsi="Arial" w:cs="Arial"/>
          <w:sz w:val="24"/>
        </w:rPr>
      </w:pPr>
      <w:r w:rsidRPr="001157E4">
        <w:rPr>
          <w:rFonts w:ascii="Arial" w:hAnsi="Arial" w:cs="Arial"/>
          <w:sz w:val="24"/>
        </w:rPr>
        <w:t>Por último, entiendo que puede resultar oportuno avanzar normativamente en la temática en cuestión, compartiendo el fin perseguido por el Tribunal respecto a una mayor previsibilidad en los criterios de evaluación de ofertas. No obstante, a mi entender dicha finalidad se encuentra hoy más alineada al concepto de “buenas prácticas” que a lo establecido efectivamente en las normas en vigencia.”</w:t>
      </w:r>
    </w:p>
    <w:p w:rsidR="00E60CBD" w:rsidRDefault="00E60CBD" w:rsidP="00A93527">
      <w:pPr>
        <w:spacing w:after="0" w:line="360" w:lineRule="auto"/>
        <w:ind w:right="-1"/>
        <w:jc w:val="both"/>
        <w:rPr>
          <w:rFonts w:ascii="Arial" w:hAnsi="Arial" w:cs="Arial"/>
          <w:sz w:val="24"/>
        </w:rPr>
      </w:pPr>
    </w:p>
    <w:p w:rsidR="00E60CBD" w:rsidRDefault="00E60CBD" w:rsidP="00A93527">
      <w:pPr>
        <w:spacing w:after="0" w:line="360" w:lineRule="auto"/>
        <w:ind w:right="-1"/>
        <w:jc w:val="both"/>
        <w:rPr>
          <w:rFonts w:ascii="Arial" w:hAnsi="Arial" w:cs="Arial"/>
          <w:sz w:val="24"/>
        </w:rPr>
      </w:pPr>
    </w:p>
    <w:p w:rsidR="001157E4" w:rsidRPr="001157E4" w:rsidRDefault="00E60CBD" w:rsidP="00A93527">
      <w:pPr>
        <w:spacing w:after="0" w:line="360" w:lineRule="auto"/>
        <w:ind w:right="-1"/>
        <w:jc w:val="both"/>
        <w:rPr>
          <w:rFonts w:ascii="Arial" w:hAnsi="Arial" w:cs="Arial"/>
          <w:sz w:val="24"/>
        </w:rPr>
      </w:pPr>
      <w:r>
        <w:rPr>
          <w:rFonts w:ascii="Arial" w:hAnsi="Arial" w:cs="Arial"/>
          <w:sz w:val="24"/>
        </w:rPr>
        <w:t>Por</w:t>
      </w:r>
      <w:r w:rsidR="001157E4" w:rsidRPr="001157E4">
        <w:rPr>
          <w:rFonts w:ascii="Arial" w:hAnsi="Arial" w:cs="Arial"/>
          <w:sz w:val="24"/>
        </w:rPr>
        <w:t xml:space="preserve"> lo expuesto, he votado en forma discorde la Resolución de este expediente en función del considerando 1</w:t>
      </w:r>
      <w:r w:rsidR="001157E4">
        <w:rPr>
          <w:rFonts w:ascii="Arial" w:hAnsi="Arial" w:cs="Arial"/>
          <w:sz w:val="24"/>
        </w:rPr>
        <w:t>.”</w:t>
      </w:r>
    </w:p>
    <w:p w:rsidR="00DA3FCB" w:rsidRPr="001157E4" w:rsidRDefault="00DA3FCB" w:rsidP="00A93527">
      <w:pPr>
        <w:spacing w:after="0" w:line="360" w:lineRule="auto"/>
        <w:ind w:right="-1"/>
        <w:jc w:val="both"/>
        <w:rPr>
          <w:rFonts w:ascii="Arial" w:hAnsi="Arial" w:cs="Arial"/>
          <w:sz w:val="24"/>
          <w:szCs w:val="24"/>
        </w:rPr>
      </w:pPr>
    </w:p>
    <w:p w:rsidR="00E43785" w:rsidRPr="001157E4" w:rsidRDefault="00211150" w:rsidP="00A93527">
      <w:pPr>
        <w:spacing w:after="0" w:line="360" w:lineRule="auto"/>
        <w:ind w:right="-1"/>
        <w:jc w:val="both"/>
        <w:rPr>
          <w:rFonts w:ascii="Arial" w:hAnsi="Arial" w:cs="Arial"/>
          <w:b/>
          <w:sz w:val="24"/>
          <w:szCs w:val="24"/>
        </w:rPr>
      </w:pPr>
      <w:proofErr w:type="gramStart"/>
      <w:r w:rsidRPr="001157E4">
        <w:rPr>
          <w:rFonts w:ascii="Arial" w:hAnsi="Arial" w:cs="Arial"/>
          <w:sz w:val="24"/>
          <w:szCs w:val="24"/>
        </w:rPr>
        <w:t>lm</w:t>
      </w:r>
      <w:proofErr w:type="gramEnd"/>
    </w:p>
    <w:sectPr w:rsidR="00E43785" w:rsidRPr="001157E4" w:rsidSect="00E60CBD">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150" w:rsidRDefault="00211150" w:rsidP="00211150">
      <w:pPr>
        <w:spacing w:after="0" w:line="240" w:lineRule="auto"/>
      </w:pPr>
      <w:r>
        <w:separator/>
      </w:r>
    </w:p>
  </w:endnote>
  <w:endnote w:type="continuationSeparator" w:id="0">
    <w:p w:rsidR="00211150" w:rsidRDefault="00211150" w:rsidP="0021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75315"/>
      <w:docPartObj>
        <w:docPartGallery w:val="Page Numbers (Bottom of Page)"/>
        <w:docPartUnique/>
      </w:docPartObj>
    </w:sdtPr>
    <w:sdtEndPr/>
    <w:sdtContent>
      <w:p w:rsidR="00211150" w:rsidRDefault="00211150">
        <w:pPr>
          <w:pStyle w:val="Piedepgina"/>
          <w:jc w:val="center"/>
        </w:pPr>
        <w:r>
          <w:fldChar w:fldCharType="begin"/>
        </w:r>
        <w:r>
          <w:instrText>PAGE   \* MERGEFORMAT</w:instrText>
        </w:r>
        <w:r>
          <w:fldChar w:fldCharType="separate"/>
        </w:r>
        <w:r w:rsidR="00815B93" w:rsidRPr="00815B93">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150" w:rsidRDefault="00211150" w:rsidP="00211150">
      <w:pPr>
        <w:spacing w:after="0" w:line="240" w:lineRule="auto"/>
      </w:pPr>
      <w:r>
        <w:separator/>
      </w:r>
    </w:p>
  </w:footnote>
  <w:footnote w:type="continuationSeparator" w:id="0">
    <w:p w:rsidR="00211150" w:rsidRDefault="00211150" w:rsidP="00211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68E7EA5"/>
    <w:multiLevelType w:val="hybridMultilevel"/>
    <w:tmpl w:val="32E4B9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7C61A38"/>
    <w:multiLevelType w:val="hybridMultilevel"/>
    <w:tmpl w:val="AC12E49E"/>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1E"/>
    <w:rsid w:val="00007A2E"/>
    <w:rsid w:val="001157E4"/>
    <w:rsid w:val="00211150"/>
    <w:rsid w:val="00211CED"/>
    <w:rsid w:val="002121CE"/>
    <w:rsid w:val="002131EF"/>
    <w:rsid w:val="00265108"/>
    <w:rsid w:val="00294EEF"/>
    <w:rsid w:val="003035A1"/>
    <w:rsid w:val="00423DD0"/>
    <w:rsid w:val="004D40B8"/>
    <w:rsid w:val="00524FAB"/>
    <w:rsid w:val="00585A14"/>
    <w:rsid w:val="00594485"/>
    <w:rsid w:val="005E4D0A"/>
    <w:rsid w:val="00602F86"/>
    <w:rsid w:val="006A3600"/>
    <w:rsid w:val="006A5138"/>
    <w:rsid w:val="006C2703"/>
    <w:rsid w:val="0080154F"/>
    <w:rsid w:val="00815B93"/>
    <w:rsid w:val="00847B29"/>
    <w:rsid w:val="008C2DBB"/>
    <w:rsid w:val="008F6581"/>
    <w:rsid w:val="00910776"/>
    <w:rsid w:val="009362D3"/>
    <w:rsid w:val="00991461"/>
    <w:rsid w:val="009C40CF"/>
    <w:rsid w:val="009C45F7"/>
    <w:rsid w:val="00A14F48"/>
    <w:rsid w:val="00A236C1"/>
    <w:rsid w:val="00A93527"/>
    <w:rsid w:val="00B108CC"/>
    <w:rsid w:val="00B67E8C"/>
    <w:rsid w:val="00C4482B"/>
    <w:rsid w:val="00C741F6"/>
    <w:rsid w:val="00DA3FCB"/>
    <w:rsid w:val="00DC321E"/>
    <w:rsid w:val="00DD56A3"/>
    <w:rsid w:val="00E43785"/>
    <w:rsid w:val="00E60CBD"/>
    <w:rsid w:val="00E71FC8"/>
    <w:rsid w:val="00EA732B"/>
    <w:rsid w:val="00F03D15"/>
    <w:rsid w:val="00FA427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21CE"/>
    <w:pPr>
      <w:ind w:left="720"/>
      <w:contextualSpacing/>
    </w:pPr>
  </w:style>
  <w:style w:type="character" w:styleId="Hipervnculo">
    <w:name w:val="Hyperlink"/>
    <w:basedOn w:val="Fuentedeprrafopredeter"/>
    <w:uiPriority w:val="99"/>
    <w:unhideWhenUsed/>
    <w:rsid w:val="00E43785"/>
    <w:rPr>
      <w:color w:val="0000FF" w:themeColor="hyperlink"/>
      <w:u w:val="single"/>
    </w:rPr>
  </w:style>
  <w:style w:type="paragraph" w:styleId="Encabezado">
    <w:name w:val="header"/>
    <w:basedOn w:val="Normal"/>
    <w:link w:val="EncabezadoCar"/>
    <w:uiPriority w:val="99"/>
    <w:unhideWhenUsed/>
    <w:rsid w:val="002111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1150"/>
  </w:style>
  <w:style w:type="paragraph" w:styleId="Piedepgina">
    <w:name w:val="footer"/>
    <w:basedOn w:val="Normal"/>
    <w:link w:val="PiedepginaCar"/>
    <w:uiPriority w:val="99"/>
    <w:unhideWhenUsed/>
    <w:rsid w:val="002111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1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21CE"/>
    <w:pPr>
      <w:ind w:left="720"/>
      <w:contextualSpacing/>
    </w:pPr>
  </w:style>
  <w:style w:type="character" w:styleId="Hipervnculo">
    <w:name w:val="Hyperlink"/>
    <w:basedOn w:val="Fuentedeprrafopredeter"/>
    <w:uiPriority w:val="99"/>
    <w:unhideWhenUsed/>
    <w:rsid w:val="00E43785"/>
    <w:rPr>
      <w:color w:val="0000FF" w:themeColor="hyperlink"/>
      <w:u w:val="single"/>
    </w:rPr>
  </w:style>
  <w:style w:type="paragraph" w:styleId="Encabezado">
    <w:name w:val="header"/>
    <w:basedOn w:val="Normal"/>
    <w:link w:val="EncabezadoCar"/>
    <w:uiPriority w:val="99"/>
    <w:unhideWhenUsed/>
    <w:rsid w:val="002111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1150"/>
  </w:style>
  <w:style w:type="paragraph" w:styleId="Piedepgina">
    <w:name w:val="footer"/>
    <w:basedOn w:val="Normal"/>
    <w:link w:val="PiedepginaCar"/>
    <w:uiPriority w:val="99"/>
    <w:unhideWhenUsed/>
    <w:rsid w:val="002111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1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4928">
      <w:bodyDiv w:val="1"/>
      <w:marLeft w:val="0"/>
      <w:marRight w:val="0"/>
      <w:marTop w:val="0"/>
      <w:marBottom w:val="0"/>
      <w:divBdr>
        <w:top w:val="none" w:sz="0" w:space="0" w:color="auto"/>
        <w:left w:val="none" w:sz="0" w:space="0" w:color="auto"/>
        <w:bottom w:val="none" w:sz="0" w:space="0" w:color="auto"/>
        <w:right w:val="none" w:sz="0" w:space="0" w:color="auto"/>
      </w:divBdr>
    </w:div>
    <w:div w:id="12110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1624</Words>
  <Characters>8938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8</cp:revision>
  <cp:lastPrinted>2018-10-10T18:48:00Z</cp:lastPrinted>
  <dcterms:created xsi:type="dcterms:W3CDTF">2019-03-22T19:12:00Z</dcterms:created>
  <dcterms:modified xsi:type="dcterms:W3CDTF">2019-04-04T20:08:00Z</dcterms:modified>
</cp:coreProperties>
</file>