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F0" w:rsidRPr="003F3A3F" w:rsidRDefault="00280FF0" w:rsidP="00280FF0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663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280FF0" w:rsidRPr="000F48AC" w:rsidRDefault="00280FF0" w:rsidP="00280FF0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280FF0" w:rsidRPr="000F48AC" w:rsidRDefault="00280FF0" w:rsidP="00280FF0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280FF0" w:rsidRPr="000F48AC" w:rsidRDefault="00280FF0" w:rsidP="00280FF0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13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MARZO DE 2019</w:t>
      </w:r>
    </w:p>
    <w:p w:rsidR="00280FF0" w:rsidRDefault="00280FF0" w:rsidP="00280FF0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</w:t>
      </w:r>
      <w:r>
        <w:rPr>
          <w:rFonts w:cs="Arial"/>
          <w:b/>
        </w:rPr>
        <w:t>8</w:t>
      </w:r>
      <w:r>
        <w:rPr>
          <w:rFonts w:cs="Arial"/>
          <w:b/>
        </w:rPr>
        <w:t>-17-1-000</w:t>
      </w:r>
      <w:r>
        <w:rPr>
          <w:rFonts w:cs="Arial"/>
          <w:b/>
        </w:rPr>
        <w:t>7700</w:t>
      </w:r>
      <w:r>
        <w:rPr>
          <w:rFonts w:cs="Arial"/>
          <w:b/>
        </w:rPr>
        <w:t xml:space="preserve">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 xml:space="preserve">. N° </w:t>
      </w:r>
      <w:r>
        <w:rPr>
          <w:rFonts w:cs="Arial"/>
          <w:b/>
        </w:rPr>
        <w:t>0677</w:t>
      </w:r>
      <w:r>
        <w:rPr>
          <w:rFonts w:cs="Arial"/>
          <w:b/>
        </w:rPr>
        <w:t>/19</w:t>
      </w:r>
      <w:r w:rsidRPr="00BB4DEC">
        <w:rPr>
          <w:rFonts w:cs="Arial"/>
          <w:b/>
        </w:rPr>
        <w:t>)</w:t>
      </w:r>
    </w:p>
    <w:p w:rsidR="00280FF0" w:rsidRPr="00BB4DEC" w:rsidRDefault="00280FF0" w:rsidP="00280FF0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6C2C7F" w:rsidRPr="008A172A" w:rsidRDefault="009327CA" w:rsidP="00280FF0">
      <w:pPr>
        <w:spacing w:line="360" w:lineRule="auto"/>
        <w:ind w:firstLine="851"/>
        <w:jc w:val="both"/>
      </w:pPr>
      <w:r w:rsidRPr="006C2C7F">
        <w:rPr>
          <w:rFonts w:cs="Arial"/>
          <w:b/>
          <w:bCs/>
          <w:lang w:val="es-MX"/>
        </w:rPr>
        <w:t>VISTO:</w:t>
      </w:r>
      <w:r w:rsidRPr="006C2C7F">
        <w:rPr>
          <w:rFonts w:cs="Arial"/>
          <w:bCs/>
          <w:lang w:val="es-MX"/>
        </w:rPr>
        <w:t xml:space="preserve"> las actuaciones remitidas por el </w:t>
      </w:r>
      <w:r w:rsidR="00607CEC" w:rsidRPr="006C2C7F">
        <w:rPr>
          <w:rFonts w:cs="Arial"/>
          <w:bCs/>
          <w:lang w:val="es-MX"/>
        </w:rPr>
        <w:t xml:space="preserve">Consejo Directivo Central de la Administración Nacional de Educación Pública, relacionadas con </w:t>
      </w:r>
      <w:r w:rsidR="00B463EB" w:rsidRPr="006C2C7F">
        <w:rPr>
          <w:rFonts w:cs="Arial"/>
          <w:bCs/>
          <w:lang w:val="es-MX"/>
        </w:rPr>
        <w:t xml:space="preserve">la Licitación Pública Nº </w:t>
      </w:r>
      <w:r w:rsidR="00911F18">
        <w:rPr>
          <w:rFonts w:cs="Arial"/>
          <w:bCs/>
          <w:lang w:val="es-MX"/>
        </w:rPr>
        <w:t>15</w:t>
      </w:r>
      <w:r w:rsidR="00280FF0">
        <w:rPr>
          <w:rFonts w:cs="Arial"/>
          <w:bCs/>
          <w:lang w:val="es-MX"/>
        </w:rPr>
        <w:t xml:space="preserve">/2018 para la </w:t>
      </w:r>
      <w:r w:rsidR="00280FF0" w:rsidRPr="006C2C7F">
        <w:t>ejecución</w:t>
      </w:r>
      <w:r w:rsidR="006C2C7F" w:rsidRPr="006C2C7F">
        <w:t xml:space="preserve"> de obras de ampliación y reforma del Local de la </w:t>
      </w:r>
      <w:r w:rsidR="006C2C7F" w:rsidRPr="008A172A">
        <w:t xml:space="preserve">Escuela Nº 5 de la localidad de Tomás </w:t>
      </w:r>
      <w:proofErr w:type="spellStart"/>
      <w:r w:rsidR="006C2C7F" w:rsidRPr="008A172A">
        <w:t>Gom</w:t>
      </w:r>
      <w:r w:rsidR="00684E86">
        <w:t>ensoro</w:t>
      </w:r>
      <w:proofErr w:type="spellEnd"/>
      <w:r w:rsidR="00684E86">
        <w:t xml:space="preserve">, Departamento de Artigas; </w:t>
      </w:r>
    </w:p>
    <w:p w:rsidR="006126F6" w:rsidRPr="000154D2" w:rsidRDefault="001F4CBF" w:rsidP="00280FF0">
      <w:pPr>
        <w:spacing w:line="360" w:lineRule="auto"/>
        <w:ind w:firstLine="851"/>
        <w:jc w:val="both"/>
        <w:rPr>
          <w:rFonts w:cs="Arial"/>
          <w:bCs/>
          <w:lang w:val="es-MX"/>
        </w:rPr>
      </w:pPr>
      <w:r w:rsidRPr="008A172A">
        <w:rPr>
          <w:rFonts w:cs="Arial"/>
          <w:b/>
          <w:bCs/>
          <w:szCs w:val="20"/>
          <w:lang w:val="es-ES_tradnl"/>
        </w:rPr>
        <w:t xml:space="preserve">RESULTANDO: </w:t>
      </w:r>
      <w:r w:rsidR="009327CA" w:rsidRPr="008A172A">
        <w:rPr>
          <w:rFonts w:cs="Arial"/>
          <w:b/>
          <w:bCs/>
          <w:szCs w:val="20"/>
          <w:lang w:val="es-ES_tradnl"/>
        </w:rPr>
        <w:t xml:space="preserve">1) </w:t>
      </w:r>
      <w:r w:rsidR="009327CA" w:rsidRPr="008A172A">
        <w:rPr>
          <w:rFonts w:cs="Arial"/>
          <w:bCs/>
          <w:szCs w:val="20"/>
          <w:lang w:val="es-ES_tradnl"/>
        </w:rPr>
        <w:t xml:space="preserve">que </w:t>
      </w:r>
      <w:r w:rsidR="008A172A" w:rsidRPr="008A172A">
        <w:rPr>
          <w:rFonts w:cs="Arial"/>
          <w:bCs/>
          <w:szCs w:val="20"/>
          <w:lang w:val="es-ES_tradnl"/>
        </w:rPr>
        <w:t>por Resolución Nº 53</w:t>
      </w:r>
      <w:r w:rsidR="006126F6" w:rsidRPr="008A172A">
        <w:rPr>
          <w:rFonts w:cs="Arial"/>
          <w:bCs/>
          <w:szCs w:val="20"/>
          <w:lang w:val="es-ES_tradnl"/>
        </w:rPr>
        <w:t xml:space="preserve"> </w:t>
      </w:r>
      <w:r w:rsidR="008A172A" w:rsidRPr="008A172A">
        <w:rPr>
          <w:rFonts w:cs="Arial"/>
          <w:bCs/>
          <w:szCs w:val="20"/>
          <w:lang w:val="es-ES_tradnl"/>
        </w:rPr>
        <w:t>(Acta Nº 53) de fecha 28/8/18</w:t>
      </w:r>
      <w:r w:rsidR="006126F6" w:rsidRPr="008A172A">
        <w:rPr>
          <w:rFonts w:cs="Arial"/>
          <w:b/>
          <w:bCs/>
          <w:lang w:val="es-MX"/>
        </w:rPr>
        <w:t xml:space="preserve">, </w:t>
      </w:r>
      <w:r w:rsidR="008A172A" w:rsidRPr="008A172A">
        <w:rPr>
          <w:rFonts w:cs="Arial"/>
          <w:bCs/>
          <w:lang w:val="es-MX"/>
        </w:rPr>
        <w:t xml:space="preserve">el Consejo Directivo Central </w:t>
      </w:r>
      <w:r w:rsidR="006126F6" w:rsidRPr="000154D2">
        <w:rPr>
          <w:rFonts w:cs="Arial"/>
          <w:bCs/>
          <w:lang w:val="es-MX"/>
        </w:rPr>
        <w:t>dispuso el llamado y aprobó el Pliego de Condiciones Particulares que regiría el mismo;</w:t>
      </w:r>
    </w:p>
    <w:p w:rsidR="00280FF0" w:rsidRDefault="00280FF0" w:rsidP="00280FF0">
      <w:pPr>
        <w:spacing w:line="360" w:lineRule="auto"/>
        <w:ind w:firstLine="2694"/>
        <w:jc w:val="both"/>
        <w:rPr>
          <w:rFonts w:cs="Arial"/>
          <w:i/>
          <w:iCs/>
        </w:rPr>
      </w:pPr>
      <w:r>
        <w:rPr>
          <w:rFonts w:cs="Arial"/>
          <w:b/>
          <w:szCs w:val="20"/>
          <w:lang w:val="es-MX"/>
        </w:rPr>
        <w:t xml:space="preserve"> </w:t>
      </w:r>
      <w:r w:rsidR="006126F6" w:rsidRPr="000154D2">
        <w:rPr>
          <w:rFonts w:cs="Arial"/>
          <w:b/>
          <w:szCs w:val="20"/>
          <w:lang w:val="es-MX"/>
        </w:rPr>
        <w:t>2)</w:t>
      </w:r>
      <w:r w:rsidR="006126F6" w:rsidRPr="000154D2">
        <w:rPr>
          <w:rFonts w:cs="Arial"/>
          <w:szCs w:val="20"/>
          <w:lang w:val="es-MX"/>
        </w:rPr>
        <w:t xml:space="preserve"> que</w:t>
      </w:r>
      <w:r w:rsidR="006126F6" w:rsidRPr="000154D2">
        <w:rPr>
          <w:rFonts w:cs="Arial"/>
          <w:lang w:val="es-MX"/>
        </w:rPr>
        <w:t xml:space="preserve"> </w:t>
      </w:r>
      <w:r w:rsidR="00EF17DD" w:rsidRPr="000154D2">
        <w:rPr>
          <w:rFonts w:cs="Arial"/>
          <w:iCs/>
        </w:rPr>
        <w:t xml:space="preserve">se efectuó la publicación del llamado en la página web de compras estatales </w:t>
      </w:r>
      <w:r w:rsidR="000154D2" w:rsidRPr="000154D2">
        <w:rPr>
          <w:rFonts w:cs="Arial"/>
          <w:iCs/>
        </w:rPr>
        <w:t>con fecha 10/9/18</w:t>
      </w:r>
      <w:r w:rsidR="00EF17DD" w:rsidRPr="000154D2">
        <w:rPr>
          <w:rFonts w:cs="Arial"/>
          <w:iCs/>
        </w:rPr>
        <w:t xml:space="preserve"> y</w:t>
      </w:r>
      <w:r w:rsidR="000154D2" w:rsidRPr="000154D2">
        <w:rPr>
          <w:rFonts w:cs="Arial"/>
          <w:iCs/>
        </w:rPr>
        <w:t xml:space="preserve"> en el Diario Oficial el 12/9/18</w:t>
      </w:r>
      <w:r w:rsidR="00EF17DD" w:rsidRPr="000154D2">
        <w:rPr>
          <w:rFonts w:cs="Arial"/>
          <w:iCs/>
        </w:rPr>
        <w:t>, fijándose la apertura</w:t>
      </w:r>
      <w:r w:rsidR="000154D2" w:rsidRPr="000154D2">
        <w:rPr>
          <w:rFonts w:cs="Arial"/>
          <w:iCs/>
        </w:rPr>
        <w:t xml:space="preserve"> de ofertas </w:t>
      </w:r>
      <w:r w:rsidR="007925F0">
        <w:rPr>
          <w:rFonts w:cs="Arial"/>
          <w:iCs/>
        </w:rPr>
        <w:t xml:space="preserve">electrónica </w:t>
      </w:r>
      <w:r w:rsidR="000154D2" w:rsidRPr="000154D2">
        <w:rPr>
          <w:rFonts w:cs="Arial"/>
          <w:iCs/>
        </w:rPr>
        <w:t>para el 10/10/18 a las 12:0</w:t>
      </w:r>
      <w:r w:rsidR="00EF17DD" w:rsidRPr="000154D2">
        <w:rPr>
          <w:rFonts w:cs="Arial"/>
          <w:iCs/>
        </w:rPr>
        <w:t>0 horas, con antelación suficiente;</w:t>
      </w:r>
    </w:p>
    <w:p w:rsidR="00280FF0" w:rsidRDefault="00280FF0" w:rsidP="00280FF0">
      <w:pPr>
        <w:spacing w:line="360" w:lineRule="auto"/>
        <w:ind w:firstLine="2694"/>
        <w:jc w:val="both"/>
        <w:rPr>
          <w:rFonts w:cs="Arial"/>
          <w:i/>
          <w:iCs/>
        </w:rPr>
      </w:pPr>
      <w:r w:rsidRPr="00280FF0">
        <w:rPr>
          <w:rFonts w:cs="Arial"/>
          <w:iCs/>
        </w:rPr>
        <w:t xml:space="preserve"> </w:t>
      </w:r>
      <w:r w:rsidR="00EF17DD" w:rsidRPr="007925F0">
        <w:rPr>
          <w:rFonts w:cs="Arial"/>
          <w:b/>
          <w:lang w:val="es-MX"/>
        </w:rPr>
        <w:t>3)</w:t>
      </w:r>
      <w:r w:rsidR="00EF17DD" w:rsidRPr="007925F0">
        <w:rPr>
          <w:rFonts w:cs="Arial"/>
          <w:lang w:val="es-MX"/>
        </w:rPr>
        <w:t xml:space="preserve"> que </w:t>
      </w:r>
      <w:r w:rsidR="00EC6BD4" w:rsidRPr="007925F0">
        <w:rPr>
          <w:rFonts w:cs="Arial"/>
          <w:lang w:val="es-MX"/>
        </w:rPr>
        <w:t>al a</w:t>
      </w:r>
      <w:r w:rsidR="007925F0" w:rsidRPr="007925F0">
        <w:rPr>
          <w:rFonts w:cs="Arial"/>
          <w:lang w:val="es-MX"/>
        </w:rPr>
        <w:t>cto de apertura celebrado en forma electrónica el 10/10/18</w:t>
      </w:r>
      <w:r w:rsidR="00EF17DD" w:rsidRPr="007925F0">
        <w:rPr>
          <w:rFonts w:cs="Arial"/>
          <w:lang w:val="es-MX"/>
        </w:rPr>
        <w:t xml:space="preserve">, </w:t>
      </w:r>
      <w:r w:rsidR="00EC6BD4" w:rsidRPr="007925F0">
        <w:rPr>
          <w:rFonts w:cs="Arial"/>
          <w:lang w:val="es-MX"/>
        </w:rPr>
        <w:t xml:space="preserve">presentaron: </w:t>
      </w:r>
      <w:r w:rsidR="007925F0" w:rsidRPr="007925F0">
        <w:rPr>
          <w:rFonts w:cs="Arial"/>
          <w:b/>
          <w:lang w:val="es-MX"/>
        </w:rPr>
        <w:t>a)</w:t>
      </w:r>
      <w:r w:rsidR="007925F0" w:rsidRPr="007925F0">
        <w:rPr>
          <w:rFonts w:cs="Arial"/>
          <w:lang w:val="es-MX"/>
        </w:rPr>
        <w:t xml:space="preserve"> </w:t>
      </w:r>
      <w:r w:rsidR="007925F0" w:rsidRPr="007925F0">
        <w:rPr>
          <w:rFonts w:cs="Arial"/>
          <w:bCs/>
          <w:lang w:val="es-ES_tradnl"/>
        </w:rPr>
        <w:t xml:space="preserve">Cuello Martínez, Silvana Leticia, </w:t>
      </w:r>
      <w:r>
        <w:rPr>
          <w:rFonts w:cs="Arial"/>
          <w:bCs/>
          <w:lang w:val="es-ES_tradnl"/>
        </w:rPr>
        <w:t xml:space="preserve">         </w:t>
      </w:r>
      <w:r w:rsidR="007925F0" w:rsidRPr="007925F0">
        <w:rPr>
          <w:rFonts w:cs="Arial"/>
          <w:b/>
          <w:bCs/>
          <w:lang w:val="es-ES_tradnl"/>
        </w:rPr>
        <w:t>b)</w:t>
      </w:r>
      <w:r w:rsidR="007925F0" w:rsidRPr="007925F0">
        <w:rPr>
          <w:rFonts w:cs="Arial"/>
          <w:bCs/>
          <w:lang w:val="es-ES_tradnl"/>
        </w:rPr>
        <w:t xml:space="preserve"> </w:t>
      </w:r>
      <w:r w:rsidR="007925F0" w:rsidRPr="003A591C">
        <w:rPr>
          <w:rFonts w:cs="Arial"/>
          <w:bCs/>
          <w:lang w:val="es-ES_tradnl"/>
        </w:rPr>
        <w:t xml:space="preserve">Custodio González, Álvaro Conrado, </w:t>
      </w:r>
      <w:r w:rsidR="007925F0" w:rsidRPr="003A591C">
        <w:rPr>
          <w:rFonts w:cs="Arial"/>
          <w:b/>
          <w:bCs/>
          <w:lang w:val="es-ES_tradnl"/>
        </w:rPr>
        <w:t>c)</w:t>
      </w:r>
      <w:r w:rsidR="007925F0" w:rsidRPr="003A591C">
        <w:rPr>
          <w:rFonts w:cs="Arial"/>
          <w:bCs/>
          <w:lang w:val="es-ES_tradnl"/>
        </w:rPr>
        <w:t xml:space="preserve"> Jiménez </w:t>
      </w:r>
      <w:proofErr w:type="spellStart"/>
      <w:r w:rsidR="007925F0" w:rsidRPr="003A591C">
        <w:rPr>
          <w:rFonts w:cs="Arial"/>
          <w:bCs/>
          <w:lang w:val="es-ES_tradnl"/>
        </w:rPr>
        <w:t>Felice</w:t>
      </w:r>
      <w:proofErr w:type="spellEnd"/>
      <w:r w:rsidR="007925F0" w:rsidRPr="003A591C">
        <w:rPr>
          <w:rFonts w:cs="Arial"/>
          <w:bCs/>
          <w:lang w:val="es-ES_tradnl"/>
        </w:rPr>
        <w:t xml:space="preserve">, Rodrigo, </w:t>
      </w:r>
      <w:r>
        <w:rPr>
          <w:rFonts w:cs="Arial"/>
          <w:bCs/>
          <w:lang w:val="es-ES_tradnl"/>
        </w:rPr>
        <w:t xml:space="preserve">                 </w:t>
      </w:r>
      <w:r w:rsidR="007925F0" w:rsidRPr="003A591C">
        <w:rPr>
          <w:rFonts w:cs="Arial"/>
          <w:b/>
          <w:bCs/>
          <w:lang w:val="es-ES_tradnl"/>
        </w:rPr>
        <w:t>d)</w:t>
      </w:r>
      <w:r w:rsidR="007925F0" w:rsidRPr="003A591C">
        <w:rPr>
          <w:rFonts w:cs="Arial"/>
          <w:bCs/>
          <w:lang w:val="es-ES_tradnl"/>
        </w:rPr>
        <w:t xml:space="preserve"> </w:t>
      </w:r>
      <w:proofErr w:type="spellStart"/>
      <w:r w:rsidR="007925F0" w:rsidRPr="003A591C">
        <w:rPr>
          <w:rFonts w:cs="Arial"/>
          <w:bCs/>
          <w:lang w:val="es-ES_tradnl"/>
        </w:rPr>
        <w:t>Lizasoain</w:t>
      </w:r>
      <w:proofErr w:type="spellEnd"/>
      <w:r w:rsidR="007925F0" w:rsidRPr="003A591C">
        <w:rPr>
          <w:rFonts w:cs="Arial"/>
          <w:bCs/>
          <w:lang w:val="es-ES_tradnl"/>
        </w:rPr>
        <w:t xml:space="preserve"> Silva, Gabriel </w:t>
      </w:r>
      <w:proofErr w:type="spellStart"/>
      <w:r w:rsidR="007925F0" w:rsidRPr="003A591C">
        <w:rPr>
          <w:rFonts w:cs="Arial"/>
          <w:bCs/>
          <w:lang w:val="es-ES_tradnl"/>
        </w:rPr>
        <w:t>Wenceslado</w:t>
      </w:r>
      <w:proofErr w:type="spellEnd"/>
      <w:r w:rsidR="007925F0" w:rsidRPr="003A591C">
        <w:rPr>
          <w:rFonts w:cs="Arial"/>
          <w:bCs/>
          <w:lang w:val="es-ES_tradnl"/>
        </w:rPr>
        <w:t xml:space="preserve">, </w:t>
      </w:r>
      <w:r w:rsidR="007925F0" w:rsidRPr="003A591C">
        <w:rPr>
          <w:rFonts w:cs="Arial"/>
          <w:b/>
          <w:bCs/>
          <w:lang w:val="es-ES_tradnl"/>
        </w:rPr>
        <w:t>e)</w:t>
      </w:r>
      <w:r w:rsidR="007925F0" w:rsidRPr="003A591C">
        <w:rPr>
          <w:rFonts w:cs="Arial"/>
          <w:bCs/>
          <w:lang w:val="es-ES_tradnl"/>
        </w:rPr>
        <w:t xml:space="preserve"> </w:t>
      </w:r>
      <w:proofErr w:type="spellStart"/>
      <w:r w:rsidR="007925F0" w:rsidRPr="003A591C">
        <w:rPr>
          <w:rFonts w:cs="Arial"/>
          <w:bCs/>
          <w:lang w:val="es-ES_tradnl"/>
        </w:rPr>
        <w:t>Obranir</w:t>
      </w:r>
      <w:proofErr w:type="spellEnd"/>
      <w:r w:rsidR="007925F0" w:rsidRPr="003A591C">
        <w:rPr>
          <w:rFonts w:cs="Arial"/>
          <w:bCs/>
          <w:lang w:val="es-ES_tradnl"/>
        </w:rPr>
        <w:t xml:space="preserve"> S.A., </w:t>
      </w:r>
      <w:r w:rsidR="007925F0" w:rsidRPr="003A591C">
        <w:rPr>
          <w:rFonts w:cs="Arial"/>
          <w:b/>
          <w:bCs/>
          <w:lang w:val="es-ES_tradnl"/>
        </w:rPr>
        <w:t>f)</w:t>
      </w:r>
      <w:r w:rsidR="007925F0" w:rsidRPr="003A591C">
        <w:rPr>
          <w:rFonts w:cs="Arial"/>
          <w:bCs/>
          <w:lang w:val="es-ES_tradnl"/>
        </w:rPr>
        <w:t xml:space="preserve"> </w:t>
      </w:r>
      <w:proofErr w:type="spellStart"/>
      <w:r w:rsidR="007925F0" w:rsidRPr="003A591C">
        <w:rPr>
          <w:rFonts w:cs="Arial"/>
          <w:bCs/>
          <w:lang w:val="es-ES_tradnl"/>
        </w:rPr>
        <w:t>Tecnos</w:t>
      </w:r>
      <w:proofErr w:type="spellEnd"/>
      <w:r w:rsidR="007925F0" w:rsidRPr="003A591C">
        <w:rPr>
          <w:rFonts w:cs="Arial"/>
          <w:bCs/>
          <w:lang w:val="es-ES_tradnl"/>
        </w:rPr>
        <w:t xml:space="preserve"> Ingeniería S.R.L., y, </w:t>
      </w:r>
      <w:r w:rsidR="007925F0" w:rsidRPr="003A591C">
        <w:rPr>
          <w:rFonts w:cs="Arial"/>
          <w:b/>
          <w:bCs/>
          <w:lang w:val="es-ES_tradnl"/>
        </w:rPr>
        <w:t>g)</w:t>
      </w:r>
      <w:r w:rsidR="007925F0" w:rsidRPr="003A591C">
        <w:rPr>
          <w:rFonts w:cs="Arial"/>
          <w:bCs/>
          <w:lang w:val="es-ES_tradnl"/>
        </w:rPr>
        <w:t xml:space="preserve"> Unión Eléctrica S.A.;</w:t>
      </w:r>
    </w:p>
    <w:p w:rsidR="00280FF0" w:rsidRDefault="00280FF0" w:rsidP="00280FF0">
      <w:pPr>
        <w:spacing w:line="360" w:lineRule="auto"/>
        <w:ind w:firstLine="2694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  <w:r w:rsidR="00991FAC" w:rsidRPr="003A591C">
        <w:rPr>
          <w:rFonts w:cs="Arial"/>
          <w:b/>
          <w:bCs/>
          <w:lang w:val="es-MX"/>
        </w:rPr>
        <w:t>4)</w:t>
      </w:r>
      <w:r w:rsidR="00991FAC" w:rsidRPr="003A591C">
        <w:rPr>
          <w:rFonts w:cs="Arial"/>
          <w:bCs/>
          <w:lang w:val="es-MX"/>
        </w:rPr>
        <w:t xml:space="preserve"> que </w:t>
      </w:r>
      <w:r w:rsidR="008517A0">
        <w:rPr>
          <w:rFonts w:cs="Arial"/>
          <w:bCs/>
          <w:lang w:val="es-MX"/>
        </w:rPr>
        <w:t>d</w:t>
      </w:r>
      <w:r w:rsidR="00083DE1">
        <w:rPr>
          <w:rFonts w:cs="Arial"/>
          <w:bCs/>
          <w:lang w:val="es-MX"/>
        </w:rPr>
        <w:t xml:space="preserve">el análisis por parte de la Administración actuante, de los datos </w:t>
      </w:r>
      <w:r w:rsidR="00AF78CF" w:rsidRPr="00707B76">
        <w:rPr>
          <w:lang w:val="es-MX"/>
        </w:rPr>
        <w:t xml:space="preserve">y documentos </w:t>
      </w:r>
      <w:r w:rsidR="008517A0">
        <w:rPr>
          <w:lang w:val="es-MX"/>
        </w:rPr>
        <w:t>d</w:t>
      </w:r>
      <w:r w:rsidR="00AF78CF" w:rsidRPr="00707B76">
        <w:rPr>
          <w:lang w:val="es-MX"/>
        </w:rPr>
        <w:t xml:space="preserve">el Registro </w:t>
      </w:r>
      <w:r w:rsidR="00AF78CF" w:rsidRPr="00A04746">
        <w:rPr>
          <w:lang w:val="es-MX"/>
        </w:rPr>
        <w:t>Único de Proveedores del Estado</w:t>
      </w:r>
      <w:r w:rsidR="00083DE1">
        <w:rPr>
          <w:lang w:val="es-MX"/>
        </w:rPr>
        <w:t xml:space="preserve">, </w:t>
      </w:r>
      <w:r w:rsidR="008517A0">
        <w:rPr>
          <w:lang w:val="es-MX"/>
        </w:rPr>
        <w:t xml:space="preserve">surge </w:t>
      </w:r>
      <w:r w:rsidR="00083DE1">
        <w:rPr>
          <w:lang w:val="es-MX"/>
        </w:rPr>
        <w:t xml:space="preserve">que </w:t>
      </w:r>
      <w:r w:rsidR="00AF78CF" w:rsidRPr="00A04746">
        <w:rPr>
          <w:lang w:val="es-MX"/>
        </w:rPr>
        <w:t>todos los oferentes se encontraban inscriptos en Es</w:t>
      </w:r>
      <w:r w:rsidR="00083DE1">
        <w:rPr>
          <w:lang w:val="es-MX"/>
        </w:rPr>
        <w:t>tado Activo;</w:t>
      </w:r>
    </w:p>
    <w:p w:rsidR="00280FF0" w:rsidRDefault="00280FF0" w:rsidP="00280FF0">
      <w:pPr>
        <w:spacing w:line="360" w:lineRule="auto"/>
        <w:ind w:firstLine="2694"/>
        <w:jc w:val="both"/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 xml:space="preserve"> </w:t>
      </w:r>
      <w:r w:rsidR="00816697">
        <w:rPr>
          <w:rFonts w:cs="Arial"/>
          <w:b/>
          <w:bCs/>
          <w:lang w:val="es-MX"/>
        </w:rPr>
        <w:t>5</w:t>
      </w:r>
      <w:r w:rsidR="00816697" w:rsidRPr="003A591C">
        <w:rPr>
          <w:rFonts w:cs="Arial"/>
          <w:b/>
          <w:bCs/>
          <w:lang w:val="es-MX"/>
        </w:rPr>
        <w:t>)</w:t>
      </w:r>
      <w:r w:rsidR="00816697" w:rsidRPr="003A591C">
        <w:rPr>
          <w:rFonts w:cs="Arial"/>
          <w:bCs/>
          <w:lang w:val="es-MX"/>
        </w:rPr>
        <w:t xml:space="preserve"> que</w:t>
      </w:r>
      <w:r w:rsidR="00880831">
        <w:rPr>
          <w:rFonts w:cs="Arial"/>
          <w:bCs/>
          <w:lang w:val="es-MX"/>
        </w:rPr>
        <w:t xml:space="preserve"> con fecha 11/10/18, se constató que </w:t>
      </w:r>
      <w:r w:rsidR="00AF78CF" w:rsidRPr="000B731F">
        <w:rPr>
          <w:lang w:val="es-MX"/>
        </w:rPr>
        <w:t xml:space="preserve">la totalidad de los </w:t>
      </w:r>
      <w:r w:rsidR="00AF78CF" w:rsidRPr="00703F6E">
        <w:rPr>
          <w:lang w:val="es-MX"/>
        </w:rPr>
        <w:t>oferentes adquirieron el Pli</w:t>
      </w:r>
      <w:r w:rsidR="00880831">
        <w:rPr>
          <w:lang w:val="es-MX"/>
        </w:rPr>
        <w:t>ego de Condiciones Particulares;</w:t>
      </w:r>
    </w:p>
    <w:p w:rsidR="00280FF0" w:rsidRDefault="00280FF0" w:rsidP="00280FF0">
      <w:pPr>
        <w:spacing w:line="360" w:lineRule="auto"/>
        <w:ind w:firstLine="2694"/>
        <w:jc w:val="both"/>
        <w:rPr>
          <w:lang w:val="es-MX"/>
        </w:rPr>
      </w:pPr>
      <w:r>
        <w:rPr>
          <w:rFonts w:cs="Arial"/>
          <w:i/>
          <w:iCs/>
        </w:rPr>
        <w:t xml:space="preserve"> </w:t>
      </w:r>
      <w:r w:rsidR="00880831">
        <w:rPr>
          <w:rFonts w:cs="Arial"/>
          <w:b/>
          <w:bCs/>
          <w:lang w:val="es-MX"/>
        </w:rPr>
        <w:t>6</w:t>
      </w:r>
      <w:r w:rsidR="00880831" w:rsidRPr="003A591C">
        <w:rPr>
          <w:rFonts w:cs="Arial"/>
          <w:b/>
          <w:bCs/>
          <w:lang w:val="es-MX"/>
        </w:rPr>
        <w:t>)</w:t>
      </w:r>
      <w:r w:rsidR="00880831" w:rsidRPr="003A591C">
        <w:rPr>
          <w:rFonts w:cs="Arial"/>
          <w:bCs/>
          <w:lang w:val="es-MX"/>
        </w:rPr>
        <w:t xml:space="preserve"> que</w:t>
      </w:r>
      <w:r w:rsidR="00880831">
        <w:rPr>
          <w:rFonts w:cs="Arial"/>
          <w:bCs/>
          <w:lang w:val="es-MX"/>
        </w:rPr>
        <w:t xml:space="preserve"> la Encargada de Unidad Licitaciones </w:t>
      </w:r>
      <w:r w:rsidR="00853EA3">
        <w:rPr>
          <w:rFonts w:cs="Arial"/>
          <w:bCs/>
          <w:lang w:val="es-MX"/>
        </w:rPr>
        <w:t xml:space="preserve">realizó informe el </w:t>
      </w:r>
      <w:r w:rsidR="003210B9">
        <w:rPr>
          <w:rFonts w:cs="Arial"/>
          <w:bCs/>
          <w:lang w:val="es-MX"/>
        </w:rPr>
        <w:t>12/10/18, en</w:t>
      </w:r>
      <w:r w:rsidR="00853EA3">
        <w:rPr>
          <w:rFonts w:cs="Arial"/>
          <w:bCs/>
          <w:lang w:val="es-MX"/>
        </w:rPr>
        <w:t xml:space="preserve"> el que analizó c</w:t>
      </w:r>
      <w:r w:rsidR="00AF78CF" w:rsidRPr="00703F6E">
        <w:rPr>
          <w:lang w:val="es-MX"/>
        </w:rPr>
        <w:t>ada una de las o</w:t>
      </w:r>
      <w:r w:rsidR="00AF78CF">
        <w:rPr>
          <w:lang w:val="es-MX"/>
        </w:rPr>
        <w:t>fertas presentadas, en cuanto al cumplimiento de requisitos formales, documentos integrantes de la oferta y otros re</w:t>
      </w:r>
      <w:r w:rsidR="00853EA3">
        <w:rPr>
          <w:lang w:val="es-MX"/>
        </w:rPr>
        <w:t xml:space="preserve">quisitos exigidos en el Pliego, mientras que la Dirección Sectorial de Infraestructura, con fecha 16/10/18, </w:t>
      </w:r>
      <w:r w:rsidR="003210B9">
        <w:rPr>
          <w:lang w:val="es-MX"/>
        </w:rPr>
        <w:t>hizo un estudio de</w:t>
      </w:r>
      <w:r w:rsidR="00AF78CF">
        <w:rPr>
          <w:lang w:val="es-MX"/>
        </w:rPr>
        <w:t xml:space="preserve"> la cotizac</w:t>
      </w:r>
      <w:r w:rsidR="00853EA3">
        <w:rPr>
          <w:lang w:val="es-MX"/>
        </w:rPr>
        <w:t>ión formulada por cada oferente;</w:t>
      </w:r>
    </w:p>
    <w:p w:rsidR="00AF78CF" w:rsidRPr="00280FF0" w:rsidRDefault="00280FF0" w:rsidP="00280FF0">
      <w:pPr>
        <w:spacing w:line="360" w:lineRule="auto"/>
        <w:ind w:firstLine="2694"/>
        <w:jc w:val="both"/>
        <w:rPr>
          <w:rFonts w:cs="Arial"/>
          <w:i/>
          <w:iCs/>
        </w:rPr>
      </w:pPr>
      <w:r>
        <w:rPr>
          <w:lang w:val="es-MX"/>
        </w:rPr>
        <w:t xml:space="preserve"> </w:t>
      </w:r>
      <w:r w:rsidR="00AC11BE">
        <w:rPr>
          <w:rFonts w:cs="Arial"/>
          <w:b/>
          <w:bCs/>
          <w:lang w:val="es-MX"/>
        </w:rPr>
        <w:t>7</w:t>
      </w:r>
      <w:r w:rsidR="00AC11BE" w:rsidRPr="003A591C">
        <w:rPr>
          <w:rFonts w:cs="Arial"/>
          <w:b/>
          <w:bCs/>
          <w:lang w:val="es-MX"/>
        </w:rPr>
        <w:t>)</w:t>
      </w:r>
      <w:r w:rsidR="00AC11BE" w:rsidRPr="003A591C">
        <w:rPr>
          <w:rFonts w:cs="Arial"/>
          <w:bCs/>
          <w:lang w:val="es-MX"/>
        </w:rPr>
        <w:t xml:space="preserve"> que</w:t>
      </w:r>
      <w:r w:rsidR="00AC11BE">
        <w:rPr>
          <w:rFonts w:cs="Arial"/>
          <w:bCs/>
          <w:lang w:val="es-MX"/>
        </w:rPr>
        <w:t xml:space="preserve"> </w:t>
      </w:r>
      <w:r w:rsidR="003210B9">
        <w:rPr>
          <w:rFonts w:cs="Arial"/>
          <w:bCs/>
          <w:lang w:val="es-MX"/>
        </w:rPr>
        <w:t xml:space="preserve">con fecha 16/10/18, el </w:t>
      </w:r>
      <w:r w:rsidR="00AF78CF" w:rsidRPr="003210B9">
        <w:rPr>
          <w:lang w:val="es-MX"/>
        </w:rPr>
        <w:t>Área de Gestión y Contralor de Obras,</w:t>
      </w:r>
      <w:r w:rsidR="00AF78CF" w:rsidRPr="00703F6E">
        <w:rPr>
          <w:lang w:val="es-MX"/>
        </w:rPr>
        <w:t xml:space="preserve"> </w:t>
      </w:r>
      <w:r w:rsidR="003210B9">
        <w:rPr>
          <w:lang w:val="es-MX"/>
        </w:rPr>
        <w:t>analizó</w:t>
      </w:r>
      <w:r w:rsidR="00AF78CF">
        <w:rPr>
          <w:lang w:val="es-MX"/>
        </w:rPr>
        <w:t xml:space="preserve"> la admisibilidad de las ofertas, indicando que:</w:t>
      </w:r>
    </w:p>
    <w:p w:rsidR="00AF78CF" w:rsidRDefault="003210B9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7.</w:t>
      </w:r>
      <w:r w:rsidR="00AF78CF" w:rsidRPr="00854223">
        <w:rPr>
          <w:b/>
          <w:szCs w:val="24"/>
          <w:lang w:val="es-MX"/>
        </w:rPr>
        <w:t>1)</w:t>
      </w:r>
      <w:r w:rsidR="00AF78CF">
        <w:rPr>
          <w:szCs w:val="24"/>
          <w:lang w:val="es-MX"/>
        </w:rPr>
        <w:t xml:space="preserve"> No son admisibles las propuestas de:</w:t>
      </w:r>
    </w:p>
    <w:p w:rsidR="00AF78CF" w:rsidRDefault="00AC390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7.</w:t>
      </w:r>
      <w:r w:rsidR="00AF78CF">
        <w:rPr>
          <w:szCs w:val="24"/>
          <w:lang w:val="es-MX"/>
        </w:rPr>
        <w:t xml:space="preserve">1.1.- Cuello Martínez Silvana y de </w:t>
      </w:r>
      <w:proofErr w:type="spellStart"/>
      <w:r w:rsidR="00AF78CF">
        <w:rPr>
          <w:szCs w:val="24"/>
          <w:lang w:val="es-MX"/>
        </w:rPr>
        <w:t>Lizasoain</w:t>
      </w:r>
      <w:proofErr w:type="spellEnd"/>
      <w:r w:rsidR="00AF78CF">
        <w:rPr>
          <w:szCs w:val="24"/>
          <w:lang w:val="es-MX"/>
        </w:rPr>
        <w:t xml:space="preserve"> Ga</w:t>
      </w:r>
      <w:r>
        <w:rPr>
          <w:szCs w:val="24"/>
          <w:lang w:val="es-MX"/>
        </w:rPr>
        <w:t>briel, en tanto no cuentan con certificado de cuantificación de la capacidad de o</w:t>
      </w:r>
      <w:r w:rsidR="00AF78CF">
        <w:rPr>
          <w:szCs w:val="24"/>
          <w:lang w:val="es-MX"/>
        </w:rPr>
        <w:t>fertar, siendo que el monto de su oferta supera el tope máximo de Licitación Abreviada.</w:t>
      </w:r>
    </w:p>
    <w:p w:rsidR="00AF78CF" w:rsidRDefault="00AC390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7.</w:t>
      </w:r>
      <w:r w:rsidR="00AF78CF">
        <w:rPr>
          <w:szCs w:val="24"/>
          <w:lang w:val="es-MX"/>
        </w:rPr>
        <w:t xml:space="preserve">1.2.- Jiménez </w:t>
      </w:r>
      <w:proofErr w:type="spellStart"/>
      <w:r w:rsidR="00AF78CF">
        <w:rPr>
          <w:szCs w:val="24"/>
          <w:lang w:val="es-MX"/>
        </w:rPr>
        <w:t>Felice</w:t>
      </w:r>
      <w:proofErr w:type="spellEnd"/>
      <w:r w:rsidR="00AF78CF">
        <w:rPr>
          <w:szCs w:val="24"/>
          <w:lang w:val="es-MX"/>
        </w:rPr>
        <w:t xml:space="preserve"> Rodrigo, dado que el porcentaje de imprevistos considerado no es el especificado en el Pliego de Condiciones, por lo cual e</w:t>
      </w:r>
      <w:r>
        <w:rPr>
          <w:szCs w:val="24"/>
          <w:lang w:val="es-MX"/>
        </w:rPr>
        <w:t>l monto ofertado no es correcto.</w:t>
      </w:r>
    </w:p>
    <w:p w:rsidR="00AF78CF" w:rsidRDefault="00AC390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7.</w:t>
      </w:r>
      <w:r w:rsidR="00AF78CF" w:rsidRPr="00854223">
        <w:rPr>
          <w:b/>
          <w:szCs w:val="24"/>
          <w:lang w:val="es-MX"/>
        </w:rPr>
        <w:t>2)</w:t>
      </w:r>
      <w:r w:rsidR="00AF78CF">
        <w:rPr>
          <w:szCs w:val="24"/>
          <w:lang w:val="es-MX"/>
        </w:rPr>
        <w:t xml:space="preserve"> Son admisibles las ofertas que a continuación se indican, destacando que no fueron objeto de objeciones formales y resultan técnicamente correctas: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</w:tblGrid>
      <w:tr w:rsidR="00AF78CF" w:rsidRPr="000178EA" w:rsidTr="00280FF0">
        <w:tc>
          <w:tcPr>
            <w:tcW w:w="3936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sz w:val="22"/>
                <w:szCs w:val="22"/>
                <w:lang w:val="es-MX"/>
              </w:rPr>
            </w:pPr>
            <w:r w:rsidRPr="000178EA">
              <w:rPr>
                <w:b/>
                <w:sz w:val="22"/>
                <w:szCs w:val="22"/>
                <w:lang w:val="es-MX"/>
              </w:rPr>
              <w:t>OFERENTE</w:t>
            </w:r>
          </w:p>
        </w:tc>
        <w:tc>
          <w:tcPr>
            <w:tcW w:w="2835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sz w:val="22"/>
                <w:szCs w:val="22"/>
                <w:lang w:val="es-MX"/>
              </w:rPr>
            </w:pPr>
            <w:r w:rsidRPr="000178EA">
              <w:rPr>
                <w:b/>
                <w:sz w:val="22"/>
                <w:szCs w:val="22"/>
                <w:lang w:val="es-MX"/>
              </w:rPr>
              <w:t>PRECIO GLOBAL COTIZADO</w:t>
            </w:r>
          </w:p>
        </w:tc>
      </w:tr>
      <w:tr w:rsidR="00AF78CF" w:rsidRPr="000178EA" w:rsidTr="00280FF0">
        <w:tc>
          <w:tcPr>
            <w:tcW w:w="3936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 xml:space="preserve">Custodio González </w:t>
            </w:r>
            <w:proofErr w:type="spellStart"/>
            <w:r w:rsidRPr="000178EA">
              <w:rPr>
                <w:sz w:val="22"/>
                <w:szCs w:val="22"/>
                <w:lang w:val="es-MX"/>
              </w:rPr>
              <w:t>Alvaro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$ 16:820.924,10</w:t>
            </w:r>
          </w:p>
        </w:tc>
      </w:tr>
      <w:tr w:rsidR="00AF78CF" w:rsidRPr="000178EA" w:rsidTr="00280FF0">
        <w:tc>
          <w:tcPr>
            <w:tcW w:w="3936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proofErr w:type="spellStart"/>
            <w:r w:rsidRPr="000178EA">
              <w:rPr>
                <w:sz w:val="22"/>
                <w:szCs w:val="22"/>
                <w:lang w:val="es-MX"/>
              </w:rPr>
              <w:t>Obranir</w:t>
            </w:r>
            <w:proofErr w:type="spellEnd"/>
            <w:r w:rsidRPr="000178EA">
              <w:rPr>
                <w:sz w:val="22"/>
                <w:szCs w:val="22"/>
                <w:lang w:val="es-MX"/>
              </w:rPr>
              <w:t xml:space="preserve"> S.A.</w:t>
            </w:r>
          </w:p>
        </w:tc>
        <w:tc>
          <w:tcPr>
            <w:tcW w:w="2835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$ 25:514.577,78</w:t>
            </w:r>
          </w:p>
        </w:tc>
      </w:tr>
      <w:tr w:rsidR="00AF78CF" w:rsidRPr="000178EA" w:rsidTr="00280FF0">
        <w:tc>
          <w:tcPr>
            <w:tcW w:w="3936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proofErr w:type="spellStart"/>
            <w:r w:rsidRPr="000178EA">
              <w:rPr>
                <w:sz w:val="22"/>
                <w:szCs w:val="22"/>
                <w:lang w:val="es-MX"/>
              </w:rPr>
              <w:t>Tecnos</w:t>
            </w:r>
            <w:proofErr w:type="spellEnd"/>
            <w:r w:rsidRPr="000178EA">
              <w:rPr>
                <w:sz w:val="22"/>
                <w:szCs w:val="22"/>
                <w:lang w:val="es-MX"/>
              </w:rPr>
              <w:t xml:space="preserve"> S.R.L.</w:t>
            </w:r>
          </w:p>
        </w:tc>
        <w:tc>
          <w:tcPr>
            <w:tcW w:w="2835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$ 17:465.125</w:t>
            </w:r>
          </w:p>
        </w:tc>
      </w:tr>
      <w:tr w:rsidR="00AF78CF" w:rsidRPr="000178EA" w:rsidTr="00280FF0">
        <w:tc>
          <w:tcPr>
            <w:tcW w:w="3936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Unión Eléctrica S.A.</w:t>
            </w:r>
          </w:p>
        </w:tc>
        <w:tc>
          <w:tcPr>
            <w:tcW w:w="2835" w:type="dxa"/>
            <w:shd w:val="clear" w:color="auto" w:fill="auto"/>
          </w:tcPr>
          <w:p w:rsidR="00AF78CF" w:rsidRPr="000178EA" w:rsidRDefault="00AF78CF" w:rsidP="00381F31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$ 24:620.192</w:t>
            </w:r>
          </w:p>
        </w:tc>
      </w:tr>
    </w:tbl>
    <w:p w:rsidR="00AF78CF" w:rsidRPr="00280FF0" w:rsidRDefault="00280FF0" w:rsidP="00280FF0">
      <w:pPr>
        <w:pStyle w:val="Piedepgina"/>
        <w:tabs>
          <w:tab w:val="clear" w:pos="4419"/>
          <w:tab w:val="clear" w:pos="8838"/>
        </w:tabs>
        <w:spacing w:line="360" w:lineRule="auto"/>
        <w:ind w:firstLine="2694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AC3900">
        <w:rPr>
          <w:rFonts w:cs="Arial"/>
          <w:b/>
          <w:bCs/>
          <w:lang w:val="es-MX"/>
        </w:rPr>
        <w:t>8</w:t>
      </w:r>
      <w:r w:rsidR="00AC3900" w:rsidRPr="003A591C">
        <w:rPr>
          <w:rFonts w:cs="Arial"/>
          <w:b/>
          <w:bCs/>
          <w:lang w:val="es-MX"/>
        </w:rPr>
        <w:t>)</w:t>
      </w:r>
      <w:r w:rsidR="00AC3900" w:rsidRPr="003A591C">
        <w:rPr>
          <w:rFonts w:cs="Arial"/>
          <w:bCs/>
          <w:lang w:val="es-MX"/>
        </w:rPr>
        <w:t xml:space="preserve"> que</w:t>
      </w:r>
      <w:r w:rsidR="00AC3900">
        <w:rPr>
          <w:rFonts w:cs="Arial"/>
          <w:bCs/>
          <w:lang w:val="es-MX"/>
        </w:rPr>
        <w:t xml:space="preserve"> el Área de Gestión y Co</w:t>
      </w:r>
      <w:r w:rsidR="008517A0">
        <w:rPr>
          <w:rFonts w:cs="Arial"/>
          <w:bCs/>
          <w:lang w:val="es-MX"/>
        </w:rPr>
        <w:t>ntralor de Obras realizó informó</w:t>
      </w:r>
      <w:r w:rsidR="00AC3900">
        <w:rPr>
          <w:rFonts w:cs="Arial"/>
          <w:bCs/>
          <w:lang w:val="es-MX"/>
        </w:rPr>
        <w:t xml:space="preserve"> el 1/11/18, </w:t>
      </w:r>
      <w:r w:rsidR="00AF78CF">
        <w:rPr>
          <w:szCs w:val="24"/>
          <w:lang w:val="es-MX"/>
        </w:rPr>
        <w:t xml:space="preserve">los </w:t>
      </w:r>
      <w:r w:rsidR="00AC3900">
        <w:rPr>
          <w:szCs w:val="24"/>
          <w:lang w:val="es-MX"/>
        </w:rPr>
        <w:t xml:space="preserve">estudios </w:t>
      </w:r>
      <w:r w:rsidR="00AF78CF">
        <w:rPr>
          <w:szCs w:val="24"/>
          <w:lang w:val="es-MX"/>
        </w:rPr>
        <w:t>ant</w:t>
      </w:r>
      <w:r w:rsidR="00AC3900">
        <w:rPr>
          <w:szCs w:val="24"/>
          <w:lang w:val="es-MX"/>
        </w:rPr>
        <w:t>eriormente efectuados, y comparó</w:t>
      </w:r>
      <w:r w:rsidR="00AF78CF">
        <w:rPr>
          <w:szCs w:val="24"/>
          <w:lang w:val="es-MX"/>
        </w:rPr>
        <w:t xml:space="preserve"> las ofertas según precio, concluyendo que las propuestas de Álvaro Conrado Custodio González y </w:t>
      </w:r>
      <w:proofErr w:type="spellStart"/>
      <w:r w:rsidR="00AF78CF">
        <w:rPr>
          <w:szCs w:val="24"/>
          <w:lang w:val="es-MX"/>
        </w:rPr>
        <w:t>Tecnos</w:t>
      </w:r>
      <w:proofErr w:type="spellEnd"/>
      <w:r w:rsidR="00AF78CF">
        <w:rPr>
          <w:szCs w:val="24"/>
          <w:lang w:val="es-MX"/>
        </w:rPr>
        <w:t xml:space="preserve"> Ingeniería S.R.L. son similares en montos </w:t>
      </w:r>
      <w:r w:rsidR="00AF78CF">
        <w:rPr>
          <w:szCs w:val="24"/>
          <w:lang w:val="es-MX"/>
        </w:rPr>
        <w:lastRenderedPageBreak/>
        <w:t>cotizados, por lo que la Administración tiene la facultad de i</w:t>
      </w:r>
      <w:r w:rsidR="00AC3900">
        <w:rPr>
          <w:szCs w:val="24"/>
          <w:lang w:val="es-MX"/>
        </w:rPr>
        <w:t>nvitarlos a mejorar sus precios;</w:t>
      </w:r>
    </w:p>
    <w:p w:rsidR="00AF78CF" w:rsidRDefault="00280FF0" w:rsidP="00280FF0">
      <w:pPr>
        <w:pStyle w:val="Piedepgina"/>
        <w:tabs>
          <w:tab w:val="clear" w:pos="4419"/>
          <w:tab w:val="clear" w:pos="8838"/>
        </w:tabs>
        <w:spacing w:line="360" w:lineRule="auto"/>
        <w:ind w:firstLine="2694"/>
        <w:jc w:val="both"/>
        <w:rPr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AC3900">
        <w:rPr>
          <w:rFonts w:cs="Arial"/>
          <w:b/>
          <w:bCs/>
          <w:lang w:val="es-MX"/>
        </w:rPr>
        <w:t>9</w:t>
      </w:r>
      <w:r w:rsidR="00AC3900" w:rsidRPr="003A591C">
        <w:rPr>
          <w:rFonts w:cs="Arial"/>
          <w:b/>
          <w:bCs/>
          <w:lang w:val="es-MX"/>
        </w:rPr>
        <w:t>)</w:t>
      </w:r>
      <w:r w:rsidR="00AC3900" w:rsidRPr="003A591C">
        <w:rPr>
          <w:rFonts w:cs="Arial"/>
          <w:bCs/>
          <w:lang w:val="es-MX"/>
        </w:rPr>
        <w:t xml:space="preserve"> que</w:t>
      </w:r>
      <w:r w:rsidR="00AC3900">
        <w:rPr>
          <w:rFonts w:cs="Arial"/>
          <w:bCs/>
          <w:lang w:val="es-MX"/>
        </w:rPr>
        <w:t xml:space="preserve"> con fecha 16/11/18, la C</w:t>
      </w:r>
      <w:r w:rsidR="008517A0">
        <w:rPr>
          <w:rFonts w:cs="Arial"/>
          <w:bCs/>
          <w:lang w:val="es-MX"/>
        </w:rPr>
        <w:t xml:space="preserve">omisión Asesora realizó informe, </w:t>
      </w:r>
      <w:r w:rsidR="00AF78CF">
        <w:rPr>
          <w:lang w:val="es-MX"/>
        </w:rPr>
        <w:t>indicando que:</w:t>
      </w:r>
    </w:p>
    <w:p w:rsidR="00AF78CF" w:rsidRDefault="00AC390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9.</w:t>
      </w:r>
      <w:r w:rsidR="00AF78CF" w:rsidRPr="00854223">
        <w:rPr>
          <w:b/>
          <w:szCs w:val="24"/>
          <w:lang w:val="es-MX"/>
        </w:rPr>
        <w:t>1)</w:t>
      </w:r>
      <w:r w:rsidR="00AF78CF">
        <w:rPr>
          <w:szCs w:val="24"/>
          <w:lang w:val="es-MX"/>
        </w:rPr>
        <w:t xml:space="preserve"> No son admisibles las propuestas de:</w:t>
      </w:r>
    </w:p>
    <w:p w:rsidR="00AF78CF" w:rsidRDefault="00AC3900" w:rsidP="0026757E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9.</w:t>
      </w:r>
      <w:r w:rsidR="00AF78CF">
        <w:rPr>
          <w:szCs w:val="24"/>
          <w:lang w:val="es-MX"/>
        </w:rPr>
        <w:t>1.1.- Cuello Martínez Silvana, en tanto no registra en RUPE Certificado del RNEOP válido para ofertar. Asimismo, la carta de presentación no está firmada por el titular o representante acreditado en RUPE, como establece el Artículo 9.3 Literal A) del Pliego de Condiciones Particulares.</w:t>
      </w:r>
    </w:p>
    <w:p w:rsidR="00AF78CF" w:rsidRDefault="00AC3900" w:rsidP="0026757E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9.</w:t>
      </w:r>
      <w:r w:rsidR="00AF78CF">
        <w:rPr>
          <w:szCs w:val="24"/>
          <w:lang w:val="es-MX"/>
        </w:rPr>
        <w:t xml:space="preserve">1.2.- </w:t>
      </w:r>
      <w:proofErr w:type="spellStart"/>
      <w:r w:rsidR="00AF78CF">
        <w:rPr>
          <w:szCs w:val="24"/>
          <w:lang w:val="es-MX"/>
        </w:rPr>
        <w:t>Lizasoain</w:t>
      </w:r>
      <w:proofErr w:type="spellEnd"/>
      <w:r w:rsidR="00AF78CF">
        <w:rPr>
          <w:szCs w:val="24"/>
          <w:lang w:val="es-MX"/>
        </w:rPr>
        <w:t xml:space="preserve"> Gabriel, por cuanto no registra en RUPE Certificado del RNEOP válido para ofertar, y por otra parte no efectuó previo al Acto de Apertura el depósito de Garantía de Mantenimiento de la Oferta.</w:t>
      </w:r>
    </w:p>
    <w:p w:rsidR="00AF78CF" w:rsidRDefault="00AC3900" w:rsidP="0026757E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>9.</w:t>
      </w:r>
      <w:r w:rsidR="00AF78CF">
        <w:rPr>
          <w:szCs w:val="24"/>
          <w:lang w:val="es-MX"/>
        </w:rPr>
        <w:t xml:space="preserve">1.3.- Jiménez </w:t>
      </w:r>
      <w:proofErr w:type="spellStart"/>
      <w:r w:rsidR="00AF78CF">
        <w:rPr>
          <w:szCs w:val="24"/>
          <w:lang w:val="es-MX"/>
        </w:rPr>
        <w:t>Felice</w:t>
      </w:r>
      <w:proofErr w:type="spellEnd"/>
      <w:r w:rsidR="00AF78CF">
        <w:rPr>
          <w:szCs w:val="24"/>
          <w:lang w:val="es-MX"/>
        </w:rPr>
        <w:t xml:space="preserve"> Rodrigo, dado que incumplió las bases del llamado al expresar en la carta de presentación 10% de imprevistos en lugar del 3% que prevé el Pliego de Condiciones Particulares, aplicando este porcentaje en la línea web de ACCE como en la carta de presentación de su oferta.</w:t>
      </w:r>
    </w:p>
    <w:p w:rsidR="00AF78CF" w:rsidRDefault="00AC390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szCs w:val="24"/>
          <w:lang w:val="es-MX"/>
        </w:rPr>
      </w:pPr>
      <w:r>
        <w:rPr>
          <w:b/>
          <w:szCs w:val="24"/>
          <w:lang w:val="es-MX"/>
        </w:rPr>
        <w:t>9.</w:t>
      </w:r>
      <w:r w:rsidR="00AF78CF" w:rsidRPr="00854223">
        <w:rPr>
          <w:b/>
          <w:szCs w:val="24"/>
          <w:lang w:val="es-MX"/>
        </w:rPr>
        <w:t>2)</w:t>
      </w:r>
      <w:r w:rsidR="00AF78CF">
        <w:rPr>
          <w:szCs w:val="24"/>
          <w:lang w:val="es-MX"/>
        </w:rPr>
        <w:t xml:space="preserve"> Son admisibles las ofertas de Custodio González Álvaro, </w:t>
      </w:r>
      <w:proofErr w:type="spellStart"/>
      <w:r w:rsidR="00AF78CF">
        <w:rPr>
          <w:szCs w:val="24"/>
          <w:lang w:val="es-MX"/>
        </w:rPr>
        <w:t>Obranir</w:t>
      </w:r>
      <w:proofErr w:type="spellEnd"/>
      <w:r w:rsidR="00AF78CF">
        <w:rPr>
          <w:szCs w:val="24"/>
          <w:lang w:val="es-MX"/>
        </w:rPr>
        <w:t xml:space="preserve"> S.A., </w:t>
      </w:r>
      <w:proofErr w:type="spellStart"/>
      <w:r w:rsidR="00AF78CF">
        <w:rPr>
          <w:szCs w:val="24"/>
          <w:lang w:val="es-MX"/>
        </w:rPr>
        <w:t>Tecnos</w:t>
      </w:r>
      <w:proofErr w:type="spellEnd"/>
      <w:r w:rsidR="00AF78CF">
        <w:rPr>
          <w:szCs w:val="24"/>
          <w:lang w:val="es-MX"/>
        </w:rPr>
        <w:t xml:space="preserve"> S.R.L. y Unión Eléctrica S.A.</w:t>
      </w:r>
    </w:p>
    <w:p w:rsidR="00AF78CF" w:rsidRPr="00855388" w:rsidRDefault="006B2BE0" w:rsidP="00280FF0">
      <w:pPr>
        <w:pStyle w:val="Piedepgina"/>
        <w:tabs>
          <w:tab w:val="clear" w:pos="4419"/>
          <w:tab w:val="clear" w:pos="8838"/>
        </w:tabs>
        <w:spacing w:line="360" w:lineRule="auto"/>
        <w:jc w:val="both"/>
        <w:rPr>
          <w:lang w:val="es-MX"/>
        </w:rPr>
      </w:pPr>
      <w:r>
        <w:rPr>
          <w:b/>
          <w:szCs w:val="24"/>
          <w:lang w:val="es-MX"/>
        </w:rPr>
        <w:t>9.</w:t>
      </w:r>
      <w:r w:rsidR="00AF78CF" w:rsidRPr="00A13BED">
        <w:rPr>
          <w:b/>
          <w:szCs w:val="24"/>
          <w:lang w:val="es-MX"/>
        </w:rPr>
        <w:t>3)</w:t>
      </w:r>
      <w:r w:rsidR="00AF78CF">
        <w:rPr>
          <w:szCs w:val="24"/>
          <w:lang w:val="es-MX"/>
        </w:rPr>
        <w:t xml:space="preserve"> Se sugiere </w:t>
      </w:r>
      <w:r w:rsidR="00AF78CF">
        <w:rPr>
          <w:lang w:val="es-MX"/>
        </w:rPr>
        <w:t xml:space="preserve">invitar a los oferentes Álvaro Custodio González y </w:t>
      </w:r>
      <w:proofErr w:type="spellStart"/>
      <w:r w:rsidR="00AF78CF">
        <w:rPr>
          <w:lang w:val="es-MX"/>
        </w:rPr>
        <w:t>Tecnos</w:t>
      </w:r>
      <w:proofErr w:type="spellEnd"/>
      <w:r w:rsidR="00AF78CF">
        <w:rPr>
          <w:lang w:val="es-MX"/>
        </w:rPr>
        <w:t xml:space="preserve"> Ingeniería S.R.L. a mejorar sus propuestas, da</w:t>
      </w:r>
      <w:r w:rsidR="00AC3900">
        <w:rPr>
          <w:lang w:val="es-MX"/>
        </w:rPr>
        <w:t>do que las mismas son similares;</w:t>
      </w:r>
    </w:p>
    <w:p w:rsidR="0026757E" w:rsidRDefault="0026757E" w:rsidP="0026757E">
      <w:pPr>
        <w:spacing w:line="360" w:lineRule="auto"/>
        <w:ind w:firstLine="2694"/>
        <w:jc w:val="both"/>
        <w:rPr>
          <w:color w:val="FF0000"/>
          <w:lang w:val="es-MX"/>
        </w:rPr>
      </w:pPr>
      <w:r>
        <w:rPr>
          <w:rFonts w:cs="Arial"/>
          <w:b/>
          <w:bCs/>
          <w:color w:val="FF0000"/>
          <w:lang w:val="es-MX"/>
        </w:rPr>
        <w:t xml:space="preserve"> </w:t>
      </w:r>
      <w:r w:rsidR="00AC3900">
        <w:rPr>
          <w:rFonts w:cs="Arial"/>
          <w:b/>
          <w:bCs/>
          <w:lang w:val="es-MX"/>
        </w:rPr>
        <w:t>10</w:t>
      </w:r>
      <w:r w:rsidR="00AC3900" w:rsidRPr="003A591C">
        <w:rPr>
          <w:rFonts w:cs="Arial"/>
          <w:b/>
          <w:bCs/>
          <w:lang w:val="es-MX"/>
        </w:rPr>
        <w:t>)</w:t>
      </w:r>
      <w:r w:rsidR="00AC3900" w:rsidRPr="003A591C">
        <w:rPr>
          <w:rFonts w:cs="Arial"/>
          <w:bCs/>
          <w:lang w:val="es-MX"/>
        </w:rPr>
        <w:t xml:space="preserve"> que</w:t>
      </w:r>
      <w:r w:rsidR="00AC3900">
        <w:rPr>
          <w:rFonts w:cs="Arial"/>
          <w:bCs/>
          <w:lang w:val="es-MX"/>
        </w:rPr>
        <w:t xml:space="preserve"> el 16/11/18, la Comisión Asesora convocó </w:t>
      </w:r>
      <w:r w:rsidR="00AF78CF">
        <w:rPr>
          <w:lang w:val="es-MX"/>
        </w:rPr>
        <w:t>a los oferentes Álvaro Custodio Gonz</w:t>
      </w:r>
      <w:r w:rsidR="00570DEA">
        <w:rPr>
          <w:lang w:val="es-MX"/>
        </w:rPr>
        <w:t xml:space="preserve">ález y </w:t>
      </w:r>
      <w:proofErr w:type="spellStart"/>
      <w:r w:rsidR="00570DEA">
        <w:rPr>
          <w:lang w:val="es-MX"/>
        </w:rPr>
        <w:t>Tecnos</w:t>
      </w:r>
      <w:proofErr w:type="spellEnd"/>
      <w:r w:rsidR="00570DEA">
        <w:rPr>
          <w:lang w:val="es-MX"/>
        </w:rPr>
        <w:t xml:space="preserve"> Ingeniería S.R.L.</w:t>
      </w:r>
      <w:r w:rsidR="00AF78CF">
        <w:rPr>
          <w:lang w:val="es-MX"/>
        </w:rPr>
        <w:t xml:space="preserve"> a mejorar sus ofertas, otorgando un plazo de dos días hábiles a dichos efectos</w:t>
      </w:r>
      <w:r w:rsidR="007F7E24">
        <w:rPr>
          <w:lang w:val="es-MX"/>
        </w:rPr>
        <w:t xml:space="preserve">, quienes </w:t>
      </w:r>
      <w:r w:rsidR="00AF78CF">
        <w:rPr>
          <w:lang w:val="es-MX"/>
        </w:rPr>
        <w:t xml:space="preserve">presentaron su mejora, incluyendo el archivo correspondiente en la </w:t>
      </w:r>
      <w:r w:rsidR="007F7E24">
        <w:rPr>
          <w:lang w:val="es-MX"/>
        </w:rPr>
        <w:t xml:space="preserve">página web de compras estatales; </w:t>
      </w:r>
    </w:p>
    <w:p w:rsidR="0026757E" w:rsidRDefault="0026757E" w:rsidP="0026757E">
      <w:pPr>
        <w:spacing w:line="360" w:lineRule="auto"/>
        <w:ind w:firstLine="2694"/>
        <w:jc w:val="both"/>
        <w:rPr>
          <w:color w:val="FF0000"/>
          <w:lang w:val="es-MX"/>
        </w:rPr>
      </w:pPr>
      <w:r>
        <w:rPr>
          <w:color w:val="FF0000"/>
          <w:lang w:val="es-MX"/>
        </w:rPr>
        <w:t xml:space="preserve"> </w:t>
      </w:r>
      <w:r w:rsidR="00570DEA">
        <w:rPr>
          <w:rFonts w:cs="Arial"/>
          <w:b/>
          <w:bCs/>
          <w:lang w:val="es-MX"/>
        </w:rPr>
        <w:t>11</w:t>
      </w:r>
      <w:r w:rsidR="00570DEA" w:rsidRPr="003A591C">
        <w:rPr>
          <w:rFonts w:cs="Arial"/>
          <w:b/>
          <w:bCs/>
          <w:lang w:val="es-MX"/>
        </w:rPr>
        <w:t>)</w:t>
      </w:r>
      <w:r w:rsidR="00570DEA" w:rsidRPr="003A591C">
        <w:rPr>
          <w:rFonts w:cs="Arial"/>
          <w:bCs/>
          <w:lang w:val="es-MX"/>
        </w:rPr>
        <w:t xml:space="preserve"> que</w:t>
      </w:r>
      <w:r w:rsidR="00570DEA">
        <w:rPr>
          <w:rFonts w:cs="Arial"/>
          <w:bCs/>
          <w:lang w:val="es-MX"/>
        </w:rPr>
        <w:t xml:space="preserve"> se efectuaron informes por parte de la </w:t>
      </w:r>
      <w:r w:rsidR="00AF78CF" w:rsidRPr="00570DEA">
        <w:rPr>
          <w:lang w:val="es-MX"/>
        </w:rPr>
        <w:t>Dirección</w:t>
      </w:r>
      <w:r w:rsidR="00570DEA">
        <w:rPr>
          <w:lang w:val="es-MX"/>
        </w:rPr>
        <w:t xml:space="preserve"> Sectorial de Infraestructura, así como </w:t>
      </w:r>
      <w:r w:rsidR="00AF78CF" w:rsidRPr="00570DEA">
        <w:rPr>
          <w:lang w:val="es-MX"/>
        </w:rPr>
        <w:t>del Área de Gestión y Contralor de Obras,</w:t>
      </w:r>
      <w:r w:rsidR="00AF78CF">
        <w:rPr>
          <w:lang w:val="es-MX"/>
        </w:rPr>
        <w:t xml:space="preserve"> </w:t>
      </w:r>
      <w:r w:rsidR="00570DEA">
        <w:rPr>
          <w:lang w:val="es-MX"/>
        </w:rPr>
        <w:t xml:space="preserve">en los que </w:t>
      </w:r>
      <w:r w:rsidR="00AF78CF">
        <w:rPr>
          <w:lang w:val="es-MX"/>
        </w:rPr>
        <w:t>se analiz</w:t>
      </w:r>
      <w:r w:rsidR="00570DEA">
        <w:rPr>
          <w:lang w:val="es-MX"/>
        </w:rPr>
        <w:t>a la mejora de ofertas llevada a cabo;</w:t>
      </w:r>
    </w:p>
    <w:p w:rsidR="00AF78CF" w:rsidRPr="0026757E" w:rsidRDefault="0026757E" w:rsidP="0026757E">
      <w:pPr>
        <w:spacing w:line="360" w:lineRule="auto"/>
        <w:ind w:firstLine="2694"/>
        <w:jc w:val="both"/>
        <w:rPr>
          <w:color w:val="FF0000"/>
          <w:lang w:val="es-MX"/>
        </w:rPr>
      </w:pPr>
      <w:r>
        <w:rPr>
          <w:color w:val="FF0000"/>
          <w:lang w:val="es-MX"/>
        </w:rPr>
        <w:lastRenderedPageBreak/>
        <w:t xml:space="preserve"> </w:t>
      </w:r>
      <w:r w:rsidR="00570DEA">
        <w:rPr>
          <w:rFonts w:cs="Arial"/>
          <w:b/>
          <w:bCs/>
          <w:lang w:val="es-MX"/>
        </w:rPr>
        <w:t>12</w:t>
      </w:r>
      <w:r w:rsidR="00570DEA" w:rsidRPr="003A591C">
        <w:rPr>
          <w:rFonts w:cs="Arial"/>
          <w:b/>
          <w:bCs/>
          <w:lang w:val="es-MX"/>
        </w:rPr>
        <w:t>)</w:t>
      </w:r>
      <w:r w:rsidR="00570DEA" w:rsidRPr="003A591C">
        <w:rPr>
          <w:rFonts w:cs="Arial"/>
          <w:bCs/>
          <w:lang w:val="es-MX"/>
        </w:rPr>
        <w:t xml:space="preserve"> que</w:t>
      </w:r>
      <w:r w:rsidR="00570DEA">
        <w:rPr>
          <w:rFonts w:cs="Arial"/>
          <w:bCs/>
          <w:lang w:val="es-MX"/>
        </w:rPr>
        <w:t xml:space="preserve"> la Comisión Asesora, con fecha 5/12/18, procedió al estudio de la </w:t>
      </w:r>
      <w:r w:rsidR="00AF78CF" w:rsidRPr="00E11916">
        <w:rPr>
          <w:lang w:val="es-MX"/>
        </w:rPr>
        <w:t xml:space="preserve">mejora de ofertas recabada, efectuando el siguiente cuadro comparativo de precios con </w:t>
      </w:r>
      <w:r w:rsidR="00570DEA">
        <w:rPr>
          <w:lang w:val="es-MX"/>
        </w:rPr>
        <w:t>aplicación de beneficio MIPYME: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AF78CF" w:rsidRPr="000178EA" w:rsidTr="00381F31">
        <w:tc>
          <w:tcPr>
            <w:tcW w:w="2881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b/>
                <w:sz w:val="22"/>
                <w:szCs w:val="22"/>
                <w:lang w:val="es-MX"/>
              </w:rPr>
            </w:pPr>
            <w:r w:rsidRPr="000178EA">
              <w:rPr>
                <w:b/>
                <w:sz w:val="22"/>
                <w:szCs w:val="22"/>
                <w:lang w:val="es-MX"/>
              </w:rPr>
              <w:t>EMPRESA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b/>
                <w:sz w:val="22"/>
                <w:szCs w:val="22"/>
                <w:lang w:val="es-MX"/>
              </w:rPr>
            </w:pPr>
            <w:r w:rsidRPr="000178EA">
              <w:rPr>
                <w:b/>
                <w:sz w:val="22"/>
                <w:szCs w:val="22"/>
                <w:lang w:val="es-MX"/>
              </w:rPr>
              <w:t>MONTO TEÓRICO COMPARATIVO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b/>
                <w:sz w:val="22"/>
                <w:szCs w:val="22"/>
                <w:lang w:val="es-MX"/>
              </w:rPr>
            </w:pPr>
            <w:r w:rsidRPr="000178EA">
              <w:rPr>
                <w:b/>
                <w:sz w:val="22"/>
                <w:szCs w:val="22"/>
                <w:lang w:val="es-MX"/>
              </w:rPr>
              <w:t>% SOBRE PRECIO OFICIAL</w:t>
            </w:r>
          </w:p>
        </w:tc>
      </w:tr>
      <w:tr w:rsidR="00AF78CF" w:rsidRPr="000178EA" w:rsidTr="00381F31">
        <w:tc>
          <w:tcPr>
            <w:tcW w:w="2881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Álvaro Custodio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$ 15:669.121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-15,55%</w:t>
            </w:r>
          </w:p>
        </w:tc>
      </w:tr>
      <w:tr w:rsidR="00AF78CF" w:rsidRPr="000178EA" w:rsidTr="00381F31">
        <w:tc>
          <w:tcPr>
            <w:tcW w:w="2881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proofErr w:type="spellStart"/>
            <w:r w:rsidRPr="000178EA">
              <w:rPr>
                <w:sz w:val="22"/>
                <w:szCs w:val="22"/>
                <w:lang w:val="es-MX"/>
              </w:rPr>
              <w:t>Tecnos</w:t>
            </w:r>
            <w:proofErr w:type="spellEnd"/>
            <w:r w:rsidRPr="000178EA">
              <w:rPr>
                <w:sz w:val="22"/>
                <w:szCs w:val="22"/>
                <w:lang w:val="es-MX"/>
              </w:rPr>
              <w:t xml:space="preserve"> Ingeniería S.R.L.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$ 15:929.558</w:t>
            </w:r>
          </w:p>
        </w:tc>
        <w:tc>
          <w:tcPr>
            <w:tcW w:w="2882" w:type="dxa"/>
            <w:shd w:val="clear" w:color="auto" w:fill="auto"/>
          </w:tcPr>
          <w:p w:rsidR="00AF78CF" w:rsidRPr="000178EA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0178EA">
              <w:rPr>
                <w:sz w:val="22"/>
                <w:szCs w:val="22"/>
                <w:lang w:val="es-MX"/>
              </w:rPr>
              <w:t>-14,14%</w:t>
            </w:r>
          </w:p>
        </w:tc>
      </w:tr>
    </w:tbl>
    <w:p w:rsidR="0026757E" w:rsidRDefault="00AF78CF" w:rsidP="00AF78CF">
      <w:pPr>
        <w:spacing w:line="360" w:lineRule="auto"/>
        <w:jc w:val="both"/>
        <w:rPr>
          <w:lang w:val="es-MX"/>
        </w:rPr>
      </w:pPr>
      <w:r w:rsidRPr="00E11916">
        <w:rPr>
          <w:lang w:val="es-MX"/>
        </w:rPr>
        <w:t>En consecuencia, se sugiere adjudicar a Ál</w:t>
      </w:r>
      <w:r w:rsidR="007F7E24">
        <w:rPr>
          <w:lang w:val="es-MX"/>
        </w:rPr>
        <w:t>varo Custodio por un monto de $</w:t>
      </w:r>
      <w:r w:rsidRPr="00E11916">
        <w:rPr>
          <w:lang w:val="es-MX"/>
        </w:rPr>
        <w:t>13:759.770 (im</w:t>
      </w:r>
      <w:r>
        <w:rPr>
          <w:lang w:val="es-MX"/>
        </w:rPr>
        <w:t>previstos e IVA incluidos), siendo el</w:t>
      </w:r>
      <w:r w:rsidRPr="00E11916">
        <w:rPr>
          <w:lang w:val="es-MX"/>
        </w:rPr>
        <w:t xml:space="preserve"> monto</w:t>
      </w:r>
      <w:r>
        <w:rPr>
          <w:lang w:val="es-MX"/>
        </w:rPr>
        <w:t xml:space="preserve"> imponible de obra prevista para el cálculo de Leyes Sociales de $ 2:416.100 y el monto imponible de obra imprevista de $ 164.250, generando un total de Leyes Sociales de obra prevista e imprevista de $ 1:697.870, con un plazo de ejecución de 120 días calendario laborables para</w:t>
      </w:r>
      <w:r w:rsidR="00570DEA">
        <w:rPr>
          <w:lang w:val="es-MX"/>
        </w:rPr>
        <w:t xml:space="preserve"> la construcción;</w:t>
      </w:r>
    </w:p>
    <w:p w:rsidR="00AF78CF" w:rsidRPr="0026757E" w:rsidRDefault="0026757E" w:rsidP="0026757E">
      <w:pPr>
        <w:spacing w:line="360" w:lineRule="auto"/>
        <w:ind w:firstLine="2694"/>
        <w:jc w:val="both"/>
        <w:rPr>
          <w:lang w:val="es-MX"/>
        </w:rPr>
      </w:pPr>
      <w:r>
        <w:rPr>
          <w:lang w:val="es-MX"/>
        </w:rPr>
        <w:t xml:space="preserve"> </w:t>
      </w:r>
      <w:r w:rsidR="00570DEA">
        <w:rPr>
          <w:rFonts w:cs="Arial"/>
          <w:b/>
          <w:bCs/>
          <w:lang w:val="es-MX"/>
        </w:rPr>
        <w:t>13</w:t>
      </w:r>
      <w:r w:rsidR="00570DEA" w:rsidRPr="003A591C">
        <w:rPr>
          <w:rFonts w:cs="Arial"/>
          <w:b/>
          <w:bCs/>
          <w:lang w:val="es-MX"/>
        </w:rPr>
        <w:t>)</w:t>
      </w:r>
      <w:r w:rsidR="00570DEA" w:rsidRPr="003A591C">
        <w:rPr>
          <w:rFonts w:cs="Arial"/>
          <w:bCs/>
          <w:lang w:val="es-MX"/>
        </w:rPr>
        <w:t xml:space="preserve"> que</w:t>
      </w:r>
      <w:r w:rsidR="00570DEA">
        <w:rPr>
          <w:rFonts w:cs="Arial"/>
          <w:bCs/>
          <w:lang w:val="es-MX"/>
        </w:rPr>
        <w:t xml:space="preserve"> la Dirección Sectorial de Infraestructura, por Resolución DSI Nº 415/18 de fecha </w:t>
      </w:r>
      <w:r w:rsidR="00AF78CF" w:rsidRPr="00B073B6">
        <w:rPr>
          <w:rFonts w:cs="Arial"/>
          <w:bCs/>
          <w:lang w:val="es-MX"/>
        </w:rPr>
        <w:t>14/12/18</w:t>
      </w:r>
      <w:r w:rsidR="00570DEA">
        <w:rPr>
          <w:rFonts w:cs="Arial"/>
          <w:bCs/>
          <w:lang w:val="es-MX"/>
        </w:rPr>
        <w:t>, dispuso adjudicar -</w:t>
      </w:r>
      <w:r w:rsidR="00AF78CF">
        <w:rPr>
          <w:rFonts w:cs="Arial"/>
          <w:bCs/>
          <w:lang w:val="es-MX"/>
        </w:rPr>
        <w:t>ad referéndum d</w:t>
      </w:r>
      <w:r w:rsidR="00570DEA">
        <w:rPr>
          <w:rFonts w:cs="Arial"/>
          <w:bCs/>
          <w:lang w:val="es-MX"/>
        </w:rPr>
        <w:t>e la intervención preventiva de este Tribunal</w:t>
      </w:r>
      <w:r>
        <w:rPr>
          <w:rFonts w:cs="Arial"/>
          <w:bCs/>
          <w:lang w:val="es-MX"/>
        </w:rPr>
        <w:t>-</w:t>
      </w:r>
      <w:r w:rsidR="00570DEA">
        <w:rPr>
          <w:rFonts w:cs="Arial"/>
          <w:bCs/>
          <w:lang w:val="es-MX"/>
        </w:rPr>
        <w:t xml:space="preserve"> a </w:t>
      </w:r>
      <w:r w:rsidR="00AF78CF">
        <w:rPr>
          <w:rFonts w:cs="Arial"/>
          <w:lang w:val="es-MX"/>
        </w:rPr>
        <w:t>Álvaro Conrado Custodio González</w:t>
      </w:r>
      <w:r w:rsidR="00570DEA">
        <w:rPr>
          <w:rFonts w:cs="Arial"/>
          <w:lang w:val="es-MX"/>
        </w:rPr>
        <w:t>, indicando que el plazo de ejecución es de 120 días calendario laborables para la construcción, conforme al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150"/>
      </w:tblGrid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9E3907">
              <w:rPr>
                <w:rFonts w:cs="Arial"/>
                <w:b/>
                <w:sz w:val="22"/>
                <w:szCs w:val="22"/>
                <w:lang w:val="es-MX"/>
              </w:rPr>
              <w:t>CONCEPTO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9E3907">
              <w:rPr>
                <w:rFonts w:cs="Arial"/>
                <w:b/>
                <w:sz w:val="22"/>
                <w:szCs w:val="22"/>
                <w:lang w:val="es-MX"/>
              </w:rPr>
              <w:t>MONTO</w:t>
            </w:r>
          </w:p>
        </w:tc>
      </w:tr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rFonts w:cs="Arial"/>
                <w:sz w:val="22"/>
                <w:szCs w:val="22"/>
                <w:lang w:val="es-MX"/>
              </w:rPr>
              <w:t>Obra (imprevistos e IVA incluidos)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rFonts w:cs="Arial"/>
                <w:sz w:val="22"/>
                <w:szCs w:val="22"/>
                <w:lang w:val="es-MX"/>
              </w:rPr>
              <w:t>$ 13:759.770</w:t>
            </w:r>
          </w:p>
        </w:tc>
      </w:tr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Monto imponible de obra prevista para el cálculo de Leyes Sociales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$ 2:416.100</w:t>
            </w:r>
          </w:p>
        </w:tc>
      </w:tr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Monto imponible de obra imprevista para el cálculo de Leyes Sociales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$ 164.250</w:t>
            </w:r>
          </w:p>
        </w:tc>
      </w:tr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9E3907">
              <w:rPr>
                <w:rFonts w:cs="Arial"/>
                <w:sz w:val="22"/>
                <w:szCs w:val="22"/>
                <w:lang w:val="es-MX"/>
              </w:rPr>
              <w:t xml:space="preserve">Leyes Sociales de obra prevista 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$ 1:589.794</w:t>
            </w:r>
          </w:p>
        </w:tc>
      </w:tr>
      <w:tr w:rsidR="00AF78CF" w:rsidRPr="009E3907" w:rsidTr="00381F31">
        <w:tc>
          <w:tcPr>
            <w:tcW w:w="5495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rFonts w:cs="Arial"/>
                <w:sz w:val="22"/>
                <w:szCs w:val="22"/>
                <w:lang w:val="es-MX"/>
              </w:rPr>
              <w:t>Leyes Sociales de obra imprevista</w:t>
            </w:r>
          </w:p>
        </w:tc>
        <w:tc>
          <w:tcPr>
            <w:tcW w:w="3150" w:type="dxa"/>
            <w:shd w:val="clear" w:color="auto" w:fill="auto"/>
          </w:tcPr>
          <w:p w:rsidR="00AF78CF" w:rsidRPr="009E3907" w:rsidRDefault="00AF78CF" w:rsidP="00381F31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  <w:r w:rsidRPr="009E3907">
              <w:rPr>
                <w:sz w:val="22"/>
                <w:szCs w:val="22"/>
                <w:lang w:val="es-MX"/>
              </w:rPr>
              <w:t>$ 108.076</w:t>
            </w:r>
          </w:p>
        </w:tc>
      </w:tr>
    </w:tbl>
    <w:p w:rsidR="0026757E" w:rsidRDefault="0026757E" w:rsidP="0026757E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bCs/>
          <w:color w:val="FF0000"/>
          <w:lang w:val="es-MX"/>
        </w:rPr>
        <w:t xml:space="preserve"> </w:t>
      </w:r>
      <w:r w:rsidR="00570DEA">
        <w:rPr>
          <w:rFonts w:cs="Arial"/>
          <w:b/>
          <w:bCs/>
          <w:lang w:val="es-MX"/>
        </w:rPr>
        <w:t>14</w:t>
      </w:r>
      <w:r w:rsidR="00570DEA" w:rsidRPr="003A591C">
        <w:rPr>
          <w:rFonts w:cs="Arial"/>
          <w:b/>
          <w:bCs/>
          <w:lang w:val="es-MX"/>
        </w:rPr>
        <w:t>)</w:t>
      </w:r>
      <w:r w:rsidR="00570DEA" w:rsidRPr="003A591C">
        <w:rPr>
          <w:rFonts w:cs="Arial"/>
          <w:bCs/>
          <w:lang w:val="es-MX"/>
        </w:rPr>
        <w:t xml:space="preserve"> que</w:t>
      </w:r>
      <w:r w:rsidR="00570DEA">
        <w:rPr>
          <w:rFonts w:cs="Arial"/>
          <w:lang w:val="es-MX"/>
        </w:rPr>
        <w:t xml:space="preserve"> c</w:t>
      </w:r>
      <w:r w:rsidR="00AF78CF" w:rsidRPr="00666337">
        <w:rPr>
          <w:rFonts w:cs="Arial"/>
          <w:lang w:val="es-MX"/>
        </w:rPr>
        <w:t>on fecha 15/1/19, este Tribunal devolvió los obrados para mejor proveer, a efectos de que el Organismo:</w:t>
      </w:r>
    </w:p>
    <w:p w:rsidR="00AF78CF" w:rsidRPr="00B563B0" w:rsidRDefault="00570DEA" w:rsidP="0026757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spacing w:val="-3"/>
          <w:lang w:val="es-ES_tradnl"/>
        </w:rPr>
        <w:lastRenderedPageBreak/>
        <w:t>14.</w:t>
      </w:r>
      <w:r w:rsidR="00AF78CF" w:rsidRPr="006D5022">
        <w:rPr>
          <w:rFonts w:cs="Arial"/>
          <w:b/>
          <w:spacing w:val="-3"/>
          <w:lang w:val="es-ES_tradnl"/>
        </w:rPr>
        <w:t>1)</w:t>
      </w:r>
      <w:r w:rsidR="00AF78CF" w:rsidRPr="006D5022">
        <w:rPr>
          <w:rFonts w:cs="Arial"/>
          <w:spacing w:val="-3"/>
          <w:lang w:val="es-ES_tradnl"/>
        </w:rPr>
        <w:t xml:space="preserve"> </w:t>
      </w:r>
      <w:r w:rsidR="0026757E">
        <w:rPr>
          <w:rFonts w:cs="Arial"/>
          <w:spacing w:val="-3"/>
          <w:lang w:val="es-ES_tradnl"/>
        </w:rPr>
        <w:t>Informara</w:t>
      </w:r>
      <w:r w:rsidR="00AF78CF">
        <w:rPr>
          <w:rFonts w:cs="Arial"/>
          <w:spacing w:val="-3"/>
          <w:lang w:val="es-ES_tradnl"/>
        </w:rPr>
        <w:t xml:space="preserve"> en ejercicio de qué atribuciones se dictó el acto administrativo de adjudicación por parte de la </w:t>
      </w:r>
      <w:r w:rsidR="00AF78CF" w:rsidRPr="001122F1">
        <w:rPr>
          <w:rFonts w:cs="Arial"/>
          <w:lang w:val="es-MX"/>
        </w:rPr>
        <w:t>Dirección Secto</w:t>
      </w:r>
      <w:r w:rsidR="00AF78CF">
        <w:rPr>
          <w:rFonts w:cs="Arial"/>
          <w:lang w:val="es-MX"/>
        </w:rPr>
        <w:t xml:space="preserve">rial de Infraestructura de ANEP, si </w:t>
      </w:r>
      <w:r w:rsidR="00E24907">
        <w:rPr>
          <w:rFonts w:cs="Arial"/>
          <w:lang w:val="es-MX"/>
        </w:rPr>
        <w:t xml:space="preserve">en uso de </w:t>
      </w:r>
      <w:r w:rsidR="00AF78CF">
        <w:rPr>
          <w:rFonts w:cs="Arial"/>
          <w:lang w:val="es-MX"/>
        </w:rPr>
        <w:t xml:space="preserve"> atribuciones propias o dele</w:t>
      </w:r>
      <w:r w:rsidR="00E24907">
        <w:rPr>
          <w:rFonts w:cs="Arial"/>
          <w:lang w:val="es-MX"/>
        </w:rPr>
        <w:t xml:space="preserve">gadas; </w:t>
      </w:r>
    </w:p>
    <w:p w:rsidR="00AF78CF" w:rsidRPr="00D25B7C" w:rsidRDefault="00570DEA" w:rsidP="00280FF0">
      <w:pPr>
        <w:suppressAutoHyphens/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>14.</w:t>
      </w:r>
      <w:r w:rsidR="00AF78CF" w:rsidRPr="00D25B7C">
        <w:rPr>
          <w:rFonts w:cs="Arial"/>
          <w:b/>
          <w:lang w:val="es-ES_tradnl"/>
        </w:rPr>
        <w:t>2)</w:t>
      </w:r>
      <w:r w:rsidR="00AF78CF">
        <w:rPr>
          <w:rFonts w:cs="Arial"/>
          <w:lang w:val="es-ES_tradnl"/>
        </w:rPr>
        <w:t xml:space="preserve"> Remita la </w:t>
      </w:r>
      <w:r w:rsidR="00AF78CF">
        <w:rPr>
          <w:rFonts w:cs="Arial"/>
          <w:bCs/>
          <w:lang w:val="es-MX"/>
        </w:rPr>
        <w:t>Resolución Nº 27 (Acta Nº 60) dictada por el Consejo Directivo Central con fecha 25/9/01, a la que hace referencia la Resolución Nº 3 (Acta Ext. 1) dictada por el Consejo referido.</w:t>
      </w:r>
    </w:p>
    <w:p w:rsidR="00AF78CF" w:rsidRPr="006A6333" w:rsidRDefault="00570DEA" w:rsidP="00280FF0">
      <w:pPr>
        <w:suppressAutoHyphens/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ES_tradnl"/>
        </w:rPr>
        <w:t>14.</w:t>
      </w:r>
      <w:r w:rsidR="00AF78CF">
        <w:rPr>
          <w:rFonts w:cs="Arial"/>
          <w:b/>
          <w:lang w:val="es-ES_tradnl"/>
        </w:rPr>
        <w:t>3</w:t>
      </w:r>
      <w:r w:rsidR="00AF78CF" w:rsidRPr="006D5022">
        <w:rPr>
          <w:rFonts w:cs="Arial"/>
          <w:b/>
          <w:lang w:val="es-MX"/>
        </w:rPr>
        <w:t xml:space="preserve">) </w:t>
      </w:r>
      <w:r w:rsidR="00AF78CF" w:rsidRPr="006A6333">
        <w:rPr>
          <w:rFonts w:cs="Arial"/>
          <w:lang w:val="es-MX"/>
        </w:rPr>
        <w:t>Remita informe de disponibilidad presupuestal.</w:t>
      </w:r>
    </w:p>
    <w:p w:rsidR="00AF78CF" w:rsidRDefault="00570DEA" w:rsidP="00280FF0">
      <w:pPr>
        <w:suppressAutoHyphens/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14.</w:t>
      </w:r>
      <w:r w:rsidR="00AF78CF">
        <w:rPr>
          <w:rFonts w:cs="Arial"/>
          <w:b/>
          <w:lang w:val="es-MX"/>
        </w:rPr>
        <w:t>4</w:t>
      </w:r>
      <w:r w:rsidR="00AF78CF" w:rsidRPr="006D5022">
        <w:rPr>
          <w:rFonts w:cs="Arial"/>
          <w:b/>
          <w:lang w:val="es-MX"/>
        </w:rPr>
        <w:t>)</w:t>
      </w:r>
      <w:r w:rsidR="00AF78CF" w:rsidRPr="006D5022">
        <w:rPr>
          <w:rFonts w:cs="Arial"/>
          <w:lang w:val="es-MX"/>
        </w:rPr>
        <w:t xml:space="preserve"> </w:t>
      </w:r>
      <w:r w:rsidR="00AF78CF">
        <w:rPr>
          <w:rFonts w:cs="Arial"/>
          <w:lang w:val="es-MX"/>
        </w:rPr>
        <w:t>Explique las razones por las cuales en el expediente remitido se produce un vacío entre las Fojas 315 y la 319, no lucie</w:t>
      </w:r>
      <w:r>
        <w:rPr>
          <w:rFonts w:cs="Arial"/>
          <w:lang w:val="es-MX"/>
        </w:rPr>
        <w:t>ndo tampoco las Fojas 329 y 332;</w:t>
      </w:r>
    </w:p>
    <w:p w:rsidR="00AF78CF" w:rsidRDefault="0026757E" w:rsidP="0026757E">
      <w:pPr>
        <w:suppressAutoHyphens/>
        <w:spacing w:line="360" w:lineRule="auto"/>
        <w:ind w:firstLine="2694"/>
        <w:jc w:val="both"/>
        <w:rPr>
          <w:rFonts w:cs="Arial"/>
          <w:lang w:val="es-UY"/>
        </w:rPr>
      </w:pPr>
      <w:r>
        <w:rPr>
          <w:rFonts w:cs="Arial"/>
          <w:lang w:val="es-MX"/>
        </w:rPr>
        <w:t xml:space="preserve"> </w:t>
      </w:r>
      <w:r w:rsidR="00570DEA">
        <w:rPr>
          <w:rFonts w:cs="Arial"/>
          <w:b/>
          <w:bCs/>
          <w:lang w:val="es-MX"/>
        </w:rPr>
        <w:t>15</w:t>
      </w:r>
      <w:r w:rsidR="00570DEA" w:rsidRPr="003A591C">
        <w:rPr>
          <w:rFonts w:cs="Arial"/>
          <w:b/>
          <w:bCs/>
          <w:lang w:val="es-MX"/>
        </w:rPr>
        <w:t>)</w:t>
      </w:r>
      <w:r w:rsidR="00570DEA" w:rsidRPr="003A591C">
        <w:rPr>
          <w:rFonts w:cs="Arial"/>
          <w:bCs/>
          <w:lang w:val="es-MX"/>
        </w:rPr>
        <w:t xml:space="preserve"> que</w:t>
      </w:r>
      <w:r w:rsidR="00570DEA">
        <w:rPr>
          <w:rFonts w:cs="Arial"/>
          <w:bCs/>
          <w:lang w:val="es-MX"/>
        </w:rPr>
        <w:t xml:space="preserve"> en</w:t>
      </w:r>
      <w:r w:rsidR="00AF78CF">
        <w:rPr>
          <w:rFonts w:cs="Arial"/>
          <w:lang w:val="es-UY"/>
        </w:rPr>
        <w:t xml:space="preserve"> la oportunidad, la Administración remite informe de la Dirección</w:t>
      </w:r>
      <w:r w:rsidR="00570DEA">
        <w:rPr>
          <w:rFonts w:cs="Arial"/>
          <w:lang w:val="es-UY"/>
        </w:rPr>
        <w:t xml:space="preserve"> Sectorial de Infraestructura realizado el 23/1/19, en el que se expresa</w:t>
      </w:r>
      <w:r w:rsidR="00AF78CF">
        <w:rPr>
          <w:rFonts w:cs="Arial"/>
          <w:lang w:val="es-UY"/>
        </w:rPr>
        <w:t xml:space="preserve"> que:</w:t>
      </w:r>
    </w:p>
    <w:p w:rsidR="00AF78CF" w:rsidRDefault="00570DEA" w:rsidP="00280FF0">
      <w:pPr>
        <w:spacing w:line="360" w:lineRule="auto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15</w:t>
      </w:r>
      <w:r w:rsidRPr="00570DEA">
        <w:rPr>
          <w:rFonts w:cs="Arial"/>
          <w:b/>
          <w:lang w:val="es-UY"/>
        </w:rPr>
        <w:t>.1)</w:t>
      </w:r>
      <w:r>
        <w:rPr>
          <w:rFonts w:cs="Arial"/>
          <w:lang w:val="es-UY"/>
        </w:rPr>
        <w:t xml:space="preserve"> </w:t>
      </w:r>
      <w:r w:rsidR="00AF78CF">
        <w:rPr>
          <w:rFonts w:cs="Arial"/>
          <w:lang w:val="es-UY"/>
        </w:rPr>
        <w:t>El acto administrati</w:t>
      </w:r>
      <w:r w:rsidR="0026757E">
        <w:rPr>
          <w:rFonts w:cs="Arial"/>
          <w:lang w:val="es-UY"/>
        </w:rPr>
        <w:t>vo de adjudicación, dictado por</w:t>
      </w:r>
      <w:r w:rsidR="00AF78CF">
        <w:rPr>
          <w:rFonts w:cs="Arial"/>
          <w:lang w:val="es-UY"/>
        </w:rPr>
        <w:t xml:space="preserve"> parte de la Dirección Sectorial de Infraestructura de ANEP, se realizó por atribuciones delegadas mediante Acta Extraordinaria Nº 1, Resolución Nº 3 del CODICEN d</w:t>
      </w:r>
      <w:r w:rsidR="00E24907">
        <w:rPr>
          <w:rFonts w:cs="Arial"/>
          <w:lang w:val="es-UY"/>
        </w:rPr>
        <w:t>e fecha 15/2/02, que se adjunta;</w:t>
      </w:r>
    </w:p>
    <w:p w:rsidR="00AF78CF" w:rsidRDefault="00570DEA" w:rsidP="00280FF0">
      <w:pPr>
        <w:spacing w:line="360" w:lineRule="auto"/>
        <w:jc w:val="both"/>
        <w:rPr>
          <w:rFonts w:cs="Arial"/>
          <w:lang w:val="es-UY"/>
        </w:rPr>
      </w:pPr>
      <w:r w:rsidRPr="00570DEA">
        <w:rPr>
          <w:rFonts w:cs="Arial"/>
          <w:b/>
          <w:lang w:val="es-UY"/>
        </w:rPr>
        <w:t>15.2)</w:t>
      </w:r>
      <w:r>
        <w:rPr>
          <w:rFonts w:cs="Arial"/>
          <w:lang w:val="es-UY"/>
        </w:rPr>
        <w:t xml:space="preserve"> </w:t>
      </w:r>
      <w:r w:rsidR="00AF78CF">
        <w:rPr>
          <w:rFonts w:cs="Arial"/>
          <w:lang w:val="es-UY"/>
        </w:rPr>
        <w:t>Se remite la Resolución</w:t>
      </w:r>
      <w:r w:rsidR="00E24907">
        <w:rPr>
          <w:rFonts w:cs="Arial"/>
          <w:lang w:val="es-UY"/>
        </w:rPr>
        <w:t xml:space="preserve"> Nº 27 (Acta Nº 60) del CODICEN;</w:t>
      </w:r>
    </w:p>
    <w:p w:rsidR="00AF78CF" w:rsidRDefault="00570DEA" w:rsidP="00280FF0">
      <w:pPr>
        <w:spacing w:line="360" w:lineRule="auto"/>
        <w:jc w:val="both"/>
        <w:rPr>
          <w:rFonts w:cs="Arial"/>
          <w:lang w:val="es-UY"/>
        </w:rPr>
      </w:pPr>
      <w:r w:rsidRPr="00570DEA">
        <w:rPr>
          <w:rFonts w:cs="Arial"/>
          <w:b/>
          <w:lang w:val="es-UY"/>
        </w:rPr>
        <w:t>15.3)</w:t>
      </w:r>
      <w:r>
        <w:rPr>
          <w:rFonts w:cs="Arial"/>
          <w:lang w:val="es-UY"/>
        </w:rPr>
        <w:t xml:space="preserve"> </w:t>
      </w:r>
      <w:r w:rsidR="00AF78CF">
        <w:rPr>
          <w:rFonts w:cs="Arial"/>
          <w:lang w:val="es-UY"/>
        </w:rPr>
        <w:t>Se adjunta afectación de crédito realizada el 22/1/19, de la q</w:t>
      </w:r>
      <w:r w:rsidR="00E24907">
        <w:rPr>
          <w:rFonts w:cs="Arial"/>
          <w:lang w:val="es-UY"/>
        </w:rPr>
        <w:t>ue surge lo siguiente</w:t>
      </w:r>
      <w:r w:rsidR="00AF78CF">
        <w:rPr>
          <w:rFonts w:cs="Arial"/>
          <w:lang w:val="es-UY"/>
        </w:rPr>
        <w:t>: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21"/>
        <w:gridCol w:w="988"/>
        <w:gridCol w:w="758"/>
        <w:gridCol w:w="850"/>
        <w:gridCol w:w="709"/>
        <w:gridCol w:w="1606"/>
        <w:gridCol w:w="1762"/>
      </w:tblGrid>
      <w:tr w:rsidR="00AF78CF" w:rsidRPr="00094B04" w:rsidTr="0026757E">
        <w:tc>
          <w:tcPr>
            <w:tcW w:w="1027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PROG.</w:t>
            </w:r>
          </w:p>
        </w:tc>
        <w:tc>
          <w:tcPr>
            <w:tcW w:w="1021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PROY.</w:t>
            </w:r>
          </w:p>
        </w:tc>
        <w:tc>
          <w:tcPr>
            <w:tcW w:w="98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OBJ. GAS.</w:t>
            </w:r>
          </w:p>
        </w:tc>
        <w:tc>
          <w:tcPr>
            <w:tcW w:w="75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AUX.</w:t>
            </w:r>
          </w:p>
        </w:tc>
        <w:tc>
          <w:tcPr>
            <w:tcW w:w="850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TM</w:t>
            </w:r>
          </w:p>
        </w:tc>
        <w:tc>
          <w:tcPr>
            <w:tcW w:w="709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TC</w:t>
            </w:r>
          </w:p>
        </w:tc>
        <w:tc>
          <w:tcPr>
            <w:tcW w:w="1606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DESCRIPCIÒN</w:t>
            </w:r>
          </w:p>
        </w:tc>
        <w:tc>
          <w:tcPr>
            <w:tcW w:w="1762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94B04">
              <w:rPr>
                <w:b/>
                <w:sz w:val="20"/>
                <w:szCs w:val="20"/>
                <w:lang w:val="es-MX"/>
              </w:rPr>
              <w:t>IMPORTE</w:t>
            </w:r>
          </w:p>
        </w:tc>
      </w:tr>
      <w:tr w:rsidR="00AF78CF" w:rsidRPr="00094B04" w:rsidTr="0026757E">
        <w:tc>
          <w:tcPr>
            <w:tcW w:w="1027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608</w:t>
            </w:r>
          </w:p>
        </w:tc>
        <w:tc>
          <w:tcPr>
            <w:tcW w:w="1021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802</w:t>
            </w:r>
          </w:p>
        </w:tc>
        <w:tc>
          <w:tcPr>
            <w:tcW w:w="98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382</w:t>
            </w:r>
          </w:p>
        </w:tc>
        <w:tc>
          <w:tcPr>
            <w:tcW w:w="75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 w:rsidRPr="00094B04">
              <w:rPr>
                <w:sz w:val="20"/>
                <w:szCs w:val="20"/>
                <w:lang w:val="es-MX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 w:rsidRPr="00094B04">
              <w:rPr>
                <w:sz w:val="20"/>
                <w:szCs w:val="20"/>
                <w:lang w:val="es-MX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Otras edificaciones</w:t>
            </w:r>
          </w:p>
        </w:tc>
        <w:tc>
          <w:tcPr>
            <w:tcW w:w="1762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$ 11:965.017</w:t>
            </w:r>
          </w:p>
        </w:tc>
      </w:tr>
      <w:tr w:rsidR="00AF78CF" w:rsidRPr="00094B04" w:rsidTr="0026757E">
        <w:tc>
          <w:tcPr>
            <w:tcW w:w="1027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608</w:t>
            </w:r>
          </w:p>
        </w:tc>
        <w:tc>
          <w:tcPr>
            <w:tcW w:w="1021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802</w:t>
            </w:r>
          </w:p>
        </w:tc>
        <w:tc>
          <w:tcPr>
            <w:tcW w:w="98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382</w:t>
            </w:r>
          </w:p>
        </w:tc>
        <w:tc>
          <w:tcPr>
            <w:tcW w:w="758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 w:rsidRPr="00094B04">
              <w:rPr>
                <w:sz w:val="20"/>
                <w:szCs w:val="20"/>
                <w:lang w:val="es-MX"/>
              </w:rPr>
              <w:t>000</w:t>
            </w:r>
          </w:p>
        </w:tc>
        <w:tc>
          <w:tcPr>
            <w:tcW w:w="850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 w:rsidRPr="00094B04">
              <w:rPr>
                <w:sz w:val="20"/>
                <w:szCs w:val="20"/>
                <w:lang w:val="es-MX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Otras edificaciones</w:t>
            </w:r>
          </w:p>
        </w:tc>
        <w:tc>
          <w:tcPr>
            <w:tcW w:w="1762" w:type="dxa"/>
            <w:shd w:val="clear" w:color="auto" w:fill="auto"/>
          </w:tcPr>
          <w:p w:rsidR="00AF78CF" w:rsidRPr="00094B04" w:rsidRDefault="00AF78CF" w:rsidP="00381F31">
            <w:pPr>
              <w:spacing w:line="360" w:lineRule="aut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$ 1:000.000</w:t>
            </w:r>
          </w:p>
        </w:tc>
      </w:tr>
    </w:tbl>
    <w:p w:rsidR="003A591C" w:rsidRPr="006B57FE" w:rsidRDefault="00570DEA" w:rsidP="00280FF0">
      <w:pPr>
        <w:spacing w:line="360" w:lineRule="auto"/>
        <w:jc w:val="both"/>
        <w:rPr>
          <w:rFonts w:cs="Arial"/>
          <w:lang w:val="es-UY"/>
        </w:rPr>
      </w:pPr>
      <w:r w:rsidRPr="00570DEA">
        <w:rPr>
          <w:rFonts w:cs="Arial"/>
          <w:b/>
          <w:lang w:val="es-MX"/>
        </w:rPr>
        <w:t>15.4)</w:t>
      </w:r>
      <w:r>
        <w:rPr>
          <w:rFonts w:cs="Arial"/>
          <w:lang w:val="es-MX"/>
        </w:rPr>
        <w:t xml:space="preserve"> </w:t>
      </w:r>
      <w:r w:rsidR="00AF78CF">
        <w:rPr>
          <w:rFonts w:cs="Arial"/>
          <w:lang w:val="es-UY"/>
        </w:rPr>
        <w:t>Las fojas no remitidas corresponden a actuaciones que se encuentran en el expediente electrónico APIA, cuya impresión se omitió en el momento de remitir los</w:t>
      </w:r>
      <w:r>
        <w:rPr>
          <w:rFonts w:cs="Arial"/>
          <w:lang w:val="es-UY"/>
        </w:rPr>
        <w:t xml:space="preserve"> obrados al Tribunal de Cuentas, por lo que se adjuntan las mismas, y en cuanto a la </w:t>
      </w:r>
      <w:r w:rsidR="00AF78CF">
        <w:rPr>
          <w:rFonts w:cs="Arial"/>
          <w:lang w:val="es-UY"/>
        </w:rPr>
        <w:t xml:space="preserve">foja 316 </w:t>
      </w:r>
      <w:r>
        <w:rPr>
          <w:rFonts w:cs="Arial"/>
          <w:lang w:val="es-UY"/>
        </w:rPr>
        <w:t xml:space="preserve">se indica que </w:t>
      </w:r>
      <w:r w:rsidR="00AF78CF">
        <w:rPr>
          <w:rFonts w:cs="Arial"/>
          <w:lang w:val="es-UY"/>
        </w:rPr>
        <w:t xml:space="preserve">no está omitida, sino que se cometió un error al foliar las actuaciones a partir de la foja 309, la cual debió ser 310 ya </w:t>
      </w:r>
      <w:r w:rsidR="00AF78CF">
        <w:rPr>
          <w:rFonts w:cs="Arial"/>
          <w:lang w:val="es-UY"/>
        </w:rPr>
        <w:lastRenderedPageBreak/>
        <w:t xml:space="preserve">que la foja 309 </w:t>
      </w:r>
      <w:r w:rsidR="00AF78CF" w:rsidRPr="006B57FE">
        <w:rPr>
          <w:rFonts w:cs="Arial"/>
          <w:lang w:val="es-UY"/>
        </w:rPr>
        <w:t>corresponde a una act</w:t>
      </w:r>
      <w:r w:rsidRPr="006B57FE">
        <w:rPr>
          <w:rFonts w:cs="Arial"/>
          <w:lang w:val="es-UY"/>
        </w:rPr>
        <w:t>uación electrónica, por lo que se efectúa la foliatura nuevamente;</w:t>
      </w:r>
    </w:p>
    <w:p w:rsidR="007A03E4" w:rsidRPr="00157566" w:rsidRDefault="00157566" w:rsidP="009A11A6">
      <w:pPr>
        <w:spacing w:line="360" w:lineRule="auto"/>
        <w:ind w:firstLine="851"/>
        <w:jc w:val="both"/>
        <w:rPr>
          <w:rFonts w:cs="Arial"/>
          <w:lang w:val="es-UY"/>
        </w:rPr>
      </w:pPr>
      <w:r>
        <w:rPr>
          <w:rFonts w:cs="Arial"/>
          <w:b/>
          <w:lang w:val="es-MX"/>
        </w:rPr>
        <w:t xml:space="preserve">CONSIDERANDO: </w:t>
      </w:r>
      <w:r w:rsidR="009327CA" w:rsidRPr="00157566">
        <w:rPr>
          <w:rFonts w:cs="Arial"/>
          <w:b/>
          <w:lang w:val="es-MX"/>
        </w:rPr>
        <w:t xml:space="preserve">1) </w:t>
      </w:r>
      <w:r w:rsidR="00FF2F4B" w:rsidRPr="00157566">
        <w:rPr>
          <w:rFonts w:cs="Arial"/>
          <w:lang w:val="es-MX"/>
        </w:rPr>
        <w:t xml:space="preserve">que </w:t>
      </w:r>
      <w:r w:rsidR="007B2D06" w:rsidRPr="00157566">
        <w:rPr>
          <w:rFonts w:cs="Arial"/>
          <w:lang w:val="es-MX"/>
        </w:rPr>
        <w:t>la Resolución</w:t>
      </w:r>
      <w:r w:rsidR="00AE3EC0" w:rsidRPr="00157566">
        <w:rPr>
          <w:rFonts w:cs="Arial"/>
          <w:lang w:val="es-MX"/>
        </w:rPr>
        <w:t xml:space="preserve"> de adjudicación </w:t>
      </w:r>
      <w:r w:rsidR="006B57FE" w:rsidRPr="00157566">
        <w:rPr>
          <w:rFonts w:cs="Arial"/>
          <w:lang w:val="es-MX"/>
        </w:rPr>
        <w:t>(</w:t>
      </w:r>
      <w:r w:rsidRPr="00157566">
        <w:rPr>
          <w:rFonts w:cs="Arial"/>
          <w:lang w:val="es-MX"/>
        </w:rPr>
        <w:t>Resultando 13</w:t>
      </w:r>
      <w:r w:rsidR="007B2D06" w:rsidRPr="00157566">
        <w:rPr>
          <w:rFonts w:cs="Arial"/>
          <w:lang w:val="es-MX"/>
        </w:rPr>
        <w:t>), fue dictada</w:t>
      </w:r>
      <w:r w:rsidR="006B57FE" w:rsidRPr="00157566">
        <w:rPr>
          <w:rFonts w:cs="Arial"/>
          <w:lang w:val="es-MX"/>
        </w:rPr>
        <w:t xml:space="preserve"> por </w:t>
      </w:r>
      <w:r w:rsidR="00686635" w:rsidRPr="00157566">
        <w:rPr>
          <w:rFonts w:cs="Arial"/>
          <w:lang w:val="es-MX"/>
        </w:rPr>
        <w:t xml:space="preserve">la Dirección Sectorial de Infraestructura, que no indicó </w:t>
      </w:r>
      <w:r w:rsidR="00E24907">
        <w:rPr>
          <w:rFonts w:cs="Arial"/>
          <w:lang w:val="es-MX"/>
        </w:rPr>
        <w:t>que actuó en uso de atribuciones delegadas.</w:t>
      </w:r>
      <w:r w:rsidR="007B2D06" w:rsidRPr="00157566">
        <w:rPr>
          <w:rFonts w:cs="Arial"/>
          <w:lang w:val="es-MX"/>
        </w:rPr>
        <w:t xml:space="preserve"> S</w:t>
      </w:r>
      <w:r w:rsidR="007A03E4" w:rsidRPr="00157566">
        <w:rPr>
          <w:rFonts w:cs="Arial"/>
          <w:lang w:val="es-MX"/>
        </w:rPr>
        <w:t>in perjuicio de ello, en la información proporcionada por el Organismo luego de la devolución de los obrados para mejor proveer (</w:t>
      </w:r>
      <w:r w:rsidRPr="00157566">
        <w:rPr>
          <w:rFonts w:cs="Arial"/>
          <w:lang w:val="es-MX"/>
        </w:rPr>
        <w:t>Resultando 15</w:t>
      </w:r>
      <w:r w:rsidR="007A03E4" w:rsidRPr="00157566">
        <w:rPr>
          <w:rFonts w:cs="Arial"/>
          <w:lang w:val="es-MX"/>
        </w:rPr>
        <w:t xml:space="preserve">), </w:t>
      </w:r>
      <w:r w:rsidR="001B7B85" w:rsidRPr="00157566">
        <w:rPr>
          <w:rFonts w:cs="Arial"/>
          <w:lang w:val="es-MX"/>
        </w:rPr>
        <w:t>se expresó</w:t>
      </w:r>
      <w:r w:rsidR="00CE0445" w:rsidRPr="00157566">
        <w:rPr>
          <w:rFonts w:cs="Arial"/>
          <w:lang w:val="es-MX"/>
        </w:rPr>
        <w:t xml:space="preserve"> que </w:t>
      </w:r>
      <w:r w:rsidR="001B7B85" w:rsidRPr="00157566">
        <w:rPr>
          <w:rFonts w:cs="Arial"/>
          <w:lang w:val="es-MX"/>
        </w:rPr>
        <w:t>el</w:t>
      </w:r>
      <w:r w:rsidR="007B2D06" w:rsidRPr="00157566">
        <w:rPr>
          <w:rFonts w:cs="Arial"/>
          <w:lang w:val="es-MX"/>
        </w:rPr>
        <w:t xml:space="preserve"> acto administrativo</w:t>
      </w:r>
      <w:r w:rsidR="001B7B85" w:rsidRPr="00157566">
        <w:rPr>
          <w:rFonts w:cs="Arial"/>
          <w:lang w:val="es-MX"/>
        </w:rPr>
        <w:t xml:space="preserve"> referido</w:t>
      </w:r>
      <w:r w:rsidR="007B2D06" w:rsidRPr="00157566">
        <w:rPr>
          <w:rFonts w:cs="Arial"/>
          <w:lang w:val="es-UY"/>
        </w:rPr>
        <w:t>, fue dictado en ejercicio de atribuciones delegadas</w:t>
      </w:r>
      <w:r w:rsidR="00926E32" w:rsidRPr="00157566">
        <w:rPr>
          <w:rFonts w:cs="Arial"/>
          <w:lang w:val="es-UY"/>
        </w:rPr>
        <w:t xml:space="preserve"> por Resolución </w:t>
      </w:r>
      <w:r w:rsidR="00EE3A5D" w:rsidRPr="00157566">
        <w:rPr>
          <w:rFonts w:cs="Arial"/>
          <w:lang w:val="es-UY"/>
        </w:rPr>
        <w:t xml:space="preserve">del Consejo Directivo Central </w:t>
      </w:r>
      <w:r w:rsidR="00926E32" w:rsidRPr="00157566">
        <w:rPr>
          <w:rFonts w:cs="Arial"/>
          <w:lang w:val="es-UY"/>
        </w:rPr>
        <w:t xml:space="preserve">Nº 3 (Acta Ext. Nº 1), </w:t>
      </w:r>
      <w:r w:rsidR="006F0D05" w:rsidRPr="00157566">
        <w:rPr>
          <w:rFonts w:cs="Arial"/>
          <w:lang w:val="es-UY"/>
        </w:rPr>
        <w:t>de fecha 15/2/02</w:t>
      </w:r>
      <w:r w:rsidR="00E24907">
        <w:rPr>
          <w:rFonts w:cs="Arial"/>
          <w:lang w:val="es-UY"/>
        </w:rPr>
        <w:t xml:space="preserve">; </w:t>
      </w:r>
    </w:p>
    <w:p w:rsidR="009A11A6" w:rsidRDefault="002F491A" w:rsidP="009A11A6">
      <w:pPr>
        <w:spacing w:line="360" w:lineRule="auto"/>
        <w:ind w:firstLine="2977"/>
        <w:jc w:val="both"/>
        <w:rPr>
          <w:rFonts w:cs="Arial"/>
          <w:lang w:val="es-UY"/>
        </w:rPr>
      </w:pPr>
      <w:r>
        <w:rPr>
          <w:rFonts w:cs="Arial"/>
          <w:b/>
          <w:lang w:val="es-MX"/>
        </w:rPr>
        <w:t>2</w:t>
      </w:r>
      <w:r w:rsidR="00926E32" w:rsidRPr="00157566">
        <w:rPr>
          <w:rFonts w:cs="Arial"/>
          <w:b/>
          <w:lang w:val="es-MX"/>
        </w:rPr>
        <w:t>)</w:t>
      </w:r>
      <w:r w:rsidR="00926E32" w:rsidRPr="00157566">
        <w:rPr>
          <w:rFonts w:cs="Arial"/>
          <w:lang w:val="es-MX"/>
        </w:rPr>
        <w:t xml:space="preserve"> que</w:t>
      </w:r>
      <w:r w:rsidR="009B7056" w:rsidRPr="00157566">
        <w:rPr>
          <w:rFonts w:cs="Arial"/>
          <w:lang w:val="es-MX"/>
        </w:rPr>
        <w:t xml:space="preserve"> </w:t>
      </w:r>
      <w:r w:rsidR="00552B4A" w:rsidRPr="00157566">
        <w:rPr>
          <w:rFonts w:cs="Arial"/>
          <w:lang w:val="es-MX"/>
        </w:rPr>
        <w:t xml:space="preserve">la Administración actuante deberá tener presente que </w:t>
      </w:r>
      <w:r w:rsidR="008E0467" w:rsidRPr="00157566">
        <w:rPr>
          <w:rFonts w:cs="Arial"/>
          <w:lang w:val="es-MX"/>
        </w:rPr>
        <w:t>es necesario dar cum</w:t>
      </w:r>
      <w:r w:rsidR="009B7056" w:rsidRPr="00157566">
        <w:rPr>
          <w:rFonts w:cs="Arial"/>
          <w:lang w:val="es-MX"/>
        </w:rPr>
        <w:t xml:space="preserve">plimiento a lo preceptuado por el </w:t>
      </w:r>
      <w:r>
        <w:rPr>
          <w:rFonts w:cs="Arial"/>
          <w:lang w:val="es-MX"/>
        </w:rPr>
        <w:t>a</w:t>
      </w:r>
      <w:r w:rsidR="009B7056" w:rsidRPr="00157566">
        <w:rPr>
          <w:rFonts w:cs="Arial"/>
          <w:lang w:val="es-MX"/>
        </w:rPr>
        <w:t>rtículo 134 de la Ordenanza Nº 10 (</w:t>
      </w:r>
      <w:r w:rsidR="009B7056" w:rsidRPr="00A24CED">
        <w:rPr>
          <w:rFonts w:cs="Arial"/>
          <w:lang w:val="es-MX"/>
        </w:rPr>
        <w:t xml:space="preserve">Reglamento de procedimiento administrativo del Organismo), que expresa: </w:t>
      </w:r>
      <w:r w:rsidR="009B7056" w:rsidRPr="00A24CED">
        <w:rPr>
          <w:rFonts w:cs="Arial"/>
          <w:i/>
          <w:lang w:val="es-MX"/>
        </w:rPr>
        <w:t>“</w:t>
      </w:r>
      <w:r w:rsidR="009B7056" w:rsidRPr="00A24CED">
        <w:rPr>
          <w:rFonts w:cs="Arial"/>
          <w:i/>
        </w:rPr>
        <w:t>Los actos expedidos en ejercicio de atribuciones delegadas por el CODICEN, deberán tener constancia de ello y se reputarán a todos los efectos como dictadas por aquel Órgano”</w:t>
      </w:r>
      <w:r w:rsidR="009B7056" w:rsidRPr="00A24CED">
        <w:rPr>
          <w:rFonts w:cs="Arial"/>
        </w:rPr>
        <w:t>;</w:t>
      </w:r>
    </w:p>
    <w:p w:rsidR="00253804" w:rsidRPr="009A11A6" w:rsidRDefault="002F491A" w:rsidP="009A11A6">
      <w:pPr>
        <w:spacing w:line="360" w:lineRule="auto"/>
        <w:ind w:firstLine="2977"/>
        <w:jc w:val="both"/>
        <w:rPr>
          <w:rFonts w:cs="Arial"/>
          <w:lang w:val="es-UY"/>
        </w:rPr>
      </w:pPr>
      <w:r w:rsidRPr="009A11A6">
        <w:rPr>
          <w:rFonts w:cs="Arial"/>
          <w:b/>
          <w:lang w:val="es-MX"/>
        </w:rPr>
        <w:t>3</w:t>
      </w:r>
      <w:r w:rsidR="0033305B" w:rsidRPr="00A24CED">
        <w:rPr>
          <w:rFonts w:cs="Arial"/>
          <w:b/>
          <w:lang w:val="es-MX"/>
        </w:rPr>
        <w:t>)</w:t>
      </w:r>
      <w:r w:rsidR="00BC0346" w:rsidRPr="00A24CED">
        <w:rPr>
          <w:rFonts w:cs="Arial"/>
          <w:lang w:val="es-MX"/>
        </w:rPr>
        <w:t xml:space="preserve"> </w:t>
      </w:r>
      <w:r w:rsidR="00F840C1" w:rsidRPr="00F840C1">
        <w:rPr>
          <w:rFonts w:cs="Arial"/>
          <w:lang w:val="es-UY"/>
        </w:rPr>
        <w:t xml:space="preserve">que </w:t>
      </w:r>
      <w:r w:rsidR="001812C5">
        <w:rPr>
          <w:rFonts w:cs="Arial"/>
          <w:lang w:val="es-UY"/>
        </w:rPr>
        <w:t xml:space="preserve">asimismo corresponde </w:t>
      </w:r>
      <w:r w:rsidR="009A11A6">
        <w:rPr>
          <w:rFonts w:cs="Arial"/>
          <w:lang w:val="es-UY"/>
        </w:rPr>
        <w:t>dar</w:t>
      </w:r>
      <w:r w:rsidR="007A73A4" w:rsidRPr="00A24CED">
        <w:rPr>
          <w:rFonts w:cs="Arial"/>
          <w:lang w:val="es-UY"/>
        </w:rPr>
        <w:t xml:space="preserve"> cumplimiento a lo establecido en </w:t>
      </w:r>
      <w:r w:rsidR="0094466B" w:rsidRPr="00A24CED">
        <w:rPr>
          <w:rFonts w:cs="Arial"/>
          <w:lang w:val="es-UY"/>
        </w:rPr>
        <w:t>el Artículo 35 de la Ordenanza Nº 10 de ANEP</w:t>
      </w:r>
      <w:r w:rsidR="00F009B5" w:rsidRPr="00A24CED">
        <w:rPr>
          <w:rFonts w:cs="Arial"/>
          <w:lang w:val="es-UY"/>
        </w:rPr>
        <w:t xml:space="preserve"> (Reglamento de Procedimiento Administrativo)</w:t>
      </w:r>
      <w:r w:rsidR="0094466B" w:rsidRPr="00A24CED">
        <w:rPr>
          <w:rFonts w:cs="Arial"/>
          <w:lang w:val="es-UY"/>
        </w:rPr>
        <w:t xml:space="preserve">, </w:t>
      </w:r>
      <w:r w:rsidR="0094466B">
        <w:rPr>
          <w:rFonts w:cs="Arial"/>
          <w:lang w:val="es-UY"/>
        </w:rPr>
        <w:t xml:space="preserve">que establece </w:t>
      </w:r>
      <w:r w:rsidR="0094466B" w:rsidRPr="0094466B">
        <w:rPr>
          <w:rFonts w:cs="Arial"/>
          <w:lang w:val="es-UY"/>
        </w:rPr>
        <w:t xml:space="preserve">que </w:t>
      </w:r>
      <w:r w:rsidR="0094466B" w:rsidRPr="0094466B">
        <w:rPr>
          <w:rFonts w:cs="Arial"/>
          <w:i/>
          <w:lang w:val="es-UY"/>
        </w:rPr>
        <w:t xml:space="preserve">“los </w:t>
      </w:r>
      <w:r w:rsidR="007A73A4" w:rsidRPr="0094466B">
        <w:rPr>
          <w:rFonts w:cs="Arial"/>
          <w:i/>
        </w:rPr>
        <w:t>expedientes se formarán siguiendo el ordenamiento regular de los documentos que lo integran, en forma sucesiva y por orden de fechas</w:t>
      </w:r>
      <w:r w:rsidR="0094466B" w:rsidRPr="0094466B">
        <w:rPr>
          <w:rFonts w:cs="Arial"/>
          <w:i/>
        </w:rPr>
        <w:t>”</w:t>
      </w:r>
      <w:r w:rsidR="0094466B" w:rsidRPr="0094466B">
        <w:rPr>
          <w:rFonts w:cs="Arial"/>
        </w:rPr>
        <w:t xml:space="preserve">, no siendo posible </w:t>
      </w:r>
      <w:r w:rsidR="00253804">
        <w:rPr>
          <w:rFonts w:cs="Arial"/>
        </w:rPr>
        <w:t>que se omitan recaudos que lo componen, tal como ocurrió al remitir inicialmente el presente expediente;</w:t>
      </w:r>
    </w:p>
    <w:p w:rsidR="009327CA" w:rsidRPr="0033305B" w:rsidRDefault="009327CA" w:rsidP="009A11A6">
      <w:pPr>
        <w:spacing w:line="360" w:lineRule="auto"/>
        <w:ind w:firstLine="851"/>
        <w:jc w:val="both"/>
        <w:rPr>
          <w:rFonts w:cs="Arial"/>
        </w:rPr>
      </w:pPr>
      <w:r w:rsidRPr="0033305B">
        <w:rPr>
          <w:rFonts w:cs="Arial"/>
          <w:b/>
          <w:bCs/>
        </w:rPr>
        <w:t xml:space="preserve">ATENTO: </w:t>
      </w:r>
      <w:r w:rsidRPr="0033305B">
        <w:rPr>
          <w:rFonts w:cs="Arial"/>
        </w:rPr>
        <w:t>a lo expuesto precedentemente y a lo dispue</w:t>
      </w:r>
      <w:r w:rsidR="002F491A">
        <w:rPr>
          <w:rFonts w:cs="Arial"/>
        </w:rPr>
        <w:t>sto en el a</w:t>
      </w:r>
      <w:r w:rsidR="007A0992" w:rsidRPr="0033305B">
        <w:rPr>
          <w:rFonts w:cs="Arial"/>
        </w:rPr>
        <w:t>rtículo</w:t>
      </w:r>
      <w:r w:rsidR="00203D27" w:rsidRPr="0033305B">
        <w:rPr>
          <w:rFonts w:cs="Arial"/>
        </w:rPr>
        <w:t xml:space="preserve"> 211 </w:t>
      </w:r>
      <w:r w:rsidR="002F491A">
        <w:rPr>
          <w:rFonts w:cs="Arial"/>
        </w:rPr>
        <w:t>l</w:t>
      </w:r>
      <w:r w:rsidR="00203D27" w:rsidRPr="0033305B">
        <w:rPr>
          <w:rFonts w:cs="Arial"/>
        </w:rPr>
        <w:t>itera</w:t>
      </w:r>
      <w:r w:rsidR="007A0992" w:rsidRPr="0033305B">
        <w:rPr>
          <w:rFonts w:cs="Arial"/>
        </w:rPr>
        <w:t>l B</w:t>
      </w:r>
      <w:r w:rsidRPr="0033305B">
        <w:rPr>
          <w:rFonts w:cs="Arial"/>
        </w:rPr>
        <w:t>)</w:t>
      </w:r>
      <w:r w:rsidR="00203D27" w:rsidRPr="0033305B">
        <w:rPr>
          <w:rFonts w:cs="Arial"/>
        </w:rPr>
        <w:t xml:space="preserve"> </w:t>
      </w:r>
      <w:r w:rsidRPr="0033305B">
        <w:rPr>
          <w:rFonts w:cs="Arial"/>
        </w:rPr>
        <w:t>de la Constitución de la República;</w:t>
      </w:r>
    </w:p>
    <w:p w:rsidR="009327CA" w:rsidRPr="00A24CED" w:rsidRDefault="009327CA" w:rsidP="009A11A6">
      <w:pPr>
        <w:keepNext/>
        <w:spacing w:line="360" w:lineRule="auto"/>
        <w:jc w:val="center"/>
        <w:outlineLvl w:val="2"/>
        <w:rPr>
          <w:lang w:val="es-ES_tradnl"/>
        </w:rPr>
      </w:pPr>
      <w:r w:rsidRPr="0033305B">
        <w:rPr>
          <w:rFonts w:cs="Arial"/>
          <w:b/>
          <w:lang w:val="es-MX"/>
        </w:rPr>
        <w:t>EL TRIBUNAL ACUERDA</w:t>
      </w:r>
    </w:p>
    <w:p w:rsidR="00A24CED" w:rsidRDefault="009A11A6" w:rsidP="009A11A6">
      <w:pPr>
        <w:spacing w:line="360" w:lineRule="auto"/>
        <w:jc w:val="both"/>
        <w:rPr>
          <w:rFonts w:cs="Arial"/>
          <w:bCs/>
          <w:lang w:val="es-MX"/>
        </w:rPr>
      </w:pPr>
      <w:r w:rsidRPr="009A11A6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</w:t>
      </w:r>
      <w:proofErr w:type="spellStart"/>
      <w:r w:rsidR="00157566" w:rsidRPr="00A24CED">
        <w:rPr>
          <w:rFonts w:cs="Arial"/>
          <w:bCs/>
          <w:lang w:val="es-MX"/>
        </w:rPr>
        <w:t>Cométese</w:t>
      </w:r>
      <w:proofErr w:type="spellEnd"/>
      <w:r w:rsidR="00157566" w:rsidRPr="00A24CED">
        <w:rPr>
          <w:rFonts w:cs="Arial"/>
          <w:bCs/>
          <w:lang w:val="es-MX"/>
        </w:rPr>
        <w:t xml:space="preserve"> al Contador Delegado la intervención de</w:t>
      </w:r>
      <w:r w:rsidR="001812C5">
        <w:rPr>
          <w:rFonts w:cs="Arial"/>
          <w:bCs/>
          <w:lang w:val="es-MX"/>
        </w:rPr>
        <w:t>l gasto de $</w:t>
      </w:r>
      <w:r w:rsidR="00237985">
        <w:rPr>
          <w:rFonts w:cs="Arial"/>
          <w:bCs/>
          <w:lang w:val="es-MX"/>
        </w:rPr>
        <w:t>13:759.770 (</w:t>
      </w:r>
      <w:r w:rsidR="00C7222C">
        <w:rPr>
          <w:rFonts w:cs="Arial"/>
          <w:bCs/>
          <w:lang w:val="es-MX"/>
        </w:rPr>
        <w:t xml:space="preserve">obra, </w:t>
      </w:r>
      <w:r w:rsidR="00237985">
        <w:rPr>
          <w:rFonts w:cs="Arial"/>
          <w:bCs/>
          <w:lang w:val="es-MX"/>
        </w:rPr>
        <w:t xml:space="preserve">imprevistos e IVA incluidos), </w:t>
      </w:r>
      <w:r w:rsidR="00237985" w:rsidRPr="00237985">
        <w:rPr>
          <w:rFonts w:cs="Arial"/>
          <w:bCs/>
          <w:lang w:val="es-MX"/>
        </w:rPr>
        <w:t xml:space="preserve">más </w:t>
      </w:r>
      <w:r w:rsidR="00237985" w:rsidRPr="00237985">
        <w:rPr>
          <w:lang w:val="es-MX"/>
        </w:rPr>
        <w:t>$ 1:589.794</w:t>
      </w:r>
      <w:r w:rsidR="00237985">
        <w:rPr>
          <w:lang w:val="es-MX"/>
        </w:rPr>
        <w:t xml:space="preserve"> y </w:t>
      </w:r>
      <w:r w:rsidR="001812C5">
        <w:rPr>
          <w:lang w:val="es-MX"/>
        </w:rPr>
        <w:t>$</w:t>
      </w:r>
      <w:r w:rsidR="00237985" w:rsidRPr="00237985">
        <w:rPr>
          <w:lang w:val="es-MX"/>
        </w:rPr>
        <w:t>108.076</w:t>
      </w:r>
      <w:r w:rsidR="00237985" w:rsidRPr="00237985">
        <w:rPr>
          <w:rFonts w:cs="Arial"/>
          <w:bCs/>
          <w:lang w:val="es-MX"/>
        </w:rPr>
        <w:t xml:space="preserve"> </w:t>
      </w:r>
      <w:r w:rsidR="00237985">
        <w:rPr>
          <w:rFonts w:cs="Arial"/>
          <w:bCs/>
          <w:lang w:val="es-MX"/>
        </w:rPr>
        <w:t xml:space="preserve">por concepto de </w:t>
      </w:r>
      <w:r w:rsidR="00237985" w:rsidRPr="00237985">
        <w:rPr>
          <w:rFonts w:cs="Arial"/>
          <w:bCs/>
          <w:lang w:val="es-MX"/>
        </w:rPr>
        <w:t>leyes sociales</w:t>
      </w:r>
      <w:r w:rsidR="00237985">
        <w:rPr>
          <w:rFonts w:cs="Arial"/>
          <w:bCs/>
          <w:lang w:val="es-MX"/>
        </w:rPr>
        <w:t xml:space="preserve"> correspondientes a obra prevista e imprevista respectivamente, previo control de su imputación a grupo adecuad</w:t>
      </w:r>
      <w:r w:rsidR="00667C5C">
        <w:rPr>
          <w:rFonts w:cs="Arial"/>
          <w:bCs/>
          <w:lang w:val="es-MX"/>
        </w:rPr>
        <w:t>o con disponibilidad suficiente;</w:t>
      </w:r>
    </w:p>
    <w:p w:rsidR="009A11A6" w:rsidRDefault="009A11A6" w:rsidP="009A11A6">
      <w:pPr>
        <w:spacing w:line="360" w:lineRule="auto"/>
        <w:jc w:val="both"/>
        <w:rPr>
          <w:rFonts w:cs="Arial"/>
          <w:bCs/>
          <w:lang w:val="es-MX"/>
        </w:rPr>
      </w:pPr>
      <w:r w:rsidRPr="009A11A6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7213C" w:rsidRPr="00A24CED">
        <w:rPr>
          <w:rFonts w:cs="Arial"/>
          <w:lang w:val="es-MX"/>
        </w:rPr>
        <w:t xml:space="preserve">Téngase presente lo expresado en </w:t>
      </w:r>
      <w:r w:rsidR="000F37AD" w:rsidRPr="00A24CED">
        <w:rPr>
          <w:rFonts w:cs="Arial"/>
          <w:lang w:val="es-MX"/>
        </w:rPr>
        <w:t>los Considerandos</w:t>
      </w:r>
      <w:r w:rsidR="00667C5C">
        <w:rPr>
          <w:rFonts w:cs="Arial"/>
          <w:lang w:val="es-MX"/>
        </w:rPr>
        <w:t xml:space="preserve">; </w:t>
      </w:r>
    </w:p>
    <w:p w:rsidR="00515D7D" w:rsidRPr="00A24CED" w:rsidRDefault="009A11A6" w:rsidP="009A11A6">
      <w:pPr>
        <w:spacing w:line="360" w:lineRule="auto"/>
        <w:jc w:val="both"/>
        <w:rPr>
          <w:rFonts w:cs="Arial"/>
          <w:bCs/>
          <w:lang w:val="es-MX"/>
        </w:rPr>
      </w:pPr>
      <w:r w:rsidRPr="009A11A6">
        <w:rPr>
          <w:rFonts w:cs="Arial"/>
          <w:b/>
          <w:bCs/>
          <w:lang w:val="es-MX"/>
        </w:rPr>
        <w:lastRenderedPageBreak/>
        <w:t>3)</w:t>
      </w:r>
      <w:r>
        <w:rPr>
          <w:rFonts w:cs="Arial"/>
          <w:bCs/>
          <w:lang w:val="es-MX"/>
        </w:rPr>
        <w:t xml:space="preserve"> </w:t>
      </w:r>
      <w:r w:rsidR="00667C5C">
        <w:rPr>
          <w:rFonts w:cs="Arial"/>
          <w:bCs/>
          <w:lang w:val="es-MX"/>
        </w:rPr>
        <w:t xml:space="preserve">Comunicar  al Contador Delegado; y </w:t>
      </w:r>
      <w:bookmarkStart w:id="0" w:name="_GoBack"/>
      <w:bookmarkEnd w:id="0"/>
    </w:p>
    <w:p w:rsidR="00180D7B" w:rsidRDefault="009A11A6" w:rsidP="009A11A6">
      <w:pPr>
        <w:spacing w:line="360" w:lineRule="auto"/>
        <w:jc w:val="both"/>
        <w:rPr>
          <w:rFonts w:cs="Arial"/>
          <w:bCs/>
          <w:lang w:val="es-MX"/>
        </w:rPr>
      </w:pPr>
      <w:r w:rsidRPr="009A11A6">
        <w:rPr>
          <w:rFonts w:cs="Arial"/>
          <w:b/>
          <w:bCs/>
          <w:lang w:val="es-MX"/>
        </w:rPr>
        <w:t>4)</w:t>
      </w:r>
      <w:r>
        <w:rPr>
          <w:rFonts w:cs="Arial"/>
          <w:bCs/>
          <w:lang w:val="es-MX"/>
        </w:rPr>
        <w:t xml:space="preserve"> </w:t>
      </w:r>
      <w:r w:rsidR="009327CA" w:rsidRPr="00A24CED">
        <w:rPr>
          <w:rFonts w:cs="Arial"/>
          <w:bCs/>
          <w:lang w:val="es-MX"/>
        </w:rPr>
        <w:t>Devolver las actuaciones.</w:t>
      </w:r>
    </w:p>
    <w:p w:rsidR="00280FF0" w:rsidRDefault="00280FF0" w:rsidP="00280FF0">
      <w:pPr>
        <w:spacing w:line="360" w:lineRule="auto"/>
        <w:jc w:val="both"/>
        <w:rPr>
          <w:rFonts w:cs="Arial"/>
          <w:bCs/>
          <w:lang w:val="es-MX"/>
        </w:rPr>
      </w:pPr>
    </w:p>
    <w:p w:rsidR="00280FF0" w:rsidRPr="00280FF0" w:rsidRDefault="00280FF0" w:rsidP="00280FF0">
      <w:pPr>
        <w:spacing w:line="360" w:lineRule="auto"/>
        <w:jc w:val="both"/>
        <w:rPr>
          <w:rFonts w:cs="Arial"/>
          <w:bCs/>
          <w:lang w:val="es-MX"/>
        </w:rPr>
      </w:pPr>
      <w:proofErr w:type="gramStart"/>
      <w:r>
        <w:rPr>
          <w:rFonts w:cs="Arial"/>
          <w:bCs/>
          <w:lang w:val="es-MX"/>
        </w:rPr>
        <w:t>lm</w:t>
      </w:r>
      <w:proofErr w:type="gramEnd"/>
    </w:p>
    <w:sectPr w:rsidR="00280FF0" w:rsidRPr="00280FF0" w:rsidSect="00280FF0">
      <w:footerReference w:type="even" r:id="rId9"/>
      <w:footerReference w:type="default" r:id="rId10"/>
      <w:pgSz w:w="11907" w:h="16839" w:code="9"/>
      <w:pgMar w:top="3402" w:right="1701" w:bottom="1134" w:left="1701" w:header="720" w:footer="72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F1" w:rsidRDefault="00E179F1">
      <w:r>
        <w:separator/>
      </w:r>
    </w:p>
  </w:endnote>
  <w:endnote w:type="continuationSeparator" w:id="0">
    <w:p w:rsidR="00E179F1" w:rsidRDefault="00E1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F1" w:rsidRDefault="00E179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79F1" w:rsidRDefault="00E179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F1" w:rsidRDefault="00E179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11A6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179F1" w:rsidRDefault="00E179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F1" w:rsidRDefault="00E179F1">
      <w:r>
        <w:separator/>
      </w:r>
    </w:p>
  </w:footnote>
  <w:footnote w:type="continuationSeparator" w:id="0">
    <w:p w:rsidR="00E179F1" w:rsidRDefault="00E1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67100C"/>
    <w:multiLevelType w:val="hybridMultilevel"/>
    <w:tmpl w:val="3760E1AE"/>
    <w:lvl w:ilvl="0" w:tplc="63A6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E3"/>
    <w:rsid w:val="00000BDA"/>
    <w:rsid w:val="00003439"/>
    <w:rsid w:val="00006F1A"/>
    <w:rsid w:val="000154D2"/>
    <w:rsid w:val="000236B4"/>
    <w:rsid w:val="00026FC9"/>
    <w:rsid w:val="000277D7"/>
    <w:rsid w:val="00045732"/>
    <w:rsid w:val="00046BA1"/>
    <w:rsid w:val="00054A6A"/>
    <w:rsid w:val="00070942"/>
    <w:rsid w:val="00077EC8"/>
    <w:rsid w:val="000814E0"/>
    <w:rsid w:val="00083DE1"/>
    <w:rsid w:val="000864FA"/>
    <w:rsid w:val="00086A20"/>
    <w:rsid w:val="000C47F5"/>
    <w:rsid w:val="000E4CC5"/>
    <w:rsid w:val="000F37AD"/>
    <w:rsid w:val="00103718"/>
    <w:rsid w:val="00106404"/>
    <w:rsid w:val="00115571"/>
    <w:rsid w:val="00123AC4"/>
    <w:rsid w:val="00144140"/>
    <w:rsid w:val="001442EF"/>
    <w:rsid w:val="00157566"/>
    <w:rsid w:val="001644FF"/>
    <w:rsid w:val="001647FB"/>
    <w:rsid w:val="00177AC8"/>
    <w:rsid w:val="0018098F"/>
    <w:rsid w:val="00180B9A"/>
    <w:rsid w:val="00180D7B"/>
    <w:rsid w:val="001812C5"/>
    <w:rsid w:val="00182E2E"/>
    <w:rsid w:val="00186F74"/>
    <w:rsid w:val="00192B52"/>
    <w:rsid w:val="0019688E"/>
    <w:rsid w:val="001B571B"/>
    <w:rsid w:val="001B6718"/>
    <w:rsid w:val="001B7B85"/>
    <w:rsid w:val="001C2071"/>
    <w:rsid w:val="001D6346"/>
    <w:rsid w:val="001E3D34"/>
    <w:rsid w:val="001F0963"/>
    <w:rsid w:val="001F15B8"/>
    <w:rsid w:val="001F1789"/>
    <w:rsid w:val="001F4CBF"/>
    <w:rsid w:val="001F61EB"/>
    <w:rsid w:val="001F7498"/>
    <w:rsid w:val="00203D27"/>
    <w:rsid w:val="0021313F"/>
    <w:rsid w:val="0021387A"/>
    <w:rsid w:val="0022184D"/>
    <w:rsid w:val="00226532"/>
    <w:rsid w:val="00226872"/>
    <w:rsid w:val="002274ED"/>
    <w:rsid w:val="002339C3"/>
    <w:rsid w:val="0023422E"/>
    <w:rsid w:val="00237985"/>
    <w:rsid w:val="00240B59"/>
    <w:rsid w:val="00250E68"/>
    <w:rsid w:val="002534C7"/>
    <w:rsid w:val="00253804"/>
    <w:rsid w:val="002543AC"/>
    <w:rsid w:val="0026059C"/>
    <w:rsid w:val="0026259D"/>
    <w:rsid w:val="0026757E"/>
    <w:rsid w:val="00271915"/>
    <w:rsid w:val="0027270E"/>
    <w:rsid w:val="00276B15"/>
    <w:rsid w:val="002809A0"/>
    <w:rsid w:val="00280FF0"/>
    <w:rsid w:val="00294A0B"/>
    <w:rsid w:val="00297C92"/>
    <w:rsid w:val="002A4C98"/>
    <w:rsid w:val="002B70E9"/>
    <w:rsid w:val="002E43F7"/>
    <w:rsid w:val="002E5CED"/>
    <w:rsid w:val="002E696E"/>
    <w:rsid w:val="002E6CBD"/>
    <w:rsid w:val="002F2976"/>
    <w:rsid w:val="002F491A"/>
    <w:rsid w:val="0030330B"/>
    <w:rsid w:val="00313133"/>
    <w:rsid w:val="003210B9"/>
    <w:rsid w:val="00321280"/>
    <w:rsid w:val="003216A8"/>
    <w:rsid w:val="00327494"/>
    <w:rsid w:val="0033305B"/>
    <w:rsid w:val="003362A7"/>
    <w:rsid w:val="003539DA"/>
    <w:rsid w:val="0036444F"/>
    <w:rsid w:val="00364F83"/>
    <w:rsid w:val="00373161"/>
    <w:rsid w:val="00377C34"/>
    <w:rsid w:val="00380F28"/>
    <w:rsid w:val="00380FE3"/>
    <w:rsid w:val="00381F31"/>
    <w:rsid w:val="00382AAC"/>
    <w:rsid w:val="003A591C"/>
    <w:rsid w:val="003A6213"/>
    <w:rsid w:val="003B2067"/>
    <w:rsid w:val="003B349D"/>
    <w:rsid w:val="003B6196"/>
    <w:rsid w:val="003C1DB8"/>
    <w:rsid w:val="003D07CD"/>
    <w:rsid w:val="003D2FE7"/>
    <w:rsid w:val="003D34FB"/>
    <w:rsid w:val="003E5A06"/>
    <w:rsid w:val="00400CEA"/>
    <w:rsid w:val="00402F86"/>
    <w:rsid w:val="00406123"/>
    <w:rsid w:val="00406603"/>
    <w:rsid w:val="004327E5"/>
    <w:rsid w:val="00434AFA"/>
    <w:rsid w:val="00435AC1"/>
    <w:rsid w:val="004378ED"/>
    <w:rsid w:val="004503A5"/>
    <w:rsid w:val="004527E1"/>
    <w:rsid w:val="00453016"/>
    <w:rsid w:val="00460526"/>
    <w:rsid w:val="00463278"/>
    <w:rsid w:val="00465A0C"/>
    <w:rsid w:val="004910AB"/>
    <w:rsid w:val="004A39C6"/>
    <w:rsid w:val="004B3337"/>
    <w:rsid w:val="004B3DF7"/>
    <w:rsid w:val="004B5987"/>
    <w:rsid w:val="004B5C68"/>
    <w:rsid w:val="004B605E"/>
    <w:rsid w:val="004C6E22"/>
    <w:rsid w:val="004D5D50"/>
    <w:rsid w:val="004E4B83"/>
    <w:rsid w:val="004E7B8C"/>
    <w:rsid w:val="004F1A02"/>
    <w:rsid w:val="004F3990"/>
    <w:rsid w:val="00515D7D"/>
    <w:rsid w:val="00523149"/>
    <w:rsid w:val="00523BCB"/>
    <w:rsid w:val="00525846"/>
    <w:rsid w:val="0052735C"/>
    <w:rsid w:val="00527BF3"/>
    <w:rsid w:val="005349F3"/>
    <w:rsid w:val="00534C61"/>
    <w:rsid w:val="00535F8D"/>
    <w:rsid w:val="00551B99"/>
    <w:rsid w:val="00552B4A"/>
    <w:rsid w:val="005554C9"/>
    <w:rsid w:val="00556529"/>
    <w:rsid w:val="00563D87"/>
    <w:rsid w:val="00566CAA"/>
    <w:rsid w:val="00570DEA"/>
    <w:rsid w:val="0058109F"/>
    <w:rsid w:val="00593EAD"/>
    <w:rsid w:val="00595131"/>
    <w:rsid w:val="00595BDA"/>
    <w:rsid w:val="00595CF9"/>
    <w:rsid w:val="005A2425"/>
    <w:rsid w:val="005A5E48"/>
    <w:rsid w:val="005A629E"/>
    <w:rsid w:val="005A7705"/>
    <w:rsid w:val="005B20D3"/>
    <w:rsid w:val="005B7D01"/>
    <w:rsid w:val="005C0702"/>
    <w:rsid w:val="005C122A"/>
    <w:rsid w:val="005C7C75"/>
    <w:rsid w:val="005E244B"/>
    <w:rsid w:val="005F3470"/>
    <w:rsid w:val="005F7FA5"/>
    <w:rsid w:val="00600B45"/>
    <w:rsid w:val="0060634F"/>
    <w:rsid w:val="00607CEC"/>
    <w:rsid w:val="006106F7"/>
    <w:rsid w:val="006126F6"/>
    <w:rsid w:val="0062048B"/>
    <w:rsid w:val="00624F7B"/>
    <w:rsid w:val="00625CA4"/>
    <w:rsid w:val="00631361"/>
    <w:rsid w:val="00643216"/>
    <w:rsid w:val="00645C4C"/>
    <w:rsid w:val="00660846"/>
    <w:rsid w:val="00662245"/>
    <w:rsid w:val="00664DF3"/>
    <w:rsid w:val="00667C5C"/>
    <w:rsid w:val="00682236"/>
    <w:rsid w:val="00682DE4"/>
    <w:rsid w:val="00684E86"/>
    <w:rsid w:val="006856C1"/>
    <w:rsid w:val="00686635"/>
    <w:rsid w:val="006A284A"/>
    <w:rsid w:val="006B2BE0"/>
    <w:rsid w:val="006B43D4"/>
    <w:rsid w:val="006B57FE"/>
    <w:rsid w:val="006B7127"/>
    <w:rsid w:val="006B74BD"/>
    <w:rsid w:val="006B7B23"/>
    <w:rsid w:val="006C2C7F"/>
    <w:rsid w:val="006C5A38"/>
    <w:rsid w:val="006C6AB9"/>
    <w:rsid w:val="006C7BE5"/>
    <w:rsid w:val="006C7C4A"/>
    <w:rsid w:val="006D674B"/>
    <w:rsid w:val="006F0D05"/>
    <w:rsid w:val="006F0F0B"/>
    <w:rsid w:val="006F1903"/>
    <w:rsid w:val="006F5DAB"/>
    <w:rsid w:val="007077B6"/>
    <w:rsid w:val="00713B17"/>
    <w:rsid w:val="00713B29"/>
    <w:rsid w:val="00726BB1"/>
    <w:rsid w:val="007274F8"/>
    <w:rsid w:val="007307A0"/>
    <w:rsid w:val="00730A58"/>
    <w:rsid w:val="0074188E"/>
    <w:rsid w:val="007463E8"/>
    <w:rsid w:val="00750D99"/>
    <w:rsid w:val="00751684"/>
    <w:rsid w:val="00753D97"/>
    <w:rsid w:val="00767B87"/>
    <w:rsid w:val="00771981"/>
    <w:rsid w:val="0078332C"/>
    <w:rsid w:val="00785E00"/>
    <w:rsid w:val="007914DC"/>
    <w:rsid w:val="007925F0"/>
    <w:rsid w:val="00792D0B"/>
    <w:rsid w:val="00793196"/>
    <w:rsid w:val="007A03E4"/>
    <w:rsid w:val="007A0992"/>
    <w:rsid w:val="007A0C7E"/>
    <w:rsid w:val="007A25E9"/>
    <w:rsid w:val="007A6215"/>
    <w:rsid w:val="007A73A4"/>
    <w:rsid w:val="007B2D06"/>
    <w:rsid w:val="007B4878"/>
    <w:rsid w:val="007C7201"/>
    <w:rsid w:val="007D334B"/>
    <w:rsid w:val="007E13A6"/>
    <w:rsid w:val="007F0901"/>
    <w:rsid w:val="007F6C29"/>
    <w:rsid w:val="007F7E24"/>
    <w:rsid w:val="008053F5"/>
    <w:rsid w:val="00806AC3"/>
    <w:rsid w:val="00811AAF"/>
    <w:rsid w:val="00811F32"/>
    <w:rsid w:val="008126B3"/>
    <w:rsid w:val="00813C43"/>
    <w:rsid w:val="00816697"/>
    <w:rsid w:val="00816BCC"/>
    <w:rsid w:val="00824923"/>
    <w:rsid w:val="00841919"/>
    <w:rsid w:val="0084231C"/>
    <w:rsid w:val="0084793E"/>
    <w:rsid w:val="008517A0"/>
    <w:rsid w:val="00853EA3"/>
    <w:rsid w:val="0086157C"/>
    <w:rsid w:val="00866234"/>
    <w:rsid w:val="00867410"/>
    <w:rsid w:val="0087213C"/>
    <w:rsid w:val="0087321A"/>
    <w:rsid w:val="00876EF5"/>
    <w:rsid w:val="00880831"/>
    <w:rsid w:val="0088133C"/>
    <w:rsid w:val="008979E9"/>
    <w:rsid w:val="008A172A"/>
    <w:rsid w:val="008A28CF"/>
    <w:rsid w:val="008A3B5A"/>
    <w:rsid w:val="008A6095"/>
    <w:rsid w:val="008B1E71"/>
    <w:rsid w:val="008C23F6"/>
    <w:rsid w:val="008D2411"/>
    <w:rsid w:val="008D72D6"/>
    <w:rsid w:val="008E0467"/>
    <w:rsid w:val="008F0206"/>
    <w:rsid w:val="008F0A2B"/>
    <w:rsid w:val="008F0CEA"/>
    <w:rsid w:val="009014B3"/>
    <w:rsid w:val="00904F72"/>
    <w:rsid w:val="00910B21"/>
    <w:rsid w:val="00911F18"/>
    <w:rsid w:val="009140D6"/>
    <w:rsid w:val="00926E32"/>
    <w:rsid w:val="009313B7"/>
    <w:rsid w:val="009327CA"/>
    <w:rsid w:val="00933733"/>
    <w:rsid w:val="00934782"/>
    <w:rsid w:val="00936657"/>
    <w:rsid w:val="00940A1D"/>
    <w:rsid w:val="00940EF5"/>
    <w:rsid w:val="0094466B"/>
    <w:rsid w:val="0095399E"/>
    <w:rsid w:val="009562CB"/>
    <w:rsid w:val="00957541"/>
    <w:rsid w:val="00957BB7"/>
    <w:rsid w:val="00973FAF"/>
    <w:rsid w:val="0098108C"/>
    <w:rsid w:val="00990F8B"/>
    <w:rsid w:val="00991FAC"/>
    <w:rsid w:val="00994801"/>
    <w:rsid w:val="00996F7F"/>
    <w:rsid w:val="009A0F61"/>
    <w:rsid w:val="009A11A6"/>
    <w:rsid w:val="009A4E40"/>
    <w:rsid w:val="009A614E"/>
    <w:rsid w:val="009B1EA1"/>
    <w:rsid w:val="009B60CE"/>
    <w:rsid w:val="009B7056"/>
    <w:rsid w:val="009C0586"/>
    <w:rsid w:val="009C6593"/>
    <w:rsid w:val="009C7C94"/>
    <w:rsid w:val="009D297D"/>
    <w:rsid w:val="009D78B4"/>
    <w:rsid w:val="009D7D8A"/>
    <w:rsid w:val="009E2BA6"/>
    <w:rsid w:val="009E6376"/>
    <w:rsid w:val="009E7E13"/>
    <w:rsid w:val="009F7324"/>
    <w:rsid w:val="00A019FD"/>
    <w:rsid w:val="00A06EDD"/>
    <w:rsid w:val="00A10A1C"/>
    <w:rsid w:val="00A211F6"/>
    <w:rsid w:val="00A2133B"/>
    <w:rsid w:val="00A21DAF"/>
    <w:rsid w:val="00A24CED"/>
    <w:rsid w:val="00A25FD7"/>
    <w:rsid w:val="00A3187D"/>
    <w:rsid w:val="00A3263C"/>
    <w:rsid w:val="00A36630"/>
    <w:rsid w:val="00A46DBD"/>
    <w:rsid w:val="00A47FDE"/>
    <w:rsid w:val="00A623CE"/>
    <w:rsid w:val="00A65BDF"/>
    <w:rsid w:val="00A75361"/>
    <w:rsid w:val="00A7700E"/>
    <w:rsid w:val="00A822A0"/>
    <w:rsid w:val="00A86706"/>
    <w:rsid w:val="00A93B03"/>
    <w:rsid w:val="00AB112B"/>
    <w:rsid w:val="00AC11BE"/>
    <w:rsid w:val="00AC2F81"/>
    <w:rsid w:val="00AC3900"/>
    <w:rsid w:val="00AD72B6"/>
    <w:rsid w:val="00AE3EC0"/>
    <w:rsid w:val="00AF69FF"/>
    <w:rsid w:val="00AF78CF"/>
    <w:rsid w:val="00B071BD"/>
    <w:rsid w:val="00B15B14"/>
    <w:rsid w:val="00B15E0F"/>
    <w:rsid w:val="00B17428"/>
    <w:rsid w:val="00B20D41"/>
    <w:rsid w:val="00B22930"/>
    <w:rsid w:val="00B238F5"/>
    <w:rsid w:val="00B30939"/>
    <w:rsid w:val="00B3278E"/>
    <w:rsid w:val="00B35CDC"/>
    <w:rsid w:val="00B36015"/>
    <w:rsid w:val="00B3772D"/>
    <w:rsid w:val="00B418AA"/>
    <w:rsid w:val="00B463EB"/>
    <w:rsid w:val="00B47278"/>
    <w:rsid w:val="00B51AE0"/>
    <w:rsid w:val="00B66E3F"/>
    <w:rsid w:val="00B77CDF"/>
    <w:rsid w:val="00B84802"/>
    <w:rsid w:val="00B941AC"/>
    <w:rsid w:val="00BA2992"/>
    <w:rsid w:val="00BB09A9"/>
    <w:rsid w:val="00BB3974"/>
    <w:rsid w:val="00BB6C7A"/>
    <w:rsid w:val="00BC0346"/>
    <w:rsid w:val="00BC1772"/>
    <w:rsid w:val="00BD6274"/>
    <w:rsid w:val="00BE1A26"/>
    <w:rsid w:val="00BF01CE"/>
    <w:rsid w:val="00C00022"/>
    <w:rsid w:val="00C01A65"/>
    <w:rsid w:val="00C13CB7"/>
    <w:rsid w:val="00C22195"/>
    <w:rsid w:val="00C317DF"/>
    <w:rsid w:val="00C5433B"/>
    <w:rsid w:val="00C64514"/>
    <w:rsid w:val="00C7222C"/>
    <w:rsid w:val="00C80059"/>
    <w:rsid w:val="00C80B88"/>
    <w:rsid w:val="00C8102E"/>
    <w:rsid w:val="00C83183"/>
    <w:rsid w:val="00C83AC0"/>
    <w:rsid w:val="00C937C1"/>
    <w:rsid w:val="00CA174A"/>
    <w:rsid w:val="00CB1844"/>
    <w:rsid w:val="00CB70BF"/>
    <w:rsid w:val="00CC332D"/>
    <w:rsid w:val="00CC5B47"/>
    <w:rsid w:val="00CD0206"/>
    <w:rsid w:val="00CD4B75"/>
    <w:rsid w:val="00CD7033"/>
    <w:rsid w:val="00CE0445"/>
    <w:rsid w:val="00CF054F"/>
    <w:rsid w:val="00CF0781"/>
    <w:rsid w:val="00D00D26"/>
    <w:rsid w:val="00D07B07"/>
    <w:rsid w:val="00D2493B"/>
    <w:rsid w:val="00D25B4C"/>
    <w:rsid w:val="00D263A2"/>
    <w:rsid w:val="00D26E01"/>
    <w:rsid w:val="00D32F54"/>
    <w:rsid w:val="00D34E33"/>
    <w:rsid w:val="00D41565"/>
    <w:rsid w:val="00D44824"/>
    <w:rsid w:val="00D5244B"/>
    <w:rsid w:val="00D538C5"/>
    <w:rsid w:val="00D80E47"/>
    <w:rsid w:val="00D86EAF"/>
    <w:rsid w:val="00DA1692"/>
    <w:rsid w:val="00DA3168"/>
    <w:rsid w:val="00DB1687"/>
    <w:rsid w:val="00DB6E4F"/>
    <w:rsid w:val="00DB776F"/>
    <w:rsid w:val="00DC7872"/>
    <w:rsid w:val="00DE08F5"/>
    <w:rsid w:val="00DE272C"/>
    <w:rsid w:val="00E13D1F"/>
    <w:rsid w:val="00E15888"/>
    <w:rsid w:val="00E179F1"/>
    <w:rsid w:val="00E20A9B"/>
    <w:rsid w:val="00E21D18"/>
    <w:rsid w:val="00E24907"/>
    <w:rsid w:val="00E322F4"/>
    <w:rsid w:val="00E40114"/>
    <w:rsid w:val="00E40231"/>
    <w:rsid w:val="00E53BC9"/>
    <w:rsid w:val="00E63351"/>
    <w:rsid w:val="00E71FB6"/>
    <w:rsid w:val="00E7695D"/>
    <w:rsid w:val="00E85269"/>
    <w:rsid w:val="00E85DCD"/>
    <w:rsid w:val="00E864F0"/>
    <w:rsid w:val="00EB054E"/>
    <w:rsid w:val="00EB3288"/>
    <w:rsid w:val="00EB4D4D"/>
    <w:rsid w:val="00EC5F98"/>
    <w:rsid w:val="00EC6BD4"/>
    <w:rsid w:val="00EE336C"/>
    <w:rsid w:val="00EE3758"/>
    <w:rsid w:val="00EE3A5D"/>
    <w:rsid w:val="00EF0F83"/>
    <w:rsid w:val="00EF1092"/>
    <w:rsid w:val="00EF17DD"/>
    <w:rsid w:val="00EF3C82"/>
    <w:rsid w:val="00EF75D5"/>
    <w:rsid w:val="00F0069D"/>
    <w:rsid w:val="00F009B5"/>
    <w:rsid w:val="00F15822"/>
    <w:rsid w:val="00F20AB1"/>
    <w:rsid w:val="00F240CA"/>
    <w:rsid w:val="00F24AC1"/>
    <w:rsid w:val="00F26BA5"/>
    <w:rsid w:val="00F34330"/>
    <w:rsid w:val="00F35ADA"/>
    <w:rsid w:val="00F35C0E"/>
    <w:rsid w:val="00F432DC"/>
    <w:rsid w:val="00F43D88"/>
    <w:rsid w:val="00F72E43"/>
    <w:rsid w:val="00F76B74"/>
    <w:rsid w:val="00F772E7"/>
    <w:rsid w:val="00F840C1"/>
    <w:rsid w:val="00F918C8"/>
    <w:rsid w:val="00FA0650"/>
    <w:rsid w:val="00FA768A"/>
    <w:rsid w:val="00FB4CBB"/>
    <w:rsid w:val="00FD12A5"/>
    <w:rsid w:val="00FD1D45"/>
    <w:rsid w:val="00FD4758"/>
    <w:rsid w:val="00FD75FB"/>
    <w:rsid w:val="00FF2CB3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both"/>
      <w:outlineLvl w:val="0"/>
    </w:pPr>
    <w:rPr>
      <w:rFonts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bCs/>
      <w:sz w:val="20"/>
      <w:szCs w:val="22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Arial"/>
      <w:b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cs="Arial"/>
      <w:b/>
      <w:color w:val="000000"/>
      <w:sz w:val="20"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imes New Roman" w:hAnsi="Times New Roman"/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cs="Arial"/>
      <w:b/>
      <w:color w:val="FF0000"/>
      <w:sz w:val="20"/>
      <w:szCs w:val="20"/>
      <w:lang w:val="en-U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pPr>
      <w:tabs>
        <w:tab w:val="center" w:pos="4419"/>
        <w:tab w:val="right" w:pos="8838"/>
      </w:tabs>
    </w:pPr>
    <w:rPr>
      <w:szCs w:val="20"/>
    </w:r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cs="Arial"/>
      <w:lang w:val="es-MX"/>
    </w:rPr>
  </w:style>
  <w:style w:type="paragraph" w:customStyle="1" w:styleId="a">
    <w:basedOn w:val="Normal"/>
    <w:next w:val="Sangradetextonormal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i/>
      <w:iCs/>
      <w:sz w:val="20"/>
      <w:szCs w:val="22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cs="Arial"/>
      <w:sz w:val="20"/>
      <w:szCs w:val="22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lang w:val="es-MX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cs="Arial"/>
      <w:color w:val="000000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4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14B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71981"/>
    <w:pPr>
      <w:ind w:left="708"/>
    </w:pPr>
  </w:style>
  <w:style w:type="character" w:customStyle="1" w:styleId="TtuloCar">
    <w:name w:val="Título Car"/>
    <w:link w:val="Ttulo"/>
    <w:rsid w:val="007E13A6"/>
    <w:rPr>
      <w:rFonts w:ascii="Arial" w:hAnsi="Arial" w:cs="Arial"/>
      <w:b/>
      <w:sz w:val="24"/>
      <w:u w:val="single"/>
      <w:lang w:val="es-MX" w:eastAsia="es-ES"/>
    </w:rPr>
  </w:style>
  <w:style w:type="character" w:customStyle="1" w:styleId="PiedepginaCar">
    <w:name w:val="Pie de página Car"/>
    <w:link w:val="Piedepgina"/>
    <w:semiHidden/>
    <w:rsid w:val="00313133"/>
    <w:rPr>
      <w:rFonts w:ascii="Arial" w:hAnsi="Arial"/>
      <w:sz w:val="24"/>
      <w:lang w:val="es-ES" w:eastAsia="es-ES"/>
    </w:rPr>
  </w:style>
  <w:style w:type="character" w:customStyle="1" w:styleId="Ttulo1Car">
    <w:name w:val="Título 1 Car"/>
    <w:link w:val="Ttulo1"/>
    <w:rsid w:val="006126F6"/>
    <w:rPr>
      <w:rFonts w:ascii="Arial" w:hAnsi="Arial" w:cs="Arial"/>
      <w:b/>
      <w:sz w:val="24"/>
      <w:lang w:val="es-MX" w:eastAsia="es-ES"/>
    </w:rPr>
  </w:style>
  <w:style w:type="table" w:styleId="Tablaconcuadrcula">
    <w:name w:val="Table Grid"/>
    <w:basedOn w:val="Tablanormal"/>
    <w:uiPriority w:val="59"/>
    <w:rsid w:val="0053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both"/>
      <w:outlineLvl w:val="0"/>
    </w:pPr>
    <w:rPr>
      <w:rFonts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bCs/>
      <w:sz w:val="20"/>
      <w:szCs w:val="22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Arial"/>
      <w:b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cs="Arial"/>
      <w:b/>
      <w:color w:val="000000"/>
      <w:sz w:val="20"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imes New Roman" w:hAnsi="Times New Roman"/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cs="Arial"/>
      <w:b/>
      <w:color w:val="FF0000"/>
      <w:sz w:val="20"/>
      <w:szCs w:val="20"/>
      <w:lang w:val="en-U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pPr>
      <w:tabs>
        <w:tab w:val="center" w:pos="4419"/>
        <w:tab w:val="right" w:pos="8838"/>
      </w:tabs>
    </w:pPr>
    <w:rPr>
      <w:szCs w:val="20"/>
    </w:r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cs="Arial"/>
      <w:lang w:val="es-MX"/>
    </w:rPr>
  </w:style>
  <w:style w:type="paragraph" w:customStyle="1" w:styleId="a">
    <w:basedOn w:val="Normal"/>
    <w:next w:val="Sangradetextonormal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paragraph" w:styleId="Sangradetextonormal">
    <w:name w:val="Body Text Indent"/>
    <w:basedOn w:val="Normal"/>
    <w:semiHidden/>
    <w:pPr>
      <w:spacing w:after="120"/>
      <w:ind w:left="283"/>
    </w:p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i/>
      <w:iCs/>
      <w:sz w:val="20"/>
      <w:szCs w:val="22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cs="Arial"/>
      <w:sz w:val="20"/>
      <w:szCs w:val="22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lang w:val="es-MX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cs="Arial"/>
      <w:color w:val="000000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4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14B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71981"/>
    <w:pPr>
      <w:ind w:left="708"/>
    </w:pPr>
  </w:style>
  <w:style w:type="character" w:customStyle="1" w:styleId="TtuloCar">
    <w:name w:val="Título Car"/>
    <w:link w:val="Ttulo"/>
    <w:rsid w:val="007E13A6"/>
    <w:rPr>
      <w:rFonts w:ascii="Arial" w:hAnsi="Arial" w:cs="Arial"/>
      <w:b/>
      <w:sz w:val="24"/>
      <w:u w:val="single"/>
      <w:lang w:val="es-MX" w:eastAsia="es-ES"/>
    </w:rPr>
  </w:style>
  <w:style w:type="character" w:customStyle="1" w:styleId="PiedepginaCar">
    <w:name w:val="Pie de página Car"/>
    <w:link w:val="Piedepgina"/>
    <w:semiHidden/>
    <w:rsid w:val="00313133"/>
    <w:rPr>
      <w:rFonts w:ascii="Arial" w:hAnsi="Arial"/>
      <w:sz w:val="24"/>
      <w:lang w:val="es-ES" w:eastAsia="es-ES"/>
    </w:rPr>
  </w:style>
  <w:style w:type="character" w:customStyle="1" w:styleId="Ttulo1Car">
    <w:name w:val="Título 1 Car"/>
    <w:link w:val="Ttulo1"/>
    <w:rsid w:val="006126F6"/>
    <w:rPr>
      <w:rFonts w:ascii="Arial" w:hAnsi="Arial" w:cs="Arial"/>
      <w:b/>
      <w:sz w:val="24"/>
      <w:lang w:val="es-MX" w:eastAsia="es-ES"/>
    </w:rPr>
  </w:style>
  <w:style w:type="table" w:styleId="Tablaconcuadrcula">
    <w:name w:val="Table Grid"/>
    <w:basedOn w:val="Tablanormal"/>
    <w:uiPriority w:val="59"/>
    <w:rsid w:val="0053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FC67-6CB7-4135-8954-D06D75AB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1606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Informática</Company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creator>Tribunal de Cuentas</dc:creator>
  <cp:lastModifiedBy>Tribunal1</cp:lastModifiedBy>
  <cp:revision>3</cp:revision>
  <cp:lastPrinted>2019-02-26T19:12:00Z</cp:lastPrinted>
  <dcterms:created xsi:type="dcterms:W3CDTF">2019-03-15T19:08:00Z</dcterms:created>
  <dcterms:modified xsi:type="dcterms:W3CDTF">2019-03-15T19:34:00Z</dcterms:modified>
</cp:coreProperties>
</file>