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A0" w:rsidRPr="00CB5894" w:rsidRDefault="00AC2BA0" w:rsidP="00CB5894">
      <w:pPr>
        <w:keepNext/>
        <w:widowControl w:val="0"/>
        <w:tabs>
          <w:tab w:val="center" w:pos="4253"/>
        </w:tabs>
        <w:spacing w:line="360" w:lineRule="auto"/>
        <w:jc w:val="right"/>
        <w:rPr>
          <w:rFonts w:cs="Arial"/>
          <w:b/>
          <w:sz w:val="28"/>
          <w:szCs w:val="28"/>
          <w:lang w:val="es-ES_tradnl"/>
        </w:rPr>
      </w:pPr>
      <w:bookmarkStart w:id="0" w:name="_GoBack"/>
      <w:bookmarkEnd w:id="0"/>
      <w:r w:rsidRPr="00CB5894">
        <w:rPr>
          <w:rFonts w:cs="Arial"/>
          <w:b/>
          <w:sz w:val="28"/>
          <w:szCs w:val="28"/>
          <w:lang w:val="es-ES_tradnl"/>
        </w:rPr>
        <w:t>RES. 670/19</w:t>
      </w:r>
    </w:p>
    <w:p w:rsidR="00AC2BA0" w:rsidRPr="00CB5894" w:rsidRDefault="00AC2BA0" w:rsidP="00CB5894">
      <w:pPr>
        <w:keepNext/>
        <w:widowControl w:val="0"/>
        <w:tabs>
          <w:tab w:val="center" w:pos="4253"/>
        </w:tabs>
        <w:jc w:val="center"/>
        <w:rPr>
          <w:rFonts w:cs="Arial"/>
          <w:b/>
          <w:lang w:val="es-ES_tradnl"/>
        </w:rPr>
      </w:pPr>
      <w:r w:rsidRPr="00CB5894">
        <w:rPr>
          <w:rFonts w:cs="Arial"/>
          <w:b/>
          <w:lang w:val="es-ES_tradnl"/>
        </w:rPr>
        <w:t>RESOLUCION ADOPTADA POR EL</w:t>
      </w:r>
    </w:p>
    <w:p w:rsidR="00AC2BA0" w:rsidRPr="00CB5894" w:rsidRDefault="00AC2BA0" w:rsidP="00CB5894">
      <w:pPr>
        <w:keepNext/>
        <w:widowControl w:val="0"/>
        <w:tabs>
          <w:tab w:val="left" w:pos="-720"/>
        </w:tabs>
        <w:jc w:val="center"/>
        <w:rPr>
          <w:rFonts w:cs="Arial"/>
          <w:b/>
          <w:lang w:val="es-ES_tradnl"/>
        </w:rPr>
      </w:pPr>
    </w:p>
    <w:p w:rsidR="00AC2BA0" w:rsidRPr="00CB5894" w:rsidRDefault="00AC2BA0" w:rsidP="00CB5894">
      <w:pPr>
        <w:keepNext/>
        <w:widowControl w:val="0"/>
        <w:tabs>
          <w:tab w:val="center" w:pos="4253"/>
        </w:tabs>
        <w:jc w:val="center"/>
        <w:rPr>
          <w:rFonts w:cs="Arial"/>
          <w:b/>
          <w:lang w:val="es-ES_tradnl"/>
        </w:rPr>
      </w:pPr>
      <w:r w:rsidRPr="00CB5894">
        <w:rPr>
          <w:rFonts w:cs="Arial"/>
          <w:b/>
          <w:lang w:val="es-ES_tradnl"/>
        </w:rPr>
        <w:t>TRIBUNAL DE CUENTAS</w:t>
      </w:r>
    </w:p>
    <w:p w:rsidR="00AC2BA0" w:rsidRPr="00CB5894" w:rsidRDefault="00AC2BA0" w:rsidP="00CB5894">
      <w:pPr>
        <w:keepNext/>
        <w:widowControl w:val="0"/>
        <w:tabs>
          <w:tab w:val="left" w:pos="-720"/>
        </w:tabs>
        <w:jc w:val="center"/>
        <w:rPr>
          <w:rFonts w:cs="Arial"/>
          <w:b/>
          <w:lang w:val="es-ES_tradnl"/>
        </w:rPr>
      </w:pPr>
    </w:p>
    <w:p w:rsidR="00AC2BA0" w:rsidRPr="00CB5894" w:rsidRDefault="00AC2BA0" w:rsidP="00CB5894">
      <w:pPr>
        <w:keepNext/>
        <w:widowControl w:val="0"/>
        <w:tabs>
          <w:tab w:val="center" w:pos="4253"/>
        </w:tabs>
        <w:jc w:val="center"/>
        <w:rPr>
          <w:rFonts w:cs="Arial"/>
          <w:b/>
          <w:lang w:val="es-ES_tradnl"/>
        </w:rPr>
      </w:pPr>
      <w:r w:rsidRPr="00CB5894">
        <w:rPr>
          <w:rFonts w:cs="Arial"/>
          <w:b/>
          <w:lang w:val="es-ES_tradnl"/>
        </w:rPr>
        <w:t>EN SESION DE FECHA 13 DE MARZO DE 2019</w:t>
      </w:r>
    </w:p>
    <w:p w:rsidR="00AC2BA0" w:rsidRPr="00CB5894" w:rsidRDefault="00AC2BA0" w:rsidP="00CB5894">
      <w:pPr>
        <w:keepNext/>
        <w:widowControl w:val="0"/>
        <w:tabs>
          <w:tab w:val="center" w:pos="4253"/>
        </w:tabs>
        <w:jc w:val="center"/>
        <w:rPr>
          <w:rFonts w:cs="Arial"/>
          <w:b/>
          <w:lang w:val="es-ES_tradnl"/>
        </w:rPr>
      </w:pPr>
    </w:p>
    <w:p w:rsidR="00AC2BA0" w:rsidRDefault="00AC2BA0" w:rsidP="00CB5894">
      <w:pPr>
        <w:keepNext/>
        <w:widowControl w:val="0"/>
        <w:tabs>
          <w:tab w:val="center" w:pos="4253"/>
        </w:tabs>
        <w:jc w:val="center"/>
        <w:rPr>
          <w:rFonts w:cs="Arial"/>
          <w:b/>
          <w:lang w:val="es-UY"/>
        </w:rPr>
      </w:pPr>
      <w:r w:rsidRPr="00CB5894">
        <w:rPr>
          <w:rFonts w:cs="Arial"/>
          <w:b/>
          <w:lang w:val="es-UY"/>
        </w:rPr>
        <w:t xml:space="preserve">(E. E. Nº 2018-17-1-0005488, </w:t>
      </w:r>
      <w:proofErr w:type="spellStart"/>
      <w:r w:rsidRPr="00CB5894">
        <w:rPr>
          <w:rFonts w:cs="Arial"/>
          <w:b/>
          <w:lang w:val="es-UY"/>
        </w:rPr>
        <w:t>Ent</w:t>
      </w:r>
      <w:proofErr w:type="spellEnd"/>
      <w:r w:rsidRPr="00CB5894">
        <w:rPr>
          <w:rFonts w:cs="Arial"/>
          <w:b/>
          <w:lang w:val="es-UY"/>
        </w:rPr>
        <w:t>. N° 4224/18)</w:t>
      </w:r>
    </w:p>
    <w:p w:rsidR="00AC2BA0" w:rsidRPr="00CB5894" w:rsidRDefault="00AC2BA0" w:rsidP="00CB5894">
      <w:pPr>
        <w:keepNext/>
        <w:widowControl w:val="0"/>
        <w:tabs>
          <w:tab w:val="center" w:pos="4253"/>
        </w:tabs>
        <w:jc w:val="center"/>
        <w:rPr>
          <w:rFonts w:cs="Arial"/>
          <w:b/>
          <w:lang w:val="es-UY"/>
        </w:rPr>
      </w:pPr>
    </w:p>
    <w:p w:rsidR="00AC2BA0" w:rsidRPr="00CB5894" w:rsidRDefault="00AC2BA0" w:rsidP="00CB5894">
      <w:pPr>
        <w:keepNext/>
        <w:widowControl w:val="0"/>
        <w:tabs>
          <w:tab w:val="center" w:pos="4253"/>
        </w:tabs>
        <w:spacing w:line="360" w:lineRule="auto"/>
        <w:ind w:firstLine="851"/>
        <w:jc w:val="both"/>
        <w:rPr>
          <w:rFonts w:cs="Arial"/>
          <w:bCs/>
        </w:rPr>
      </w:pPr>
      <w:r w:rsidRPr="00CB5894">
        <w:rPr>
          <w:rFonts w:cs="Arial"/>
          <w:b/>
          <w:bCs/>
        </w:rPr>
        <w:t>VISTO:</w:t>
      </w:r>
      <w:r w:rsidRPr="00CB5894">
        <w:rPr>
          <w:rFonts w:cs="Arial"/>
          <w:bCs/>
        </w:rPr>
        <w:t xml:space="preserve"> que este Tribunal ha examinado el Estado de Situación Financiera al 31/12/2017 y los correspondientes: Estados de Resultados Integral, </w:t>
      </w:r>
      <w:r w:rsidRPr="00CB5894">
        <w:rPr>
          <w:rFonts w:cs="Arial"/>
        </w:rPr>
        <w:t>el Estado de Flujos de Efectivo por el período comprendido entre el 1° de enero de 2017 y el 31 de diciembre de 2017</w:t>
      </w:r>
      <w:r w:rsidRPr="00CB5894">
        <w:rPr>
          <w:rFonts w:cs="Arial"/>
          <w:bCs/>
        </w:rPr>
        <w:t xml:space="preserve">, </w:t>
      </w:r>
      <w:r w:rsidRPr="00CB5894">
        <w:rPr>
          <w:rFonts w:cs="Arial"/>
        </w:rPr>
        <w:t>Estado de Cambios en el Patrimonio por el Ejercicio finalizado el 31 de diciembre de 2017</w:t>
      </w:r>
      <w:r w:rsidRPr="00CB5894">
        <w:rPr>
          <w:rFonts w:cs="Arial"/>
          <w:bCs/>
        </w:rPr>
        <w:t xml:space="preserve"> con sus Notas y Anexos y la Ejecución Presupuestal por el período comprendido entre el 1º de enero de 2017 y el 31 de diciembre de 2017, formulados en pesos uruguayos por el Instituto Nacional de Empleo y Formación Profesional (INEFOP);</w:t>
      </w:r>
    </w:p>
    <w:p w:rsidR="00AC2BA0" w:rsidRPr="00CB5894" w:rsidRDefault="00AC2BA0" w:rsidP="00CB5894">
      <w:pPr>
        <w:keepNext/>
        <w:widowControl w:val="0"/>
        <w:tabs>
          <w:tab w:val="center" w:pos="4253"/>
        </w:tabs>
        <w:spacing w:line="360" w:lineRule="auto"/>
        <w:ind w:firstLine="851"/>
        <w:jc w:val="both"/>
        <w:rPr>
          <w:rFonts w:cs="Arial"/>
          <w:bCs/>
        </w:rPr>
      </w:pPr>
      <w:r w:rsidRPr="00CB5894">
        <w:rPr>
          <w:rFonts w:cs="Arial"/>
          <w:b/>
          <w:bCs/>
        </w:rPr>
        <w:t>RESULTANDO:</w:t>
      </w:r>
      <w:r w:rsidRPr="00CB5894">
        <w:rPr>
          <w:rFonts w:cs="Arial"/>
          <w:bCs/>
        </w:rPr>
        <w:t xml:space="preserve">  </w:t>
      </w:r>
      <w:r w:rsidRPr="00CB5894">
        <w:rPr>
          <w:rFonts w:cs="Arial"/>
          <w:bCs/>
        </w:rPr>
        <w:tab/>
        <w:t>que el examen practicado fue realizado de acuerdo con los Principios Fundamentales de Auditoría (ISSAI 100 y 200) y las Directrices de Auditoría Financiera (ISSAI 1000 a 1810) de la Organización Internacional de Entidades Fiscalizadoras Superiores (INTOSAI);</w:t>
      </w:r>
    </w:p>
    <w:p w:rsidR="00AC2BA0" w:rsidRPr="00CB5894" w:rsidRDefault="00AC2BA0" w:rsidP="00CB5894">
      <w:pPr>
        <w:keepNext/>
        <w:widowControl w:val="0"/>
        <w:tabs>
          <w:tab w:val="center" w:pos="4253"/>
        </w:tabs>
        <w:spacing w:line="360" w:lineRule="auto"/>
        <w:ind w:firstLine="851"/>
        <w:jc w:val="both"/>
        <w:rPr>
          <w:rFonts w:cs="Arial"/>
          <w:bCs/>
        </w:rPr>
      </w:pPr>
      <w:r w:rsidRPr="00CB5894">
        <w:rPr>
          <w:rFonts w:cs="Arial"/>
          <w:b/>
          <w:bCs/>
        </w:rPr>
        <w:t>CONSIDERANDO:</w:t>
      </w:r>
      <w:r w:rsidRPr="00CB5894">
        <w:rPr>
          <w:rFonts w:cs="Arial"/>
          <w:bCs/>
        </w:rPr>
        <w:t xml:space="preserve"> que las conclusiones y evidencias obtenidas son las que se expresan en el Informe de Auditoría, que incluyen Dictamen e Informe a la Administración;</w:t>
      </w:r>
    </w:p>
    <w:p w:rsidR="00AC2BA0" w:rsidRPr="00CB5894" w:rsidRDefault="00AC2BA0" w:rsidP="00CB5894">
      <w:pPr>
        <w:keepNext/>
        <w:widowControl w:val="0"/>
        <w:tabs>
          <w:tab w:val="center" w:pos="4253"/>
        </w:tabs>
        <w:spacing w:line="360" w:lineRule="auto"/>
        <w:ind w:firstLine="851"/>
        <w:jc w:val="both"/>
        <w:rPr>
          <w:rFonts w:cs="Arial"/>
          <w:bCs/>
        </w:rPr>
      </w:pPr>
      <w:r w:rsidRPr="00CB5894">
        <w:rPr>
          <w:rFonts w:cs="Arial"/>
          <w:b/>
          <w:bCs/>
        </w:rPr>
        <w:t>ATENTO:</w:t>
      </w:r>
      <w:r w:rsidRPr="00CB5894">
        <w:rPr>
          <w:rFonts w:cs="Arial"/>
          <w:bCs/>
        </w:rPr>
        <w:t xml:space="preserve"> a lo establecido en el Artículo 159 del TOCAF y a la Ordenanza N° 89 de este Tribunal;</w:t>
      </w:r>
    </w:p>
    <w:p w:rsidR="00AC2BA0" w:rsidRPr="00CB5894" w:rsidRDefault="00AC2BA0" w:rsidP="00CB5894">
      <w:pPr>
        <w:keepNext/>
        <w:widowControl w:val="0"/>
        <w:tabs>
          <w:tab w:val="center" w:pos="4253"/>
        </w:tabs>
        <w:spacing w:line="360" w:lineRule="auto"/>
        <w:jc w:val="center"/>
        <w:rPr>
          <w:rFonts w:cs="Arial"/>
          <w:b/>
          <w:bCs/>
        </w:rPr>
      </w:pPr>
      <w:r w:rsidRPr="00CB5894">
        <w:rPr>
          <w:rFonts w:cs="Arial"/>
          <w:b/>
          <w:bCs/>
        </w:rPr>
        <w:t>EL TRIBUNAL ACUERDA</w:t>
      </w:r>
    </w:p>
    <w:p w:rsidR="00AC2BA0" w:rsidRPr="00CB5894" w:rsidRDefault="00AC2BA0" w:rsidP="00CB5894">
      <w:pPr>
        <w:keepNext/>
        <w:widowControl w:val="0"/>
        <w:tabs>
          <w:tab w:val="center" w:pos="4253"/>
        </w:tabs>
        <w:spacing w:line="360" w:lineRule="auto"/>
        <w:rPr>
          <w:rFonts w:cs="Arial"/>
          <w:bCs/>
        </w:rPr>
      </w:pPr>
      <w:r w:rsidRPr="00CB5894">
        <w:rPr>
          <w:rFonts w:cs="Arial"/>
          <w:b/>
          <w:bCs/>
        </w:rPr>
        <w:t>1)</w:t>
      </w:r>
      <w:r w:rsidRPr="00CB5894">
        <w:rPr>
          <w:rFonts w:cs="Arial"/>
          <w:bCs/>
        </w:rPr>
        <w:t xml:space="preserve">  Expedirse en los términos del Informe de Auditoría que se adjunta;</w:t>
      </w:r>
    </w:p>
    <w:p w:rsidR="00AC2BA0" w:rsidRPr="00CB5894" w:rsidRDefault="00AC2BA0" w:rsidP="00CB5894">
      <w:pPr>
        <w:keepNext/>
        <w:widowControl w:val="0"/>
        <w:tabs>
          <w:tab w:val="left" w:pos="426"/>
          <w:tab w:val="right" w:pos="7938"/>
        </w:tabs>
        <w:spacing w:line="360" w:lineRule="auto"/>
        <w:ind w:left="284" w:hanging="284"/>
        <w:jc w:val="both"/>
        <w:rPr>
          <w:rFonts w:cs="Arial"/>
          <w:bCs/>
        </w:rPr>
      </w:pPr>
      <w:r w:rsidRPr="00CB5894">
        <w:rPr>
          <w:rFonts w:cs="Arial"/>
          <w:b/>
          <w:bCs/>
        </w:rPr>
        <w:t>2)</w:t>
      </w:r>
      <w:r w:rsidRPr="00CB5894">
        <w:rPr>
          <w:rFonts w:cs="Arial"/>
          <w:bCs/>
        </w:rPr>
        <w:t xml:space="preserve"> Comunicar esta Resolución al Instituto Nacional de Empleo y For</w:t>
      </w:r>
      <w:r w:rsidR="004D3CA1">
        <w:rPr>
          <w:rFonts w:cs="Arial"/>
          <w:bCs/>
        </w:rPr>
        <w:t>mación Profesional (INEFOP); y</w:t>
      </w:r>
    </w:p>
    <w:p w:rsidR="00AC2BA0" w:rsidRPr="00CB5894" w:rsidRDefault="00AC2BA0" w:rsidP="00CB5894">
      <w:pPr>
        <w:keepNext/>
        <w:widowControl w:val="0"/>
        <w:tabs>
          <w:tab w:val="left" w:pos="0"/>
          <w:tab w:val="right" w:pos="7938"/>
        </w:tabs>
        <w:spacing w:line="360" w:lineRule="auto"/>
        <w:jc w:val="both"/>
        <w:rPr>
          <w:rFonts w:cs="Arial"/>
          <w:bCs/>
        </w:rPr>
      </w:pPr>
      <w:r w:rsidRPr="00CB5894">
        <w:rPr>
          <w:rFonts w:cs="Arial"/>
          <w:b/>
          <w:bCs/>
        </w:rPr>
        <w:t>3)</w:t>
      </w:r>
      <w:r w:rsidRPr="00CB5894">
        <w:rPr>
          <w:rFonts w:cs="Arial"/>
          <w:bCs/>
        </w:rPr>
        <w:t xml:space="preserve">  Dar cuenta a la Asamblea General.</w:t>
      </w:r>
    </w:p>
    <w:p w:rsidR="00AC2BA0" w:rsidRPr="00CB5894" w:rsidRDefault="00AC2BA0" w:rsidP="00CB5894">
      <w:pPr>
        <w:keepNext/>
        <w:widowControl w:val="0"/>
        <w:spacing w:line="360" w:lineRule="auto"/>
        <w:jc w:val="center"/>
        <w:rPr>
          <w:rFonts w:cs="Arial"/>
          <w:b/>
        </w:rPr>
      </w:pPr>
      <w:r w:rsidRPr="00CB5894">
        <w:rPr>
          <w:rFonts w:cs="Arial"/>
          <w:b/>
        </w:rPr>
        <w:lastRenderedPageBreak/>
        <w:t>DICTAMEN</w:t>
      </w:r>
    </w:p>
    <w:p w:rsidR="00AC2BA0" w:rsidRPr="00CB5894" w:rsidRDefault="00AC2BA0" w:rsidP="00CB5894">
      <w:pPr>
        <w:keepNext/>
        <w:widowControl w:val="0"/>
        <w:spacing w:line="360" w:lineRule="auto"/>
        <w:jc w:val="center"/>
        <w:rPr>
          <w:rFonts w:cs="Arial"/>
          <w:b/>
        </w:rPr>
      </w:pPr>
    </w:p>
    <w:p w:rsidR="00AC2BA0" w:rsidRPr="00CB5894" w:rsidRDefault="00AC2BA0" w:rsidP="00CB5894">
      <w:pPr>
        <w:keepNext/>
        <w:widowControl w:val="0"/>
        <w:spacing w:line="360" w:lineRule="auto"/>
        <w:jc w:val="both"/>
        <w:rPr>
          <w:rFonts w:cs="Arial"/>
          <w:b/>
        </w:rPr>
      </w:pPr>
      <w:r w:rsidRPr="00CB5894">
        <w:rPr>
          <w:rFonts w:cs="Arial"/>
          <w:b/>
        </w:rPr>
        <w:t>Opinión sin salvedades</w:t>
      </w:r>
    </w:p>
    <w:p w:rsidR="00AC2BA0" w:rsidRPr="00CB5894" w:rsidRDefault="00AC2BA0" w:rsidP="00CB5894">
      <w:pPr>
        <w:keepNext/>
        <w:widowControl w:val="0"/>
        <w:tabs>
          <w:tab w:val="left" w:pos="0"/>
          <w:tab w:val="right" w:pos="7938"/>
        </w:tabs>
        <w:spacing w:line="360" w:lineRule="auto"/>
        <w:jc w:val="both"/>
        <w:rPr>
          <w:rFonts w:cs="Arial"/>
          <w:bCs/>
        </w:rPr>
      </w:pPr>
      <w:r w:rsidRPr="00CB5894">
        <w:rPr>
          <w:rFonts w:cs="Arial"/>
        </w:rPr>
        <w:t xml:space="preserve">El Tribunal de Cuentas ha auditado los estados financieros del Instituto Nacional de Empleo y Formación Profesional los que comprenden el </w:t>
      </w:r>
      <w:r w:rsidRPr="00CB5894">
        <w:rPr>
          <w:rFonts w:cs="Arial"/>
          <w:bCs/>
        </w:rPr>
        <w:t xml:space="preserve">Estado de Situación Financiera al 31/12/2017 y los correspondientes: Estados de Resultados Integral, </w:t>
      </w:r>
      <w:r w:rsidRPr="00CB5894">
        <w:rPr>
          <w:rFonts w:cs="Arial"/>
        </w:rPr>
        <w:t>el Estado de Flujos de Efectivo por el periodo comprendido entre el 1° de enero de 2017 y el 31 de diciembre de 2017</w:t>
      </w:r>
      <w:r w:rsidRPr="00CB5894">
        <w:rPr>
          <w:rFonts w:cs="Arial"/>
          <w:bCs/>
        </w:rPr>
        <w:t xml:space="preserve">, </w:t>
      </w:r>
      <w:r w:rsidRPr="00CB5894">
        <w:rPr>
          <w:rFonts w:cs="Arial"/>
        </w:rPr>
        <w:t>Estado de Cambios en el Patrimonio por el Ejercicio Finalizado el 31 de diciembre de 2017</w:t>
      </w:r>
      <w:r w:rsidRPr="00CB5894">
        <w:rPr>
          <w:rFonts w:cs="Arial"/>
          <w:bCs/>
        </w:rPr>
        <w:t xml:space="preserve"> con sus Notas y Anexos y la Ejecución Presupuestal por el período comprendido entre el 1º de enero de 2017 y el 31 de diciembre de 2017, formulados en pesos uruguayos.</w:t>
      </w:r>
    </w:p>
    <w:p w:rsidR="00AC2BA0" w:rsidRPr="004D3CA1" w:rsidRDefault="00AC2BA0" w:rsidP="00CB5894">
      <w:pPr>
        <w:keepNext/>
        <w:widowControl w:val="0"/>
        <w:spacing w:line="360" w:lineRule="auto"/>
        <w:jc w:val="both"/>
        <w:rPr>
          <w:rFonts w:cs="Arial"/>
          <w:lang w:val="es-ES_tradnl"/>
        </w:rPr>
      </w:pPr>
      <w:r w:rsidRPr="00CB5894">
        <w:rPr>
          <w:rFonts w:cs="Arial"/>
        </w:rPr>
        <w:t>En opinión del Tribunal de Cuentas los estados financieros referidos preceden</w:t>
      </w:r>
      <w:r w:rsidRPr="00CB5894">
        <w:rPr>
          <w:rFonts w:cs="Arial"/>
        </w:rPr>
        <w:softHyphen/>
        <w:t xml:space="preserve">temente presentan razonablemente, en todos sus aspectos significativos, la situación financiera del Instituto Nacional de Empleo y Formación Profesional al 31 de diciembre de 2017, los resultados de sus operaciones y los flujos de efectivo correspondientes al Ejercicio anual terminado en esa fecha; y el estado de ejecución presupuestal, de acuerdo con </w:t>
      </w:r>
      <w:r w:rsidRPr="00CB5894">
        <w:rPr>
          <w:rFonts w:cs="Arial"/>
          <w:spacing w:val="-1"/>
          <w:lang w:val="es-ES_tradnl"/>
        </w:rPr>
        <w:t>los criterios establecidos en la Ordenanza Nº 89 y normas legales vigentes</w:t>
      </w:r>
      <w:r w:rsidRPr="00CB5894">
        <w:rPr>
          <w:rFonts w:cs="Arial"/>
          <w:i/>
          <w:spacing w:val="-1"/>
          <w:lang w:val="es-ES_tradnl"/>
        </w:rPr>
        <w:t>.</w:t>
      </w:r>
    </w:p>
    <w:p w:rsidR="00AC2BA0" w:rsidRPr="00CB5894" w:rsidRDefault="00AC2BA0" w:rsidP="00CB5894">
      <w:pPr>
        <w:keepNext/>
        <w:widowControl w:val="0"/>
        <w:spacing w:line="360" w:lineRule="auto"/>
        <w:jc w:val="both"/>
        <w:rPr>
          <w:rFonts w:cs="Arial"/>
          <w:b/>
        </w:rPr>
      </w:pPr>
    </w:p>
    <w:p w:rsidR="00AC2BA0" w:rsidRPr="00CB5894" w:rsidRDefault="00AC2BA0" w:rsidP="00CB5894">
      <w:pPr>
        <w:keepNext/>
        <w:widowControl w:val="0"/>
        <w:spacing w:line="360" w:lineRule="auto"/>
        <w:jc w:val="both"/>
        <w:rPr>
          <w:rFonts w:cs="Arial"/>
          <w:b/>
        </w:rPr>
      </w:pPr>
      <w:r w:rsidRPr="00CB5894">
        <w:rPr>
          <w:rFonts w:cs="Arial"/>
          <w:b/>
        </w:rPr>
        <w:t>Opinión respecto al cumplimiento de la normativa legal aplicable</w:t>
      </w:r>
    </w:p>
    <w:p w:rsidR="00AC2BA0" w:rsidRPr="00CB5894" w:rsidRDefault="00AC2BA0" w:rsidP="00CB5894">
      <w:pPr>
        <w:keepNext/>
        <w:widowControl w:val="0"/>
        <w:spacing w:line="360" w:lineRule="auto"/>
        <w:jc w:val="both"/>
        <w:rPr>
          <w:rFonts w:cs="Arial"/>
        </w:rPr>
      </w:pPr>
      <w:r w:rsidRPr="00CB5894">
        <w:rPr>
          <w:rFonts w:cs="Arial"/>
        </w:rPr>
        <w:t>En el curso de la auditoría se ha constatado el siguiente  incumplimiento:</w:t>
      </w:r>
    </w:p>
    <w:p w:rsidR="00AC2BA0" w:rsidRPr="00CB5894" w:rsidRDefault="00AC2BA0" w:rsidP="00CB5894">
      <w:pPr>
        <w:keepNext/>
        <w:widowControl w:val="0"/>
        <w:spacing w:line="360" w:lineRule="auto"/>
        <w:jc w:val="both"/>
        <w:rPr>
          <w:rFonts w:cs="Arial"/>
          <w:b/>
        </w:rPr>
      </w:pPr>
      <w:r w:rsidRPr="00CB5894">
        <w:rPr>
          <w:rFonts w:cs="Arial"/>
        </w:rPr>
        <w:t>-Artículo  159 Inciso b) del TOCAF.</w:t>
      </w:r>
    </w:p>
    <w:p w:rsidR="00AC2BA0" w:rsidRPr="00CB5894" w:rsidRDefault="00AC2BA0" w:rsidP="00CB5894">
      <w:pPr>
        <w:keepNext/>
        <w:widowControl w:val="0"/>
        <w:spacing w:line="360" w:lineRule="auto"/>
        <w:jc w:val="both"/>
        <w:rPr>
          <w:rFonts w:cs="Arial"/>
          <w:b/>
        </w:rPr>
      </w:pPr>
    </w:p>
    <w:p w:rsidR="00AC2BA0" w:rsidRPr="00CB5894" w:rsidRDefault="00AC2BA0" w:rsidP="00CB5894">
      <w:pPr>
        <w:keepNext/>
        <w:widowControl w:val="0"/>
        <w:spacing w:line="360" w:lineRule="auto"/>
        <w:jc w:val="both"/>
        <w:rPr>
          <w:rFonts w:cs="Arial"/>
          <w:b/>
        </w:rPr>
      </w:pPr>
      <w:r w:rsidRPr="00CB5894">
        <w:rPr>
          <w:rFonts w:cs="Arial"/>
          <w:b/>
        </w:rPr>
        <w:t>Bases para  la Opinión sin salvedades</w:t>
      </w:r>
    </w:p>
    <w:p w:rsidR="00AC2BA0" w:rsidRPr="00CB5894" w:rsidRDefault="00AC2BA0" w:rsidP="00CB5894">
      <w:pPr>
        <w:keepNext/>
        <w:widowControl w:val="0"/>
        <w:spacing w:line="360" w:lineRule="auto"/>
        <w:jc w:val="both"/>
        <w:rPr>
          <w:rFonts w:cs="Arial"/>
          <w:b/>
        </w:rPr>
      </w:pPr>
      <w:r w:rsidRPr="00CB5894">
        <w:rPr>
          <w:rFonts w:cs="Aria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w:t>
      </w:r>
      <w:r w:rsidR="004D3CA1">
        <w:rPr>
          <w:rFonts w:cs="Arial"/>
        </w:rPr>
        <w:t xml:space="preserve"> </w:t>
      </w:r>
      <w:r w:rsidRPr="00CB5894">
        <w:rPr>
          <w:rFonts w:cs="Arial"/>
        </w:rPr>
        <w:t>describe con más detalle en la sección de Responsabilidad del Tribunal de Cuentas por la auditoría de los estados financieros. Este Tribunal es independiente del Instituto Nacional de Empleo y Formación Profesional y ha cumplido con las disposiciones de su Código de Ética, elaborado en concordancia con el Código de Ética de la INTOSAI. Se considera que la evidencia de auditoría obtenida es suficiente y adecuada para proporcionar una base razon</w:t>
      </w:r>
      <w:r w:rsidR="004D3CA1">
        <w:rPr>
          <w:rFonts w:cs="Arial"/>
        </w:rPr>
        <w:t>able para sustentar la opinión.</w:t>
      </w:r>
    </w:p>
    <w:p w:rsidR="00AC2BA0" w:rsidRPr="00CB5894" w:rsidRDefault="00AC2BA0" w:rsidP="00CB5894">
      <w:pPr>
        <w:keepNext/>
        <w:widowControl w:val="0"/>
        <w:spacing w:line="360" w:lineRule="auto"/>
        <w:rPr>
          <w:rFonts w:cs="Arial"/>
          <w:b/>
        </w:rPr>
      </w:pPr>
    </w:p>
    <w:p w:rsidR="00AC2BA0" w:rsidRPr="00CB5894" w:rsidRDefault="00AC2BA0" w:rsidP="00CB5894">
      <w:pPr>
        <w:keepNext/>
        <w:widowControl w:val="0"/>
        <w:spacing w:line="360" w:lineRule="auto"/>
        <w:jc w:val="both"/>
        <w:rPr>
          <w:rFonts w:cs="Arial"/>
          <w:b/>
        </w:rPr>
      </w:pPr>
      <w:r w:rsidRPr="00CB5894">
        <w:rPr>
          <w:rFonts w:cs="Arial"/>
          <w:b/>
        </w:rPr>
        <w:t>Responsabilidad del Directo</w:t>
      </w:r>
      <w:r w:rsidR="004D3CA1">
        <w:rPr>
          <w:rFonts w:cs="Arial"/>
          <w:b/>
        </w:rPr>
        <w:t>rio en relación con los estados</w:t>
      </w:r>
    </w:p>
    <w:p w:rsidR="00AC2BA0" w:rsidRPr="00CB5894" w:rsidRDefault="00AC2BA0" w:rsidP="00CB5894">
      <w:pPr>
        <w:keepNext/>
        <w:widowControl w:val="0"/>
        <w:spacing w:line="360" w:lineRule="auto"/>
        <w:jc w:val="both"/>
        <w:rPr>
          <w:rFonts w:cs="Arial"/>
        </w:rPr>
      </w:pPr>
      <w:r w:rsidRPr="00CB5894">
        <w:rPr>
          <w:rFonts w:cs="Arial"/>
        </w:rPr>
        <w:t>La Dirección del Instituto Nacional de Empleo y Formación Profesional es responsable por la preparación y presentación razonable de los estados financieros de acuerdo con la Ordenanza 89 del Tribunal de Cuentas y del control interno que la administración de la entidad consideró necesario para permitir la preparación de estados financieros libres de errores significativos ya sea debido a fraude o error.</w:t>
      </w:r>
    </w:p>
    <w:p w:rsidR="00AC2BA0" w:rsidRPr="00CB5894" w:rsidRDefault="00AC2BA0" w:rsidP="00CB5894">
      <w:pPr>
        <w:keepNext/>
        <w:widowControl w:val="0"/>
        <w:spacing w:line="360" w:lineRule="auto"/>
        <w:jc w:val="both"/>
        <w:rPr>
          <w:rFonts w:cs="Arial"/>
        </w:rPr>
      </w:pPr>
      <w:r w:rsidRPr="00CB5894">
        <w:rPr>
          <w:rFonts w:cs="Arial"/>
        </w:rPr>
        <w:t>La Dirección es responsable de supervisar el proceso de preparación de los estados financieros del Instituto Nacional de Empleo y Formación Profesional.</w:t>
      </w:r>
    </w:p>
    <w:p w:rsidR="00AC2BA0" w:rsidRPr="00CB5894" w:rsidRDefault="00AC2BA0" w:rsidP="00CB5894">
      <w:pPr>
        <w:keepNext/>
        <w:widowControl w:val="0"/>
        <w:spacing w:line="360" w:lineRule="auto"/>
        <w:jc w:val="both"/>
        <w:rPr>
          <w:rFonts w:cs="Arial"/>
        </w:rPr>
      </w:pPr>
    </w:p>
    <w:p w:rsidR="00AC2BA0" w:rsidRPr="00CB5894" w:rsidRDefault="00AC2BA0" w:rsidP="00CB5894">
      <w:pPr>
        <w:keepNext/>
        <w:widowControl w:val="0"/>
        <w:spacing w:line="360" w:lineRule="auto"/>
        <w:jc w:val="both"/>
        <w:rPr>
          <w:rFonts w:cs="Arial"/>
          <w:b/>
        </w:rPr>
      </w:pPr>
      <w:r w:rsidRPr="00CB5894">
        <w:rPr>
          <w:rFonts w:cs="Arial"/>
          <w:b/>
        </w:rPr>
        <w:t>Responsabilidad del Tribunal de Cuentas por la audit</w:t>
      </w:r>
      <w:r w:rsidR="004D3CA1">
        <w:rPr>
          <w:rFonts w:cs="Arial"/>
          <w:b/>
        </w:rPr>
        <w:t>oría de los estados financieros</w:t>
      </w:r>
    </w:p>
    <w:p w:rsidR="00AC2BA0" w:rsidRPr="00CB5894" w:rsidRDefault="00AC2BA0" w:rsidP="00CB5894">
      <w:pPr>
        <w:keepNext/>
        <w:widowControl w:val="0"/>
        <w:spacing w:line="360" w:lineRule="auto"/>
        <w:jc w:val="both"/>
        <w:rPr>
          <w:rFonts w:cs="Arial"/>
        </w:rPr>
      </w:pPr>
      <w:r w:rsidRPr="00CB5894">
        <w:rPr>
          <w:rFonts w:cs="Arial"/>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AC2BA0" w:rsidRPr="00CB5894" w:rsidRDefault="00AC2BA0" w:rsidP="00CB5894">
      <w:pPr>
        <w:keepNext/>
        <w:widowControl w:val="0"/>
        <w:spacing w:line="360" w:lineRule="auto"/>
        <w:jc w:val="both"/>
        <w:rPr>
          <w:rFonts w:cs="Arial"/>
        </w:rPr>
      </w:pPr>
      <w:r w:rsidRPr="00CB5894">
        <w:rPr>
          <w:rFonts w:cs="Arial"/>
        </w:rPr>
        <w:t>Como parte de una auditoría de acuerdo con las ISSAI referidas en la sección Bases para la Opinión, el Tribunal de Cuentas aplica su juicio profesional y mantiene el escepticismo profesional d</w:t>
      </w:r>
      <w:r w:rsidR="004D3CA1">
        <w:rPr>
          <w:rFonts w:cs="Arial"/>
        </w:rPr>
        <w:t>urante el proceso de auditoría.</w:t>
      </w:r>
    </w:p>
    <w:p w:rsidR="00AC2BA0" w:rsidRPr="00CB5894" w:rsidRDefault="00AC2BA0" w:rsidP="00CB5894">
      <w:pPr>
        <w:keepNext/>
        <w:widowControl w:val="0"/>
        <w:spacing w:line="360" w:lineRule="auto"/>
        <w:jc w:val="both"/>
        <w:rPr>
          <w:rFonts w:cs="Arial"/>
        </w:rPr>
      </w:pPr>
    </w:p>
    <w:p w:rsidR="00AC2BA0" w:rsidRPr="00CB5894" w:rsidRDefault="00AC2BA0" w:rsidP="00CB5894">
      <w:pPr>
        <w:keepNext/>
        <w:widowControl w:val="0"/>
        <w:spacing w:line="360" w:lineRule="auto"/>
        <w:jc w:val="both"/>
        <w:rPr>
          <w:rFonts w:cs="Arial"/>
        </w:rPr>
      </w:pPr>
      <w:r w:rsidRPr="00CB5894">
        <w:rPr>
          <w:rFonts w:cs="Arial"/>
        </w:rPr>
        <w:t>Asimismo:</w:t>
      </w:r>
    </w:p>
    <w:p w:rsidR="00AC2BA0" w:rsidRPr="00CB5894" w:rsidRDefault="00AC2BA0" w:rsidP="00AC2BA0">
      <w:pPr>
        <w:pStyle w:val="Prrafodelista"/>
        <w:keepNext/>
        <w:widowControl w:val="0"/>
        <w:numPr>
          <w:ilvl w:val="0"/>
          <w:numId w:val="4"/>
        </w:numPr>
        <w:spacing w:line="360" w:lineRule="auto"/>
        <w:jc w:val="both"/>
        <w:rPr>
          <w:rFonts w:ascii="Arial" w:hAnsi="Arial" w:cs="Arial"/>
          <w:szCs w:val="24"/>
        </w:rPr>
      </w:pPr>
      <w:r w:rsidRPr="00CB5894">
        <w:rPr>
          <w:rFonts w:ascii="Arial" w:hAnsi="Arial" w:cs="Arial"/>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w:t>
      </w:r>
      <w:r w:rsidRPr="00CB5894">
        <w:rPr>
          <w:rFonts w:ascii="Arial" w:hAnsi="Arial" w:cs="Arial"/>
          <w:szCs w:val="24"/>
        </w:rPr>
        <w:softHyphen/>
        <w:t>ta</w:t>
      </w:r>
      <w:r w:rsidRPr="00CB5894">
        <w:rPr>
          <w:rFonts w:ascii="Arial" w:hAnsi="Arial" w:cs="Arial"/>
          <w:szCs w:val="24"/>
        </w:rPr>
        <w:softHyphen/>
        <w:t>ciones intencionalmente incorrectas o apa</w:t>
      </w:r>
      <w:r w:rsidR="004D3CA1">
        <w:rPr>
          <w:rFonts w:ascii="Arial" w:hAnsi="Arial" w:cs="Arial"/>
          <w:szCs w:val="24"/>
        </w:rPr>
        <w:t>rtamientos de control interno.</w:t>
      </w:r>
    </w:p>
    <w:p w:rsidR="00AC2BA0" w:rsidRPr="00CB5894" w:rsidRDefault="00AC2BA0" w:rsidP="00AC2BA0">
      <w:pPr>
        <w:pStyle w:val="Prrafodelista"/>
        <w:keepNext/>
        <w:widowControl w:val="0"/>
        <w:numPr>
          <w:ilvl w:val="0"/>
          <w:numId w:val="4"/>
        </w:numPr>
        <w:spacing w:line="360" w:lineRule="auto"/>
        <w:jc w:val="both"/>
        <w:rPr>
          <w:rFonts w:ascii="Arial" w:hAnsi="Arial" w:cs="Arial"/>
          <w:szCs w:val="24"/>
        </w:rPr>
      </w:pPr>
      <w:r w:rsidRPr="00CB5894">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AC2BA0" w:rsidRPr="00CB5894" w:rsidRDefault="00AC2BA0" w:rsidP="00AC2BA0">
      <w:pPr>
        <w:pStyle w:val="Prrafodelista"/>
        <w:keepNext/>
        <w:widowControl w:val="0"/>
        <w:numPr>
          <w:ilvl w:val="0"/>
          <w:numId w:val="4"/>
        </w:numPr>
        <w:spacing w:line="360" w:lineRule="auto"/>
        <w:jc w:val="both"/>
        <w:rPr>
          <w:rFonts w:ascii="Arial" w:hAnsi="Arial" w:cs="Arial"/>
          <w:szCs w:val="24"/>
        </w:rPr>
      </w:pPr>
      <w:r w:rsidRPr="00CB5894">
        <w:rPr>
          <w:rFonts w:ascii="Arial" w:hAnsi="Arial" w:cs="Arial"/>
          <w:szCs w:val="24"/>
        </w:rPr>
        <w:t>Evalúa lo adecuado de las políticas contables adoptadas, la razonabilidad de las estimaciones contables y las revelaciones relacionadas realizadas por la Dirección.</w:t>
      </w:r>
    </w:p>
    <w:p w:rsidR="00AC2BA0" w:rsidRPr="00CB5894" w:rsidRDefault="00AC2BA0" w:rsidP="004D3CA1">
      <w:pPr>
        <w:pStyle w:val="Prrafodelista"/>
        <w:keepNext/>
        <w:widowControl w:val="0"/>
        <w:numPr>
          <w:ilvl w:val="0"/>
          <w:numId w:val="4"/>
        </w:numPr>
        <w:spacing w:line="360" w:lineRule="auto"/>
        <w:jc w:val="both"/>
        <w:rPr>
          <w:rFonts w:ascii="Arial" w:hAnsi="Arial" w:cs="Arial"/>
          <w:szCs w:val="24"/>
        </w:rPr>
      </w:pPr>
      <w:r w:rsidRPr="00CB5894">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AC2BA0" w:rsidRPr="00CB5894" w:rsidRDefault="00AC2BA0" w:rsidP="00CB5894">
      <w:pPr>
        <w:pStyle w:val="Prrafodelista"/>
        <w:keepNext/>
        <w:widowControl w:val="0"/>
        <w:spacing w:line="360" w:lineRule="auto"/>
        <w:ind w:left="0"/>
        <w:jc w:val="both"/>
        <w:rPr>
          <w:rFonts w:ascii="Arial" w:hAnsi="Arial" w:cs="Arial"/>
          <w:szCs w:val="24"/>
        </w:rPr>
      </w:pPr>
    </w:p>
    <w:p w:rsidR="00AC2BA0" w:rsidRPr="00CB5894" w:rsidRDefault="00AC2BA0" w:rsidP="00CB5894">
      <w:pPr>
        <w:pStyle w:val="Prrafodelista"/>
        <w:keepNext/>
        <w:widowControl w:val="0"/>
        <w:spacing w:line="360" w:lineRule="auto"/>
        <w:ind w:left="0"/>
        <w:jc w:val="both"/>
        <w:rPr>
          <w:rFonts w:ascii="Arial" w:hAnsi="Arial" w:cs="Arial"/>
          <w:szCs w:val="24"/>
        </w:rPr>
      </w:pPr>
      <w:r w:rsidRPr="00CB5894">
        <w:rPr>
          <w:rFonts w:ascii="Arial" w:hAnsi="Arial" w:cs="Arial"/>
          <w:szCs w:val="24"/>
        </w:rPr>
        <w:t xml:space="preserve">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w:t>
      </w:r>
      <w:r w:rsidR="004D3CA1">
        <w:rPr>
          <w:rFonts w:ascii="Arial" w:hAnsi="Arial" w:cs="Arial"/>
          <w:szCs w:val="24"/>
        </w:rPr>
        <w:t>el transcurso de la auditoría.</w:t>
      </w:r>
    </w:p>
    <w:p w:rsidR="00AC2BA0" w:rsidRPr="00CB5894" w:rsidRDefault="00AC2BA0" w:rsidP="00CB5894">
      <w:pPr>
        <w:pStyle w:val="Prrafodelista"/>
        <w:keepNext/>
        <w:widowControl w:val="0"/>
        <w:spacing w:line="360" w:lineRule="auto"/>
        <w:ind w:left="0"/>
        <w:jc w:val="both"/>
        <w:rPr>
          <w:rFonts w:ascii="Arial" w:hAnsi="Arial" w:cs="Arial"/>
          <w:szCs w:val="24"/>
        </w:rPr>
      </w:pPr>
    </w:p>
    <w:p w:rsidR="00AC2BA0" w:rsidRPr="00CB5894" w:rsidRDefault="00AC2BA0" w:rsidP="00CB5894">
      <w:pPr>
        <w:pStyle w:val="Prrafodelista"/>
        <w:keepNext/>
        <w:widowControl w:val="0"/>
        <w:spacing w:line="360" w:lineRule="auto"/>
        <w:ind w:left="0"/>
        <w:jc w:val="both"/>
        <w:rPr>
          <w:rFonts w:ascii="Arial" w:hAnsi="Arial" w:cs="Arial"/>
          <w:b/>
          <w:szCs w:val="24"/>
        </w:rPr>
      </w:pPr>
      <w:r w:rsidRPr="00CB5894">
        <w:rPr>
          <w:rFonts w:ascii="Arial" w:hAnsi="Arial" w:cs="Arial"/>
          <w:b/>
          <w:szCs w:val="24"/>
        </w:rPr>
        <w:t>Informe de cumplimiento de la normativa vigente</w:t>
      </w:r>
    </w:p>
    <w:p w:rsidR="00AC2BA0" w:rsidRPr="00CB5894" w:rsidRDefault="00AC2BA0" w:rsidP="00CB5894">
      <w:pPr>
        <w:pStyle w:val="Prrafodelista"/>
        <w:keepNext/>
        <w:widowControl w:val="0"/>
        <w:spacing w:line="360" w:lineRule="auto"/>
        <w:ind w:left="0"/>
        <w:jc w:val="both"/>
        <w:rPr>
          <w:rFonts w:ascii="Arial" w:hAnsi="Arial" w:cs="Arial"/>
          <w:szCs w:val="24"/>
        </w:rPr>
      </w:pPr>
      <w:r w:rsidRPr="00CB5894">
        <w:rPr>
          <w:rFonts w:ascii="Arial" w:hAnsi="Arial" w:cs="Arial"/>
          <w:szCs w:val="24"/>
        </w:rPr>
        <w:t>Respecto al incumplimiento mencionado en el párrafo Opinión respecto al cumplimiento de la normativa legal aplicable corresponde señalar lo siguiente:</w:t>
      </w:r>
    </w:p>
    <w:p w:rsidR="00AC2BA0" w:rsidRPr="00CB5894" w:rsidRDefault="00AC2BA0" w:rsidP="00CB5894">
      <w:pPr>
        <w:pStyle w:val="Prrafodelista"/>
        <w:keepNext/>
        <w:widowControl w:val="0"/>
        <w:spacing w:line="360" w:lineRule="auto"/>
        <w:ind w:left="0"/>
        <w:jc w:val="both"/>
        <w:rPr>
          <w:rFonts w:ascii="Arial" w:hAnsi="Arial" w:cs="Arial"/>
          <w:szCs w:val="24"/>
        </w:rPr>
      </w:pPr>
      <w:r w:rsidRPr="00CB5894">
        <w:rPr>
          <w:rFonts w:ascii="Arial" w:hAnsi="Arial" w:cs="Arial"/>
          <w:szCs w:val="24"/>
        </w:rPr>
        <w:t>-Artículo 159 Inciso b) del TOCAF: Los estados contables no fueron  presenta</w:t>
      </w:r>
      <w:r w:rsidRPr="00CB5894">
        <w:rPr>
          <w:rFonts w:ascii="Arial" w:hAnsi="Arial" w:cs="Arial"/>
          <w:szCs w:val="24"/>
        </w:rPr>
        <w:softHyphen/>
        <w:t>dos al Tribunal de Cuentas dentro de los noventa días de finalizado el Ejercicio.</w:t>
      </w:r>
    </w:p>
    <w:p w:rsidR="00AC2BA0" w:rsidRPr="00CB5894" w:rsidRDefault="00AC2BA0" w:rsidP="00CB5894">
      <w:pPr>
        <w:keepNext/>
        <w:widowControl w:val="0"/>
        <w:spacing w:line="360" w:lineRule="auto"/>
        <w:jc w:val="right"/>
        <w:rPr>
          <w:rFonts w:cs="Arial"/>
        </w:rPr>
      </w:pPr>
      <w:r w:rsidRPr="00CB5894">
        <w:rPr>
          <w:rFonts w:cs="Arial"/>
        </w:rPr>
        <w:t>Montevideo, 28 de febrero de 2019</w:t>
      </w:r>
    </w:p>
    <w:p w:rsidR="00AC2BA0" w:rsidRPr="00CB5894" w:rsidRDefault="00AC2BA0" w:rsidP="00CB5894">
      <w:pPr>
        <w:keepNext/>
        <w:widowControl w:val="0"/>
        <w:spacing w:line="360" w:lineRule="auto"/>
        <w:jc w:val="right"/>
        <w:rPr>
          <w:rFonts w:cs="Arial"/>
        </w:rPr>
      </w:pPr>
    </w:p>
    <w:p w:rsidR="00AC2BA0" w:rsidRPr="00CB5894" w:rsidRDefault="00AC2BA0" w:rsidP="00CB5894">
      <w:pPr>
        <w:keepNext/>
        <w:widowControl w:val="0"/>
        <w:spacing w:line="360" w:lineRule="auto"/>
        <w:jc w:val="right"/>
        <w:rPr>
          <w:rFonts w:cs="Arial"/>
        </w:rPr>
      </w:pPr>
    </w:p>
    <w:p w:rsidR="00AC2BA0" w:rsidRPr="00CB5894" w:rsidRDefault="00AC2BA0" w:rsidP="00CB5894">
      <w:pPr>
        <w:keepNext/>
        <w:widowControl w:val="0"/>
        <w:spacing w:line="360" w:lineRule="auto"/>
        <w:jc w:val="right"/>
        <w:rPr>
          <w:rFonts w:cs="Arial"/>
        </w:rPr>
      </w:pPr>
    </w:p>
    <w:p w:rsidR="00AC2BA0" w:rsidRPr="00CB5894" w:rsidRDefault="00AC2BA0" w:rsidP="00CB5894">
      <w:pPr>
        <w:keepNext/>
        <w:widowControl w:val="0"/>
        <w:spacing w:line="360" w:lineRule="auto"/>
        <w:jc w:val="right"/>
        <w:rPr>
          <w:rFonts w:cs="Arial"/>
        </w:rPr>
      </w:pPr>
    </w:p>
    <w:p w:rsidR="00AC2BA0" w:rsidRPr="00CB5894" w:rsidRDefault="00AC2BA0" w:rsidP="00CB5894">
      <w:pPr>
        <w:keepNext/>
        <w:widowControl w:val="0"/>
        <w:spacing w:line="360" w:lineRule="auto"/>
        <w:ind w:hanging="284"/>
        <w:rPr>
          <w:rFonts w:cs="Arial"/>
          <w:b/>
          <w:bCs/>
        </w:rPr>
      </w:pPr>
      <w:proofErr w:type="gramStart"/>
      <w:r w:rsidRPr="00CB5894">
        <w:rPr>
          <w:rFonts w:cs="Arial"/>
        </w:rPr>
        <w:t>dc</w:t>
      </w:r>
      <w:proofErr w:type="gramEnd"/>
    </w:p>
    <w:p w:rsidR="00AC2BA0" w:rsidRPr="00CB5894" w:rsidRDefault="00AC2BA0" w:rsidP="00CB5894">
      <w:pPr>
        <w:keepNext/>
        <w:widowControl w:val="0"/>
        <w:spacing w:line="360" w:lineRule="auto"/>
        <w:jc w:val="center"/>
        <w:rPr>
          <w:rFonts w:cs="Arial"/>
          <w:b/>
          <w:bCs/>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Default="00AC2BA0" w:rsidP="00CB5894">
      <w:pPr>
        <w:keepNext/>
        <w:widowControl w:val="0"/>
        <w:spacing w:line="360" w:lineRule="auto"/>
        <w:ind w:hanging="284"/>
        <w:rPr>
          <w:rFonts w:cs="Arial"/>
        </w:rPr>
      </w:pPr>
    </w:p>
    <w:p w:rsidR="004D3CA1" w:rsidRDefault="004D3CA1" w:rsidP="00CB5894">
      <w:pPr>
        <w:keepNext/>
        <w:widowControl w:val="0"/>
        <w:spacing w:line="360" w:lineRule="auto"/>
        <w:ind w:hanging="284"/>
        <w:rPr>
          <w:rFonts w:cs="Arial"/>
        </w:rPr>
      </w:pPr>
    </w:p>
    <w:p w:rsidR="004D3CA1" w:rsidRPr="00CB5894" w:rsidRDefault="004D3CA1"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ind w:hanging="284"/>
        <w:rPr>
          <w:rFonts w:cs="Arial"/>
        </w:rPr>
      </w:pPr>
    </w:p>
    <w:p w:rsidR="00AC2BA0" w:rsidRPr="00CB5894" w:rsidRDefault="00AC2BA0" w:rsidP="00CB5894">
      <w:pPr>
        <w:keepNext/>
        <w:widowControl w:val="0"/>
        <w:spacing w:line="360" w:lineRule="auto"/>
        <w:jc w:val="center"/>
        <w:rPr>
          <w:rFonts w:cs="Arial"/>
          <w:b/>
          <w:bCs/>
        </w:rPr>
      </w:pPr>
      <w:r w:rsidRPr="00CB5894">
        <w:rPr>
          <w:rFonts w:cs="Arial"/>
          <w:b/>
          <w:bCs/>
        </w:rPr>
        <w:t>INFORME A LA ADMINISTRACIÓN</w:t>
      </w:r>
    </w:p>
    <w:p w:rsidR="00AC2BA0" w:rsidRPr="00CB5894" w:rsidRDefault="00AC2BA0" w:rsidP="00CB5894">
      <w:pPr>
        <w:keepNext/>
        <w:widowControl w:val="0"/>
        <w:spacing w:line="360" w:lineRule="auto"/>
        <w:rPr>
          <w:rFonts w:cs="Arial"/>
        </w:rPr>
      </w:pPr>
    </w:p>
    <w:p w:rsidR="00AC2BA0" w:rsidRPr="00CB5894" w:rsidRDefault="00AC2BA0" w:rsidP="00CB5894">
      <w:pPr>
        <w:keepNext/>
        <w:widowControl w:val="0"/>
        <w:spacing w:line="360" w:lineRule="auto"/>
        <w:jc w:val="both"/>
        <w:rPr>
          <w:rFonts w:cs="Arial"/>
        </w:rPr>
      </w:pPr>
      <w:r w:rsidRPr="00CB5894">
        <w:rPr>
          <w:rFonts w:cs="Arial"/>
        </w:rPr>
        <w:t>El Tribunal de Cuentas ha examinado los estados financieros del Instituto Nacional de Empleo y Formación Profesional</w:t>
      </w:r>
      <w:r w:rsidRPr="00CB5894">
        <w:rPr>
          <w:rFonts w:cs="Arial"/>
          <w:spacing w:val="-12"/>
        </w:rPr>
        <w:t xml:space="preserve">, por </w:t>
      </w:r>
      <w:r w:rsidRPr="00CB5894">
        <w:rPr>
          <w:rFonts w:cs="Arial"/>
        </w:rPr>
        <w:t>el Ejercicio finalizado el 31 de diciembre de 2017 y ha emitido su Dictamen.</w:t>
      </w:r>
    </w:p>
    <w:p w:rsidR="00AC2BA0" w:rsidRPr="00CB5894" w:rsidRDefault="00AC2BA0" w:rsidP="00CB5894">
      <w:pPr>
        <w:keepNext/>
        <w:widowControl w:val="0"/>
        <w:spacing w:line="360" w:lineRule="auto"/>
        <w:jc w:val="both"/>
        <w:rPr>
          <w:rFonts w:cs="Arial"/>
        </w:rPr>
      </w:pPr>
      <w:r w:rsidRPr="00CB5894">
        <w:rPr>
          <w:rFonts w:cs="Aria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AC2BA0" w:rsidRPr="00CB5894" w:rsidRDefault="00AC2BA0" w:rsidP="00CB5894">
      <w:pPr>
        <w:keepNext/>
        <w:widowControl w:val="0"/>
        <w:spacing w:line="360" w:lineRule="auto"/>
        <w:jc w:val="both"/>
        <w:rPr>
          <w:rFonts w:cs="Arial"/>
        </w:rPr>
      </w:pPr>
      <w:r w:rsidRPr="00CB5894">
        <w:rPr>
          <w:rFonts w:cs="Arial"/>
        </w:rPr>
        <w:t xml:space="preserve">También se agregan las principales recomendaciones que </w:t>
      </w:r>
      <w:proofErr w:type="gramStart"/>
      <w:r w:rsidRPr="00CB5894">
        <w:rPr>
          <w:rFonts w:cs="Arial"/>
        </w:rPr>
        <w:t>deberá</w:t>
      </w:r>
      <w:proofErr w:type="gramEnd"/>
      <w:r w:rsidRPr="00CB5894">
        <w:rPr>
          <w:rFonts w:cs="Arial"/>
        </w:rPr>
        <w:t xml:space="preserve"> atender el Organismo y una evaluación del cumplimiento de las recomendaciones presentadas en el informe de auditoría del ejercicio anterior.</w:t>
      </w:r>
    </w:p>
    <w:p w:rsidR="00AC2BA0" w:rsidRPr="00CB5894" w:rsidRDefault="00AC2BA0" w:rsidP="00CB5894">
      <w:pPr>
        <w:keepNext/>
        <w:widowControl w:val="0"/>
        <w:spacing w:line="360" w:lineRule="auto"/>
        <w:rPr>
          <w:rFonts w:cs="Arial"/>
        </w:rPr>
      </w:pPr>
    </w:p>
    <w:p w:rsidR="00AC2BA0" w:rsidRPr="00CB5894" w:rsidRDefault="004D3CA1" w:rsidP="00CB5894">
      <w:pPr>
        <w:keepNext/>
        <w:widowControl w:val="0"/>
        <w:spacing w:line="360" w:lineRule="auto"/>
        <w:jc w:val="both"/>
        <w:rPr>
          <w:rFonts w:cs="Arial"/>
          <w:b/>
        </w:rPr>
      </w:pPr>
      <w:r>
        <w:rPr>
          <w:rFonts w:cs="Arial"/>
          <w:b/>
        </w:rPr>
        <w:t>1. Presentación de los Estados</w:t>
      </w:r>
    </w:p>
    <w:p w:rsidR="00AC2BA0" w:rsidRPr="00CB5894" w:rsidRDefault="00AC2BA0" w:rsidP="00CB5894">
      <w:pPr>
        <w:keepNext/>
        <w:widowControl w:val="0"/>
        <w:spacing w:line="360" w:lineRule="auto"/>
        <w:jc w:val="both"/>
        <w:rPr>
          <w:rFonts w:cs="Arial"/>
          <w:spacing w:val="-3"/>
          <w:lang w:val="es-ES_tradnl"/>
        </w:rPr>
      </w:pPr>
      <w:r w:rsidRPr="00CB5894">
        <w:rPr>
          <w:rFonts w:cs="Arial"/>
          <w:bCs/>
        </w:rPr>
        <w:t>Los estados financieros del Instituto Nacional de Empleo y Formación Profesional correspondientes al Ejercicio finalizado el 31 de diciembre de 2017, fueron aprobados por el Consejo Directivo el 26 de junio de 2018, Acta N° 20</w:t>
      </w:r>
      <w:r w:rsidRPr="00CB5894">
        <w:rPr>
          <w:rFonts w:cs="Arial"/>
          <w:spacing w:val="-3"/>
          <w:lang w:val="es-ES_tradnl"/>
        </w:rPr>
        <w:t xml:space="preserve"> y remitidos para su examen a este Tribunal el 28 de agosto de 2018, fuera del plazo establecido en el Artículo 159 Literal c) del TOCAF.</w:t>
      </w:r>
    </w:p>
    <w:p w:rsidR="00AC2BA0" w:rsidRPr="00CB5894" w:rsidRDefault="00AC2BA0" w:rsidP="00CB5894">
      <w:pPr>
        <w:keepNext/>
        <w:widowControl w:val="0"/>
        <w:spacing w:line="360" w:lineRule="auto"/>
        <w:jc w:val="both"/>
        <w:rPr>
          <w:rFonts w:cs="Arial"/>
          <w:iCs/>
        </w:rPr>
      </w:pPr>
      <w:r w:rsidRPr="00CB5894">
        <w:rPr>
          <w:rFonts w:cs="Arial"/>
          <w:spacing w:val="-3"/>
          <w:lang w:val="es-ES_tradnl"/>
        </w:rPr>
        <w:t>Dichos estados se presentan de acuerdo con los</w:t>
      </w:r>
      <w:r w:rsidRPr="00CB5894">
        <w:rPr>
          <w:rFonts w:cs="Arial"/>
        </w:rPr>
        <w:t xml:space="preserve"> criterios establecidos en la Ordenanza N° 89 del Tribunal de Cuentas</w:t>
      </w:r>
      <w:r w:rsidRPr="00CB5894">
        <w:rPr>
          <w:rFonts w:cs="Arial"/>
          <w:i/>
        </w:rPr>
        <w:t xml:space="preserve"> </w:t>
      </w:r>
      <w:r w:rsidRPr="00CB5894">
        <w:rPr>
          <w:rFonts w:cs="Arial"/>
          <w:iCs/>
        </w:rPr>
        <w:t>y la normativa vigente en materia de ejecución presupuestal.</w:t>
      </w:r>
    </w:p>
    <w:p w:rsidR="00AC2BA0" w:rsidRPr="00CB5894" w:rsidRDefault="00AC2BA0" w:rsidP="00CB5894">
      <w:pPr>
        <w:keepNext/>
        <w:widowControl w:val="0"/>
        <w:spacing w:line="360" w:lineRule="auto"/>
        <w:jc w:val="both"/>
        <w:rPr>
          <w:rFonts w:cs="Arial"/>
          <w:b/>
        </w:rPr>
      </w:pPr>
    </w:p>
    <w:p w:rsidR="00AC2BA0" w:rsidRPr="00CB5894" w:rsidRDefault="00AC2BA0" w:rsidP="00CB5894">
      <w:pPr>
        <w:keepNext/>
        <w:widowControl w:val="0"/>
        <w:spacing w:line="360" w:lineRule="auto"/>
        <w:jc w:val="both"/>
        <w:rPr>
          <w:rFonts w:cs="Arial"/>
          <w:b/>
        </w:rPr>
      </w:pPr>
      <w:r w:rsidRPr="00CB5894">
        <w:rPr>
          <w:rFonts w:cs="Arial"/>
          <w:b/>
        </w:rPr>
        <w:t>2. Evaluación del control interno</w:t>
      </w:r>
    </w:p>
    <w:p w:rsidR="00AC2BA0" w:rsidRPr="00CB5894" w:rsidRDefault="00AC2BA0" w:rsidP="00CB5894">
      <w:pPr>
        <w:keepNext/>
        <w:widowControl w:val="0"/>
        <w:spacing w:line="360" w:lineRule="auto"/>
        <w:jc w:val="both"/>
        <w:rPr>
          <w:rFonts w:cs="Arial"/>
          <w:bCs/>
        </w:rPr>
      </w:pPr>
      <w:r w:rsidRPr="00CB5894">
        <w:rPr>
          <w:rFonts w:cs="Arial"/>
          <w:bCs/>
        </w:rPr>
        <w:t>El examen de los aspectos de control interno relevantes para la preparación y presentación razonable de los estados financieros, permitió constatar las siguientes debilidades en relación a las actividades de control e información financiera:</w:t>
      </w:r>
    </w:p>
    <w:p w:rsidR="00AC2BA0" w:rsidRPr="00CB5894" w:rsidRDefault="00AC2BA0" w:rsidP="00CB5894">
      <w:pPr>
        <w:keepNext/>
        <w:widowControl w:val="0"/>
        <w:spacing w:line="360" w:lineRule="auto"/>
        <w:jc w:val="both"/>
        <w:rPr>
          <w:rFonts w:cs="Arial"/>
          <w:bCs/>
        </w:rPr>
      </w:pPr>
    </w:p>
    <w:p w:rsidR="00AC2BA0" w:rsidRPr="00CB5894" w:rsidRDefault="00AC2BA0" w:rsidP="00CB5894">
      <w:pPr>
        <w:keepNext/>
        <w:widowControl w:val="0"/>
        <w:spacing w:line="360" w:lineRule="auto"/>
        <w:jc w:val="both"/>
        <w:rPr>
          <w:rFonts w:cs="Arial"/>
          <w:b/>
          <w:lang w:val="es-ES_tradnl"/>
        </w:rPr>
      </w:pPr>
      <w:r w:rsidRPr="00CB5894">
        <w:rPr>
          <w:rFonts w:cs="Arial"/>
          <w:b/>
          <w:lang w:val="es-ES_tradnl"/>
        </w:rPr>
        <w:t>2.1 Asiento de Cierre</w:t>
      </w:r>
    </w:p>
    <w:p w:rsidR="00AC2BA0" w:rsidRPr="00CB5894" w:rsidRDefault="00AC2BA0" w:rsidP="00CB5894">
      <w:pPr>
        <w:keepNext/>
        <w:widowControl w:val="0"/>
        <w:spacing w:line="360" w:lineRule="auto"/>
        <w:jc w:val="both"/>
        <w:rPr>
          <w:rFonts w:cs="Arial"/>
        </w:rPr>
      </w:pPr>
      <w:r w:rsidRPr="00CB5894">
        <w:rPr>
          <w:rFonts w:cs="Arial"/>
          <w:lang w:val="es-ES_tradnl"/>
        </w:rPr>
        <w:t>A la fecha del Informe de Hallazgos no se había realizado el asiento de cierre cor</w:t>
      </w:r>
      <w:r w:rsidR="004D3CA1">
        <w:rPr>
          <w:rFonts w:cs="Arial"/>
          <w:lang w:val="es-ES_tradnl"/>
        </w:rPr>
        <w:t>respondiente al Ejercicio 2017.</w:t>
      </w:r>
    </w:p>
    <w:p w:rsidR="00AC2BA0" w:rsidRPr="00CB5894" w:rsidRDefault="00AC2BA0" w:rsidP="00CB5894">
      <w:pPr>
        <w:keepNext/>
        <w:widowControl w:val="0"/>
        <w:spacing w:line="360" w:lineRule="auto"/>
        <w:jc w:val="both"/>
        <w:rPr>
          <w:rFonts w:cs="Arial"/>
        </w:rPr>
      </w:pPr>
    </w:p>
    <w:p w:rsidR="00AC2BA0" w:rsidRPr="00CB5894" w:rsidRDefault="00AC2BA0" w:rsidP="00CB5894">
      <w:pPr>
        <w:keepNext/>
        <w:widowControl w:val="0"/>
        <w:spacing w:line="360" w:lineRule="auto"/>
        <w:jc w:val="both"/>
        <w:rPr>
          <w:rFonts w:cs="Arial"/>
          <w:b/>
        </w:rPr>
      </w:pPr>
      <w:r w:rsidRPr="00CB5894">
        <w:rPr>
          <w:rFonts w:cs="Arial"/>
          <w:b/>
        </w:rPr>
        <w:t>2.2 Criterio de lo devengado</w:t>
      </w:r>
    </w:p>
    <w:p w:rsidR="00AC2BA0" w:rsidRPr="00CB5894" w:rsidRDefault="00AC2BA0" w:rsidP="00CB5894">
      <w:pPr>
        <w:keepNext/>
        <w:widowControl w:val="0"/>
        <w:spacing w:line="360" w:lineRule="auto"/>
        <w:jc w:val="both"/>
        <w:rPr>
          <w:rFonts w:cs="Arial"/>
        </w:rPr>
      </w:pPr>
      <w:r w:rsidRPr="00CB5894">
        <w:rPr>
          <w:rFonts w:cs="Arial"/>
        </w:rPr>
        <w:t>Existen gastos por mantenimiento de software y gastos de seguros, que no están contabilizados por el criterio de lo devengado.</w:t>
      </w:r>
    </w:p>
    <w:p w:rsidR="00AC2BA0" w:rsidRPr="00CB5894" w:rsidRDefault="00AC2BA0" w:rsidP="00CB5894">
      <w:pPr>
        <w:keepNext/>
        <w:widowControl w:val="0"/>
        <w:spacing w:line="360" w:lineRule="auto"/>
        <w:jc w:val="both"/>
        <w:rPr>
          <w:rFonts w:cs="Arial"/>
          <w:lang w:val="es-ES_tradnl"/>
        </w:rPr>
      </w:pPr>
      <w:r w:rsidRPr="00CB5894">
        <w:rPr>
          <w:rFonts w:cs="Arial"/>
          <w:lang w:val="es-ES_tradnl"/>
        </w:rPr>
        <w:t xml:space="preserve"> </w:t>
      </w:r>
    </w:p>
    <w:p w:rsidR="00AC2BA0" w:rsidRPr="00CB5894" w:rsidRDefault="00AC2BA0" w:rsidP="00CB5894">
      <w:pPr>
        <w:keepNext/>
        <w:widowControl w:val="0"/>
        <w:spacing w:line="360" w:lineRule="auto"/>
        <w:jc w:val="both"/>
        <w:rPr>
          <w:rFonts w:cs="Arial"/>
          <w:b/>
          <w:lang w:val="es-ES_tradnl"/>
        </w:rPr>
      </w:pPr>
      <w:r w:rsidRPr="00CB5894">
        <w:rPr>
          <w:rFonts w:cs="Arial"/>
          <w:b/>
          <w:lang w:val="es-ES_tradnl"/>
        </w:rPr>
        <w:t>2.3 Provisiones</w:t>
      </w:r>
    </w:p>
    <w:p w:rsidR="00AC2BA0" w:rsidRPr="00CB5894" w:rsidRDefault="00AC2BA0" w:rsidP="00CB5894">
      <w:pPr>
        <w:keepNext/>
        <w:widowControl w:val="0"/>
        <w:spacing w:line="360" w:lineRule="auto"/>
        <w:jc w:val="both"/>
        <w:rPr>
          <w:rFonts w:cs="Arial"/>
          <w:lang w:val="es-ES_tradnl"/>
        </w:rPr>
      </w:pPr>
      <w:r w:rsidRPr="00CB5894">
        <w:rPr>
          <w:rFonts w:cs="Arial"/>
          <w:lang w:val="es-ES_tradnl"/>
        </w:rPr>
        <w:t xml:space="preserve">El rubro Provisiones otros gastos del Pasivo se </w:t>
      </w:r>
      <w:proofErr w:type="gramStart"/>
      <w:r w:rsidRPr="00CB5894">
        <w:rPr>
          <w:rFonts w:cs="Arial"/>
          <w:lang w:val="es-ES_tradnl"/>
        </w:rPr>
        <w:t>compone</w:t>
      </w:r>
      <w:proofErr w:type="gramEnd"/>
      <w:r w:rsidRPr="00CB5894">
        <w:rPr>
          <w:rFonts w:cs="Arial"/>
          <w:lang w:val="es-ES_tradnl"/>
        </w:rPr>
        <w:t xml:space="preserve"> por los rubros Provisiones de Otros Acreedores y por la Provisión por Honorarios.</w:t>
      </w:r>
    </w:p>
    <w:p w:rsidR="00AC2BA0" w:rsidRPr="00CB5894" w:rsidRDefault="00AC2BA0" w:rsidP="00CB5894">
      <w:pPr>
        <w:keepNext/>
        <w:widowControl w:val="0"/>
        <w:spacing w:line="360" w:lineRule="auto"/>
        <w:jc w:val="both"/>
        <w:rPr>
          <w:rFonts w:cs="Arial"/>
          <w:lang w:val="es-ES_tradnl"/>
        </w:rPr>
      </w:pPr>
      <w:r w:rsidRPr="00CB5894">
        <w:rPr>
          <w:rFonts w:cs="Arial"/>
          <w:lang w:val="es-ES_tradnl"/>
        </w:rPr>
        <w:t>Las Provisiones de Otros Acreedores corresponden al saldo resultante de la contabilización de órdenes de compra de bienes o gastos. Estos deben registrarse una vez recibida la factura y no al momento de crear la orden de compra. Por lo tanto a fecha de cierre existían órdenes de compra no factura</w:t>
      </w:r>
      <w:r w:rsidRPr="00CB5894">
        <w:rPr>
          <w:rFonts w:cs="Arial"/>
          <w:lang w:val="es-ES_tradnl"/>
        </w:rPr>
        <w:softHyphen/>
        <w:t>das por los proveedores lo que generó en el Ejercicio una sobrevaluación de los activos y gastos asociados a las mismas por aproximadamente $ 456.300.</w:t>
      </w:r>
    </w:p>
    <w:p w:rsidR="00AC2BA0" w:rsidRPr="00CB5894" w:rsidRDefault="00AC2BA0" w:rsidP="00CB5894">
      <w:pPr>
        <w:keepNext/>
        <w:widowControl w:val="0"/>
        <w:spacing w:line="360" w:lineRule="auto"/>
        <w:jc w:val="both"/>
        <w:rPr>
          <w:rFonts w:cs="Arial"/>
          <w:lang w:val="es-ES_tradnl"/>
        </w:rPr>
      </w:pPr>
      <w:r w:rsidRPr="00CB5894">
        <w:rPr>
          <w:rFonts w:cs="Arial"/>
          <w:lang w:val="es-ES_tradnl"/>
        </w:rPr>
        <w:t>En cuanto a la Provisión por Honorarios, debe figurar con saldo 0, dado que se originó en la contabilización de contratos firmados por honorarios profesionales en ejercicios anteriores, los que ya fueron ejecutados o se dieron de baja con anterioridad al presente ejercicio.</w:t>
      </w:r>
    </w:p>
    <w:p w:rsidR="00AC2BA0" w:rsidRPr="00CB5894" w:rsidRDefault="00AC2BA0" w:rsidP="00CB5894">
      <w:pPr>
        <w:keepNext/>
        <w:widowControl w:val="0"/>
        <w:spacing w:line="360" w:lineRule="auto"/>
        <w:jc w:val="both"/>
        <w:rPr>
          <w:rFonts w:cs="Arial"/>
          <w:lang w:val="es-ES_tradnl"/>
        </w:rPr>
      </w:pPr>
      <w:r w:rsidRPr="00CB5894">
        <w:rPr>
          <w:rFonts w:cs="Arial"/>
          <w:lang w:val="es-ES_tradnl"/>
        </w:rPr>
        <w:t>En ambos casos, de presentar saldo, los rubros deberían exponerse como cuentas a pagar.</w:t>
      </w:r>
    </w:p>
    <w:p w:rsidR="00AC2BA0" w:rsidRPr="00CB5894" w:rsidRDefault="00AC2BA0" w:rsidP="00CB5894">
      <w:pPr>
        <w:keepNext/>
        <w:widowControl w:val="0"/>
        <w:spacing w:line="360" w:lineRule="auto"/>
        <w:jc w:val="both"/>
        <w:rPr>
          <w:rFonts w:cs="Arial"/>
          <w:lang w:val="es-ES_tradnl"/>
        </w:rPr>
      </w:pPr>
    </w:p>
    <w:p w:rsidR="00AC2BA0" w:rsidRPr="00CB5894" w:rsidRDefault="00AC2BA0" w:rsidP="00CB5894">
      <w:pPr>
        <w:keepNext/>
        <w:widowControl w:val="0"/>
        <w:spacing w:line="360" w:lineRule="auto"/>
        <w:jc w:val="both"/>
        <w:rPr>
          <w:rFonts w:cs="Arial"/>
          <w:b/>
          <w:lang w:val="es-ES_tradnl"/>
        </w:rPr>
      </w:pPr>
      <w:r w:rsidRPr="00CB5894">
        <w:rPr>
          <w:rFonts w:cs="Arial"/>
          <w:b/>
          <w:lang w:val="es-ES_tradnl"/>
        </w:rPr>
        <w:t>3 Recomendaciones</w:t>
      </w:r>
    </w:p>
    <w:p w:rsidR="00AC2BA0" w:rsidRPr="00CB5894" w:rsidRDefault="00AC2BA0" w:rsidP="00CB5894">
      <w:pPr>
        <w:keepNext/>
        <w:widowControl w:val="0"/>
        <w:spacing w:line="360" w:lineRule="auto"/>
        <w:jc w:val="both"/>
        <w:rPr>
          <w:rFonts w:cs="Arial"/>
          <w:b/>
          <w:bCs/>
        </w:rPr>
      </w:pPr>
      <w:r w:rsidRPr="00CB5894">
        <w:rPr>
          <w:rFonts w:cs="Arial"/>
          <w:b/>
          <w:bCs/>
        </w:rPr>
        <w:t xml:space="preserve">3.1) Recomendaciones de </w:t>
      </w:r>
      <w:r w:rsidR="004D3CA1">
        <w:rPr>
          <w:rFonts w:cs="Arial"/>
          <w:b/>
          <w:bCs/>
        </w:rPr>
        <w:t>Ejercicios anteriores cumplidas</w:t>
      </w:r>
    </w:p>
    <w:p w:rsidR="00AC2BA0" w:rsidRDefault="00AC2BA0" w:rsidP="00AC2BA0">
      <w:pPr>
        <w:pStyle w:val="Prrafodelista"/>
        <w:keepNext/>
        <w:widowControl w:val="0"/>
        <w:numPr>
          <w:ilvl w:val="0"/>
          <w:numId w:val="2"/>
        </w:numPr>
        <w:spacing w:line="360" w:lineRule="auto"/>
        <w:jc w:val="both"/>
        <w:rPr>
          <w:rFonts w:ascii="Arial" w:hAnsi="Arial" w:cs="Arial"/>
          <w:bCs/>
          <w:szCs w:val="24"/>
        </w:rPr>
      </w:pPr>
      <w:r w:rsidRPr="00CB5894">
        <w:rPr>
          <w:rFonts w:ascii="Arial" w:hAnsi="Arial" w:cs="Arial"/>
          <w:bCs/>
          <w:szCs w:val="24"/>
        </w:rPr>
        <w:t>Se cumplió con la formulación y presentación del presupuesto con fines informativos al Tribunal de Cuentas antes del inicio del Ejercicio 2018.</w:t>
      </w:r>
    </w:p>
    <w:p w:rsidR="004D3CA1" w:rsidRPr="00CB5894" w:rsidRDefault="004D3CA1" w:rsidP="004D3CA1">
      <w:pPr>
        <w:pStyle w:val="Prrafodelista"/>
        <w:keepNext/>
        <w:widowControl w:val="0"/>
        <w:spacing w:line="360" w:lineRule="auto"/>
        <w:jc w:val="both"/>
        <w:rPr>
          <w:rFonts w:ascii="Arial" w:hAnsi="Arial" w:cs="Arial"/>
          <w:bCs/>
          <w:szCs w:val="24"/>
        </w:rPr>
      </w:pPr>
    </w:p>
    <w:p w:rsidR="00AC2BA0" w:rsidRPr="00CB5894" w:rsidRDefault="00AC2BA0" w:rsidP="00AC2BA0">
      <w:pPr>
        <w:pStyle w:val="Prrafodelista"/>
        <w:keepNext/>
        <w:widowControl w:val="0"/>
        <w:numPr>
          <w:ilvl w:val="0"/>
          <w:numId w:val="2"/>
        </w:numPr>
        <w:spacing w:line="360" w:lineRule="auto"/>
        <w:jc w:val="both"/>
        <w:rPr>
          <w:rFonts w:ascii="Arial" w:hAnsi="Arial" w:cs="Arial"/>
          <w:bCs/>
          <w:szCs w:val="24"/>
        </w:rPr>
      </w:pPr>
      <w:r w:rsidRPr="00CB5894">
        <w:rPr>
          <w:rFonts w:ascii="Arial" w:hAnsi="Arial" w:cs="Arial"/>
          <w:bCs/>
          <w:szCs w:val="24"/>
        </w:rPr>
        <w:t>Las actas de arqueo de caja seleccionadas en la muestra cumplen con las recomendaciones realizadas en Ejercicios anteriores (comparación de valores recontados con saldos contables e identificación de las personas que intervinieron en el procedimiento).</w:t>
      </w:r>
    </w:p>
    <w:p w:rsidR="00AC2BA0" w:rsidRPr="00CB5894" w:rsidRDefault="00AC2BA0" w:rsidP="00AC2BA0">
      <w:pPr>
        <w:pStyle w:val="Prrafodelista"/>
        <w:keepNext/>
        <w:widowControl w:val="0"/>
        <w:numPr>
          <w:ilvl w:val="0"/>
          <w:numId w:val="2"/>
        </w:numPr>
        <w:spacing w:after="0" w:line="360" w:lineRule="auto"/>
        <w:jc w:val="both"/>
        <w:rPr>
          <w:rFonts w:ascii="Arial" w:hAnsi="Arial" w:cs="Arial"/>
          <w:bCs/>
          <w:szCs w:val="24"/>
        </w:rPr>
      </w:pPr>
      <w:r w:rsidRPr="00CB5894">
        <w:rPr>
          <w:rFonts w:ascii="Arial" w:hAnsi="Arial" w:cs="Arial"/>
          <w:bCs/>
          <w:szCs w:val="24"/>
        </w:rPr>
        <w:t>Se realizó inventario de los bienes de uso.</w:t>
      </w:r>
    </w:p>
    <w:p w:rsidR="00AC2BA0" w:rsidRPr="00CB5894" w:rsidRDefault="00AC2BA0" w:rsidP="00CB5894">
      <w:pPr>
        <w:keepNext/>
        <w:widowControl w:val="0"/>
        <w:spacing w:line="360" w:lineRule="auto"/>
        <w:jc w:val="both"/>
        <w:rPr>
          <w:rFonts w:cs="Arial"/>
          <w:b/>
          <w:bCs/>
        </w:rPr>
      </w:pPr>
      <w:r w:rsidRPr="00CB5894">
        <w:rPr>
          <w:rFonts w:cs="Arial"/>
          <w:b/>
          <w:bCs/>
        </w:rPr>
        <w:t>3.2) Recomendaciones de Ejercicios anteriores no cumplidas:</w:t>
      </w:r>
    </w:p>
    <w:p w:rsidR="00AC2BA0" w:rsidRPr="00CB5894" w:rsidRDefault="00AC2BA0" w:rsidP="00AC2BA0">
      <w:pPr>
        <w:pStyle w:val="Prrafodelista"/>
        <w:keepNext/>
        <w:widowControl w:val="0"/>
        <w:numPr>
          <w:ilvl w:val="0"/>
          <w:numId w:val="3"/>
        </w:numPr>
        <w:spacing w:after="0" w:line="360" w:lineRule="auto"/>
        <w:jc w:val="both"/>
        <w:rPr>
          <w:rFonts w:ascii="Arial" w:hAnsi="Arial" w:cs="Arial"/>
          <w:szCs w:val="24"/>
        </w:rPr>
      </w:pPr>
      <w:r w:rsidRPr="00CB5894">
        <w:rPr>
          <w:rFonts w:ascii="Arial" w:hAnsi="Arial" w:cs="Arial"/>
          <w:szCs w:val="24"/>
        </w:rPr>
        <w:t>Mejorar el proceso de emisión de los Estados Financieros para que desde la salida del sistema contable hasta la emisión de los mismos no intervengan procesos manuales.</w:t>
      </w:r>
    </w:p>
    <w:p w:rsidR="00AC2BA0" w:rsidRPr="00CB5894" w:rsidRDefault="00AC2BA0" w:rsidP="00AC2BA0">
      <w:pPr>
        <w:pStyle w:val="Prrafodelista"/>
        <w:keepNext/>
        <w:widowControl w:val="0"/>
        <w:numPr>
          <w:ilvl w:val="0"/>
          <w:numId w:val="3"/>
        </w:numPr>
        <w:spacing w:after="0" w:line="360" w:lineRule="auto"/>
        <w:jc w:val="both"/>
        <w:rPr>
          <w:rFonts w:ascii="Arial" w:hAnsi="Arial" w:cs="Arial"/>
          <w:szCs w:val="24"/>
        </w:rPr>
      </w:pPr>
      <w:r w:rsidRPr="00CB5894">
        <w:rPr>
          <w:rFonts w:ascii="Arial" w:hAnsi="Arial" w:cs="Arial"/>
          <w:szCs w:val="24"/>
        </w:rPr>
        <w:t>Se reitera la recomendación de realizar un reglamento de viáticos aprobados por el Consejo Directivo.</w:t>
      </w:r>
    </w:p>
    <w:p w:rsidR="00AC2BA0" w:rsidRPr="00CB5894" w:rsidRDefault="00AC2BA0" w:rsidP="00CB5894">
      <w:pPr>
        <w:keepNext/>
        <w:widowControl w:val="0"/>
        <w:spacing w:line="360" w:lineRule="auto"/>
        <w:jc w:val="both"/>
        <w:rPr>
          <w:rFonts w:cs="Arial"/>
        </w:rPr>
      </w:pPr>
      <w:r w:rsidRPr="00CB5894">
        <w:rPr>
          <w:rFonts w:cs="Arial"/>
          <w:b/>
          <w:bCs/>
        </w:rPr>
        <w:t xml:space="preserve"> 3.3) Recomendaciones del presente Ejercicio</w:t>
      </w:r>
      <w:r w:rsidRPr="00CB5894">
        <w:rPr>
          <w:rFonts w:cs="Arial"/>
        </w:rPr>
        <w:t>:</w:t>
      </w:r>
    </w:p>
    <w:p w:rsidR="00AC2BA0" w:rsidRPr="00CB5894" w:rsidRDefault="00AC2BA0" w:rsidP="00AC2BA0">
      <w:pPr>
        <w:pStyle w:val="Prrafodelista"/>
        <w:keepNext/>
        <w:widowControl w:val="0"/>
        <w:numPr>
          <w:ilvl w:val="0"/>
          <w:numId w:val="1"/>
        </w:numPr>
        <w:spacing w:after="0" w:line="360" w:lineRule="auto"/>
        <w:jc w:val="both"/>
        <w:rPr>
          <w:rFonts w:ascii="Arial" w:hAnsi="Arial" w:cs="Arial"/>
          <w:szCs w:val="24"/>
        </w:rPr>
      </w:pPr>
      <w:r w:rsidRPr="00CB5894">
        <w:rPr>
          <w:rFonts w:ascii="Arial" w:hAnsi="Arial" w:cs="Arial"/>
          <w:szCs w:val="24"/>
        </w:rPr>
        <w:t>Implementar medidas que permitan cumplir con los plazos para la presentación de los estados al Tribunal de Cuentas.</w:t>
      </w:r>
    </w:p>
    <w:p w:rsidR="00AC2BA0" w:rsidRPr="00CB5894" w:rsidRDefault="00AC2BA0" w:rsidP="00AC2BA0">
      <w:pPr>
        <w:pStyle w:val="Prrafodelista"/>
        <w:keepNext/>
        <w:widowControl w:val="0"/>
        <w:numPr>
          <w:ilvl w:val="0"/>
          <w:numId w:val="1"/>
        </w:numPr>
        <w:spacing w:line="360" w:lineRule="auto"/>
        <w:jc w:val="both"/>
        <w:rPr>
          <w:rFonts w:ascii="Arial" w:hAnsi="Arial" w:cs="Arial"/>
          <w:szCs w:val="24"/>
        </w:rPr>
      </w:pPr>
      <w:r w:rsidRPr="00CB5894">
        <w:rPr>
          <w:rFonts w:ascii="Arial" w:hAnsi="Arial" w:cs="Arial"/>
          <w:szCs w:val="24"/>
        </w:rPr>
        <w:t>Realizar el asiento de cierre del Ejercicio una vez emitidos los estados definitivos.</w:t>
      </w:r>
    </w:p>
    <w:p w:rsidR="00AC2BA0" w:rsidRPr="00CB5894" w:rsidRDefault="00AC2BA0" w:rsidP="00AC2BA0">
      <w:pPr>
        <w:pStyle w:val="Prrafodelista"/>
        <w:keepNext/>
        <w:widowControl w:val="0"/>
        <w:numPr>
          <w:ilvl w:val="0"/>
          <w:numId w:val="1"/>
        </w:numPr>
        <w:spacing w:line="360" w:lineRule="auto"/>
        <w:jc w:val="both"/>
        <w:rPr>
          <w:rFonts w:ascii="Arial" w:hAnsi="Arial" w:cs="Arial"/>
          <w:snapToGrid w:val="0"/>
          <w:szCs w:val="24"/>
        </w:rPr>
      </w:pPr>
      <w:r w:rsidRPr="00CB5894">
        <w:rPr>
          <w:rFonts w:ascii="Arial" w:hAnsi="Arial" w:cs="Arial"/>
          <w:szCs w:val="24"/>
        </w:rPr>
        <w:t>Modificar la forma de contabilizar y de exponer los saldos a pagar por la adquisición de activos y por los gastos que se incluyen en el rubro Provisiones otros gastos de acuerdo con lo mencionado en el punto 2.3.</w:t>
      </w:r>
    </w:p>
    <w:p w:rsidR="00AC2BA0" w:rsidRPr="00CB5894" w:rsidRDefault="00AC2BA0" w:rsidP="00CB5894">
      <w:pPr>
        <w:keepNext/>
        <w:widowControl w:val="0"/>
        <w:spacing w:line="360" w:lineRule="auto"/>
        <w:jc w:val="right"/>
        <w:rPr>
          <w:rFonts w:cs="Arial"/>
          <w:snapToGrid w:val="0"/>
        </w:rPr>
      </w:pPr>
      <w:r w:rsidRPr="00CB5894">
        <w:rPr>
          <w:rFonts w:cs="Arial"/>
          <w:snapToGrid w:val="0"/>
        </w:rPr>
        <w:t>Mo</w:t>
      </w:r>
      <w:r w:rsidR="004D3CA1">
        <w:rPr>
          <w:rFonts w:cs="Arial"/>
          <w:snapToGrid w:val="0"/>
        </w:rPr>
        <w:t>ntevideo, 28 de febrero de 2019</w:t>
      </w:r>
    </w:p>
    <w:p w:rsidR="00AC2BA0" w:rsidRPr="00CB5894" w:rsidRDefault="00AC2BA0" w:rsidP="00CB5894">
      <w:pPr>
        <w:keepNext/>
        <w:widowControl w:val="0"/>
        <w:spacing w:line="360" w:lineRule="auto"/>
        <w:jc w:val="right"/>
        <w:rPr>
          <w:rFonts w:cs="Arial"/>
          <w:snapToGrid w:val="0"/>
        </w:rPr>
      </w:pPr>
    </w:p>
    <w:p w:rsidR="00AC2BA0" w:rsidRPr="00CB5894" w:rsidRDefault="00AC2BA0" w:rsidP="00CB5894">
      <w:pPr>
        <w:keepNext/>
        <w:widowControl w:val="0"/>
        <w:spacing w:line="360" w:lineRule="auto"/>
        <w:jc w:val="right"/>
        <w:rPr>
          <w:rFonts w:cs="Arial"/>
          <w:snapToGrid w:val="0"/>
        </w:rPr>
      </w:pPr>
    </w:p>
    <w:p w:rsidR="00AC2BA0" w:rsidRPr="00CB5894" w:rsidRDefault="00AC2BA0" w:rsidP="00CB5894">
      <w:pPr>
        <w:keepNext/>
        <w:widowControl w:val="0"/>
        <w:spacing w:line="360" w:lineRule="auto"/>
        <w:jc w:val="right"/>
        <w:rPr>
          <w:rFonts w:cs="Arial"/>
          <w:snapToGrid w:val="0"/>
        </w:rPr>
      </w:pPr>
    </w:p>
    <w:p w:rsidR="00AC2BA0" w:rsidRPr="00CB5894" w:rsidRDefault="00AC2BA0" w:rsidP="00CB5894">
      <w:pPr>
        <w:keepNext/>
        <w:widowControl w:val="0"/>
        <w:spacing w:line="360" w:lineRule="auto"/>
        <w:jc w:val="right"/>
        <w:rPr>
          <w:rFonts w:cs="Arial"/>
          <w:snapToGrid w:val="0"/>
        </w:rPr>
      </w:pPr>
    </w:p>
    <w:p w:rsidR="00AC2BA0" w:rsidRPr="00AC2BA0" w:rsidRDefault="00AC2BA0" w:rsidP="00AC2BA0">
      <w:pPr>
        <w:keepNext/>
        <w:widowControl w:val="0"/>
        <w:spacing w:line="360" w:lineRule="auto"/>
        <w:ind w:hanging="284"/>
        <w:rPr>
          <w:rFonts w:cs="Arial"/>
          <w:snapToGrid w:val="0"/>
        </w:rPr>
      </w:pPr>
      <w:proofErr w:type="gramStart"/>
      <w:r w:rsidRPr="00CB5894">
        <w:rPr>
          <w:rFonts w:cs="Arial"/>
          <w:snapToGrid w:val="0"/>
        </w:rPr>
        <w:t>dc</w:t>
      </w:r>
      <w:proofErr w:type="gramEnd"/>
    </w:p>
    <w:sectPr w:rsidR="00AC2BA0" w:rsidRPr="00AC2BA0" w:rsidSect="00FB1A97">
      <w:footerReference w:type="default" r:id="rId9"/>
      <w:pgSz w:w="11906" w:h="16838" w:code="9"/>
      <w:pgMar w:top="3119" w:right="1701" w:bottom="1701" w:left="1701" w:header="709" w:footer="709" w:gutter="0"/>
      <w:paperSrc w:first="264" w:other="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5C8" w:rsidRDefault="005A45C8" w:rsidP="005A45C8">
      <w:r>
        <w:separator/>
      </w:r>
    </w:p>
  </w:endnote>
  <w:endnote w:type="continuationSeparator" w:id="0">
    <w:p w:rsidR="005A45C8" w:rsidRDefault="005A45C8" w:rsidP="005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689013"/>
      <w:docPartObj>
        <w:docPartGallery w:val="Page Numbers (Bottom of Page)"/>
        <w:docPartUnique/>
      </w:docPartObj>
    </w:sdtPr>
    <w:sdtEndPr/>
    <w:sdtContent>
      <w:p w:rsidR="005A45C8" w:rsidRDefault="005A45C8">
        <w:pPr>
          <w:pStyle w:val="Piedepgina"/>
          <w:jc w:val="center"/>
        </w:pPr>
        <w:r>
          <w:fldChar w:fldCharType="begin"/>
        </w:r>
        <w:r>
          <w:instrText>PAGE   \* MERGEFORMAT</w:instrText>
        </w:r>
        <w:r>
          <w:fldChar w:fldCharType="separate"/>
        </w:r>
        <w:r w:rsidR="004A33F0">
          <w:rPr>
            <w:noProof/>
          </w:rPr>
          <w:t>1</w:t>
        </w:r>
        <w:r>
          <w:fldChar w:fldCharType="end"/>
        </w:r>
      </w:p>
    </w:sdtContent>
  </w:sdt>
  <w:p w:rsidR="005A45C8" w:rsidRDefault="005A45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5C8" w:rsidRDefault="005A45C8" w:rsidP="005A45C8">
      <w:r>
        <w:separator/>
      </w:r>
    </w:p>
  </w:footnote>
  <w:footnote w:type="continuationSeparator" w:id="0">
    <w:p w:rsidR="005A45C8" w:rsidRDefault="005A45C8" w:rsidP="005A4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4D8"/>
    <w:multiLevelType w:val="hybridMultilevel"/>
    <w:tmpl w:val="11D45BF6"/>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4DE4A43"/>
    <w:multiLevelType w:val="hybridMultilevel"/>
    <w:tmpl w:val="EAFEAF4A"/>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8772437"/>
    <w:multiLevelType w:val="hybridMultilevel"/>
    <w:tmpl w:val="82905DAA"/>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C8"/>
    <w:rsid w:val="00326F48"/>
    <w:rsid w:val="004A33F0"/>
    <w:rsid w:val="004D3CA1"/>
    <w:rsid w:val="005A45C8"/>
    <w:rsid w:val="00AC2BA0"/>
    <w:rsid w:val="00DD0E5F"/>
    <w:rsid w:val="00FB1A9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5C8"/>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45C8"/>
    <w:pPr>
      <w:spacing w:after="200" w:line="276" w:lineRule="auto"/>
      <w:ind w:left="720"/>
      <w:contextualSpacing/>
    </w:pPr>
    <w:rPr>
      <w:rFonts w:asciiTheme="minorHAnsi" w:eastAsiaTheme="minorEastAsia" w:hAnsiTheme="minorHAnsi" w:cstheme="minorBidi"/>
      <w:szCs w:val="22"/>
      <w:lang w:val="es-UY" w:eastAsia="es-UY"/>
    </w:rPr>
  </w:style>
  <w:style w:type="paragraph" w:styleId="Encabezado">
    <w:name w:val="header"/>
    <w:basedOn w:val="Normal"/>
    <w:link w:val="EncabezadoCar"/>
    <w:uiPriority w:val="99"/>
    <w:unhideWhenUsed/>
    <w:rsid w:val="005A45C8"/>
    <w:pPr>
      <w:tabs>
        <w:tab w:val="center" w:pos="4252"/>
        <w:tab w:val="right" w:pos="8504"/>
      </w:tabs>
    </w:pPr>
  </w:style>
  <w:style w:type="character" w:customStyle="1" w:styleId="EncabezadoCar">
    <w:name w:val="Encabezado Car"/>
    <w:basedOn w:val="Fuentedeprrafopredeter"/>
    <w:link w:val="Encabezado"/>
    <w:uiPriority w:val="99"/>
    <w:rsid w:val="005A45C8"/>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5A45C8"/>
    <w:pPr>
      <w:tabs>
        <w:tab w:val="center" w:pos="4252"/>
        <w:tab w:val="right" w:pos="8504"/>
      </w:tabs>
    </w:pPr>
  </w:style>
  <w:style w:type="character" w:customStyle="1" w:styleId="PiedepginaCar">
    <w:name w:val="Pie de página Car"/>
    <w:basedOn w:val="Fuentedeprrafopredeter"/>
    <w:link w:val="Piedepgina"/>
    <w:uiPriority w:val="99"/>
    <w:rsid w:val="005A45C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5A45C8"/>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5C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5C8"/>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45C8"/>
    <w:pPr>
      <w:spacing w:after="200" w:line="276" w:lineRule="auto"/>
      <w:ind w:left="720"/>
      <w:contextualSpacing/>
    </w:pPr>
    <w:rPr>
      <w:rFonts w:asciiTheme="minorHAnsi" w:eastAsiaTheme="minorEastAsia" w:hAnsiTheme="minorHAnsi" w:cstheme="minorBidi"/>
      <w:szCs w:val="22"/>
      <w:lang w:val="es-UY" w:eastAsia="es-UY"/>
    </w:rPr>
  </w:style>
  <w:style w:type="paragraph" w:styleId="Encabezado">
    <w:name w:val="header"/>
    <w:basedOn w:val="Normal"/>
    <w:link w:val="EncabezadoCar"/>
    <w:uiPriority w:val="99"/>
    <w:unhideWhenUsed/>
    <w:rsid w:val="005A45C8"/>
    <w:pPr>
      <w:tabs>
        <w:tab w:val="center" w:pos="4252"/>
        <w:tab w:val="right" w:pos="8504"/>
      </w:tabs>
    </w:pPr>
  </w:style>
  <w:style w:type="character" w:customStyle="1" w:styleId="EncabezadoCar">
    <w:name w:val="Encabezado Car"/>
    <w:basedOn w:val="Fuentedeprrafopredeter"/>
    <w:link w:val="Encabezado"/>
    <w:uiPriority w:val="99"/>
    <w:rsid w:val="005A45C8"/>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5A45C8"/>
    <w:pPr>
      <w:tabs>
        <w:tab w:val="center" w:pos="4252"/>
        <w:tab w:val="right" w:pos="8504"/>
      </w:tabs>
    </w:pPr>
  </w:style>
  <w:style w:type="character" w:customStyle="1" w:styleId="PiedepginaCar">
    <w:name w:val="Pie de página Car"/>
    <w:basedOn w:val="Fuentedeprrafopredeter"/>
    <w:link w:val="Piedepgina"/>
    <w:uiPriority w:val="99"/>
    <w:rsid w:val="005A45C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5A45C8"/>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5C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6532-B6BE-461E-A061-E043A10E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1762</Words>
  <Characters>9694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2019-03-18T17:32:00Z</cp:lastPrinted>
  <dcterms:created xsi:type="dcterms:W3CDTF">2019-03-15T17:10:00Z</dcterms:created>
  <dcterms:modified xsi:type="dcterms:W3CDTF">2019-03-29T18:33:00Z</dcterms:modified>
</cp:coreProperties>
</file>