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55F4" w:rsidRPr="008B55F4" w:rsidRDefault="008B55F4" w:rsidP="008B55F4">
      <w:pPr>
        <w:tabs>
          <w:tab w:val="center" w:pos="4253"/>
        </w:tabs>
        <w:jc w:val="right"/>
        <w:rPr>
          <w:b/>
          <w:sz w:val="28"/>
          <w:szCs w:val="28"/>
          <w:lang w:val="es-ES_tradnl" w:eastAsia="es-ES"/>
        </w:rPr>
      </w:pPr>
      <w:bookmarkStart w:id="0" w:name="_GoBack"/>
      <w:bookmarkEnd w:id="0"/>
      <w:r w:rsidRPr="008B55F4">
        <w:rPr>
          <w:b/>
          <w:sz w:val="28"/>
          <w:szCs w:val="28"/>
          <w:lang w:val="es-ES_tradnl" w:eastAsia="es-ES"/>
        </w:rPr>
        <w:t xml:space="preserve">RES. </w:t>
      </w:r>
      <w:r w:rsidR="00A22BA9">
        <w:rPr>
          <w:b/>
          <w:sz w:val="28"/>
          <w:szCs w:val="28"/>
          <w:lang w:val="es-ES_tradnl" w:eastAsia="es-ES"/>
        </w:rPr>
        <w:t>688/</w:t>
      </w:r>
      <w:r w:rsidRPr="008B55F4">
        <w:rPr>
          <w:b/>
          <w:sz w:val="28"/>
          <w:szCs w:val="28"/>
          <w:lang w:val="es-ES_tradnl" w:eastAsia="es-ES"/>
        </w:rPr>
        <w:t>19</w:t>
      </w:r>
    </w:p>
    <w:p w:rsidR="008B55F4" w:rsidRPr="008B55F4" w:rsidRDefault="008B55F4" w:rsidP="008B55F4">
      <w:pPr>
        <w:tabs>
          <w:tab w:val="center" w:pos="4253"/>
        </w:tabs>
        <w:jc w:val="right"/>
        <w:rPr>
          <w:b/>
          <w:lang w:val="es-ES_tradnl" w:eastAsia="es-ES"/>
        </w:rPr>
      </w:pPr>
    </w:p>
    <w:p w:rsidR="008B55F4" w:rsidRPr="008B55F4" w:rsidRDefault="008B55F4" w:rsidP="008B55F4">
      <w:pPr>
        <w:tabs>
          <w:tab w:val="center" w:pos="4253"/>
        </w:tabs>
        <w:jc w:val="center"/>
        <w:rPr>
          <w:b/>
          <w:lang w:val="es-ES_tradnl" w:eastAsia="es-ES"/>
        </w:rPr>
      </w:pPr>
      <w:r w:rsidRPr="008B55F4">
        <w:rPr>
          <w:b/>
          <w:lang w:val="es-ES_tradnl" w:eastAsia="es-ES"/>
        </w:rPr>
        <w:t>RESOLUCION ADOPTADA POR EL</w:t>
      </w:r>
    </w:p>
    <w:p w:rsidR="008B55F4" w:rsidRPr="008B55F4" w:rsidRDefault="008B55F4" w:rsidP="008B55F4">
      <w:pPr>
        <w:tabs>
          <w:tab w:val="left" w:pos="-720"/>
        </w:tabs>
        <w:jc w:val="center"/>
        <w:rPr>
          <w:b/>
          <w:lang w:val="es-ES_tradnl" w:eastAsia="es-ES"/>
        </w:rPr>
      </w:pPr>
    </w:p>
    <w:p w:rsidR="008B55F4" w:rsidRPr="008B55F4" w:rsidRDefault="008B55F4" w:rsidP="008B55F4">
      <w:pPr>
        <w:tabs>
          <w:tab w:val="center" w:pos="4253"/>
        </w:tabs>
        <w:jc w:val="center"/>
        <w:rPr>
          <w:b/>
          <w:lang w:val="es-ES_tradnl" w:eastAsia="es-ES"/>
        </w:rPr>
      </w:pPr>
      <w:r w:rsidRPr="008B55F4">
        <w:rPr>
          <w:b/>
          <w:lang w:val="es-ES_tradnl" w:eastAsia="es-ES"/>
        </w:rPr>
        <w:t>TRIBUNAL DE CUENTAS</w:t>
      </w:r>
    </w:p>
    <w:p w:rsidR="008B55F4" w:rsidRPr="008B55F4" w:rsidRDefault="008B55F4" w:rsidP="008B55F4">
      <w:pPr>
        <w:tabs>
          <w:tab w:val="left" w:pos="-720"/>
        </w:tabs>
        <w:jc w:val="center"/>
        <w:rPr>
          <w:b/>
          <w:lang w:val="es-ES_tradnl" w:eastAsia="es-ES"/>
        </w:rPr>
      </w:pPr>
    </w:p>
    <w:p w:rsidR="008B55F4" w:rsidRPr="008B55F4" w:rsidRDefault="008B55F4" w:rsidP="008B55F4">
      <w:pPr>
        <w:tabs>
          <w:tab w:val="center" w:pos="4253"/>
        </w:tabs>
        <w:jc w:val="center"/>
        <w:rPr>
          <w:b/>
          <w:lang w:val="es-ES_tradnl" w:eastAsia="es-ES"/>
        </w:rPr>
      </w:pPr>
      <w:r w:rsidRPr="008B55F4">
        <w:rPr>
          <w:b/>
          <w:lang w:val="es-ES_tradnl" w:eastAsia="es-ES"/>
        </w:rPr>
        <w:t xml:space="preserve">EN SESION DE FECHA 13 DE MARZO </w:t>
      </w:r>
      <w:r w:rsidRPr="008B55F4">
        <w:rPr>
          <w:rFonts w:ascii="Helvetica" w:hAnsi="Helvetica" w:cs="Times New Roman"/>
          <w:b/>
          <w:lang w:val="es-ES_tradnl" w:eastAsia="es-ES"/>
        </w:rPr>
        <w:t>DE 2019</w:t>
      </w:r>
    </w:p>
    <w:p w:rsidR="008B55F4" w:rsidRPr="008B55F4" w:rsidRDefault="008B55F4" w:rsidP="008B55F4">
      <w:pPr>
        <w:tabs>
          <w:tab w:val="center" w:pos="4253"/>
        </w:tabs>
        <w:jc w:val="center"/>
        <w:rPr>
          <w:b/>
          <w:lang w:val="es-ES_tradnl" w:eastAsia="es-ES"/>
        </w:rPr>
      </w:pPr>
    </w:p>
    <w:p w:rsidR="008B55F4" w:rsidRPr="00D92DD2" w:rsidRDefault="008B55F4" w:rsidP="008B55F4">
      <w:pPr>
        <w:tabs>
          <w:tab w:val="center" w:pos="4253"/>
        </w:tabs>
        <w:jc w:val="center"/>
        <w:rPr>
          <w:b/>
          <w:lang w:val="es-UY" w:eastAsia="es-ES"/>
        </w:rPr>
      </w:pPr>
      <w:r w:rsidRPr="00D92DD2">
        <w:rPr>
          <w:b/>
          <w:lang w:val="es-UY" w:eastAsia="es-ES"/>
        </w:rPr>
        <w:t>(E. E. Nº 201</w:t>
      </w:r>
      <w:r w:rsidR="00A22BA9" w:rsidRPr="00D92DD2">
        <w:rPr>
          <w:b/>
          <w:lang w:val="es-UY" w:eastAsia="es-ES"/>
        </w:rPr>
        <w:t>8</w:t>
      </w:r>
      <w:r w:rsidRPr="00D92DD2">
        <w:rPr>
          <w:b/>
          <w:lang w:val="es-UY" w:eastAsia="es-ES"/>
        </w:rPr>
        <w:t>-17-1-000</w:t>
      </w:r>
      <w:r w:rsidR="00A22BA9" w:rsidRPr="00D92DD2">
        <w:rPr>
          <w:b/>
          <w:lang w:val="es-UY" w:eastAsia="es-ES"/>
        </w:rPr>
        <w:t>4415</w:t>
      </w:r>
      <w:r w:rsidRPr="00D92DD2">
        <w:rPr>
          <w:b/>
          <w:lang w:val="es-UY" w:eastAsia="es-ES"/>
        </w:rPr>
        <w:t xml:space="preserve">, </w:t>
      </w:r>
      <w:proofErr w:type="spellStart"/>
      <w:r w:rsidRPr="00D92DD2">
        <w:rPr>
          <w:b/>
          <w:lang w:val="es-UY" w:eastAsia="es-ES"/>
        </w:rPr>
        <w:t>Ent</w:t>
      </w:r>
      <w:proofErr w:type="spellEnd"/>
      <w:r w:rsidRPr="00D92DD2">
        <w:rPr>
          <w:b/>
          <w:lang w:val="es-UY" w:eastAsia="es-ES"/>
        </w:rPr>
        <w:t xml:space="preserve">. N° </w:t>
      </w:r>
      <w:r w:rsidR="00A22BA9" w:rsidRPr="00D92DD2">
        <w:rPr>
          <w:b/>
          <w:lang w:val="es-UY" w:eastAsia="es-ES"/>
        </w:rPr>
        <w:t>3410</w:t>
      </w:r>
      <w:r w:rsidRPr="00D92DD2">
        <w:rPr>
          <w:b/>
          <w:lang w:val="es-UY" w:eastAsia="es-ES"/>
        </w:rPr>
        <w:t>/</w:t>
      </w:r>
      <w:r w:rsidR="00A22BA9" w:rsidRPr="00D92DD2">
        <w:rPr>
          <w:b/>
          <w:lang w:val="es-UY" w:eastAsia="es-ES"/>
        </w:rPr>
        <w:t>18)</w:t>
      </w:r>
    </w:p>
    <w:p w:rsidR="00C925E5" w:rsidRDefault="00C925E5" w:rsidP="00C925E5">
      <w:pPr>
        <w:suppressAutoHyphens w:val="0"/>
        <w:spacing w:line="360" w:lineRule="auto"/>
        <w:jc w:val="both"/>
        <w:rPr>
          <w:rFonts w:cs="Times New Roman"/>
          <w:b/>
          <w:lang w:eastAsia="es-ES"/>
        </w:rPr>
      </w:pPr>
    </w:p>
    <w:p w:rsidR="00254637" w:rsidRPr="00C925E5" w:rsidRDefault="00254637" w:rsidP="00C925E5">
      <w:pPr>
        <w:suppressAutoHyphens w:val="0"/>
        <w:spacing w:line="360" w:lineRule="auto"/>
        <w:jc w:val="both"/>
        <w:rPr>
          <w:rFonts w:cs="Times New Roman"/>
          <w:b/>
          <w:lang w:eastAsia="es-ES"/>
        </w:rPr>
      </w:pPr>
    </w:p>
    <w:p w:rsidR="00C925E5" w:rsidRPr="00C925E5" w:rsidRDefault="00C925E5" w:rsidP="00254637">
      <w:pPr>
        <w:suppressAutoHyphens w:val="0"/>
        <w:spacing w:line="360" w:lineRule="auto"/>
        <w:ind w:firstLine="851"/>
        <w:jc w:val="both"/>
        <w:rPr>
          <w:rFonts w:cs="Times New Roman"/>
          <w:lang w:eastAsia="es-ES"/>
        </w:rPr>
      </w:pPr>
      <w:r w:rsidRPr="00C925E5">
        <w:rPr>
          <w:rFonts w:cs="Times New Roman"/>
          <w:b/>
          <w:lang w:eastAsia="es-ES"/>
        </w:rPr>
        <w:t>VISTO:</w:t>
      </w:r>
      <w:r w:rsidRPr="00C925E5">
        <w:rPr>
          <w:rFonts w:cs="Times New Roman"/>
          <w:lang w:eastAsia="es-ES"/>
        </w:rPr>
        <w:t xml:space="preserve"> la Rendición de Cuentas y Balance de Ejecución Presupuestal de la Intendencia de Maldonado correspondiente al Ejercicio 2017;</w:t>
      </w:r>
    </w:p>
    <w:p w:rsidR="00C925E5" w:rsidRPr="00C925E5" w:rsidRDefault="00C925E5" w:rsidP="00254637">
      <w:pPr>
        <w:suppressAutoHyphens w:val="0"/>
        <w:spacing w:line="360" w:lineRule="auto"/>
        <w:ind w:firstLine="851"/>
        <w:jc w:val="both"/>
        <w:rPr>
          <w:rFonts w:cs="Times New Roman"/>
          <w:lang w:eastAsia="es-ES"/>
        </w:rPr>
      </w:pPr>
      <w:r w:rsidRPr="00C925E5">
        <w:rPr>
          <w:rFonts w:cs="Times New Roman"/>
          <w:b/>
          <w:lang w:eastAsia="es-ES"/>
        </w:rPr>
        <w:t xml:space="preserve">RESULTANDO: </w:t>
      </w:r>
      <w:r w:rsidRPr="00C925E5">
        <w:rPr>
          <w:rFonts w:cs="Times New Roman"/>
          <w:lang w:eastAsia="es-ES"/>
        </w:rPr>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C925E5" w:rsidRPr="00C925E5" w:rsidRDefault="00C925E5" w:rsidP="00254637">
      <w:pPr>
        <w:suppressAutoHyphens w:val="0"/>
        <w:spacing w:line="360" w:lineRule="auto"/>
        <w:ind w:firstLine="851"/>
        <w:jc w:val="both"/>
        <w:rPr>
          <w:rFonts w:cs="Times New Roman"/>
          <w:lang w:eastAsia="es-ES"/>
        </w:rPr>
      </w:pPr>
      <w:r w:rsidRPr="00C925E5">
        <w:rPr>
          <w:rFonts w:cs="Times New Roman"/>
          <w:b/>
          <w:lang w:eastAsia="es-ES"/>
        </w:rPr>
        <w:t xml:space="preserve">CONSIDERANDO: </w:t>
      </w:r>
      <w:r w:rsidRPr="00C925E5">
        <w:rPr>
          <w:rFonts w:cs="Times New Roman"/>
          <w:lang w:eastAsia="es-ES"/>
        </w:rPr>
        <w:t>que las conclusiones y evidencias obtenidas son las que se expresan en el Informe de Auditoría, que incluye Dictamen e Informe a la Administración;</w:t>
      </w:r>
    </w:p>
    <w:p w:rsidR="00C925E5" w:rsidRPr="00C925E5" w:rsidRDefault="00C925E5" w:rsidP="00254637">
      <w:pPr>
        <w:suppressAutoHyphens w:val="0"/>
        <w:spacing w:line="360" w:lineRule="auto"/>
        <w:ind w:firstLine="851"/>
        <w:jc w:val="both"/>
        <w:rPr>
          <w:rFonts w:cs="Times New Roman"/>
          <w:lang w:eastAsia="es-ES"/>
        </w:rPr>
      </w:pPr>
      <w:r w:rsidRPr="00C925E5">
        <w:rPr>
          <w:rFonts w:cs="Times New Roman"/>
          <w:b/>
          <w:lang w:eastAsia="es-ES"/>
        </w:rPr>
        <w:t xml:space="preserve">ATENTO: </w:t>
      </w:r>
      <w:r w:rsidRPr="00C925E5">
        <w:rPr>
          <w:rFonts w:cs="Times New Roman"/>
          <w:lang w:eastAsia="es-ES"/>
        </w:rPr>
        <w:t>a lo dispuesto por el Artículo 211 Literal C) de la Constitución de la República;</w:t>
      </w:r>
    </w:p>
    <w:p w:rsidR="00C925E5" w:rsidRPr="00C925E5" w:rsidRDefault="00C925E5" w:rsidP="00C925E5">
      <w:pPr>
        <w:suppressAutoHyphens w:val="0"/>
        <w:spacing w:line="360" w:lineRule="auto"/>
        <w:jc w:val="center"/>
        <w:rPr>
          <w:rFonts w:cs="Times New Roman"/>
          <w:b/>
          <w:lang w:eastAsia="es-ES"/>
        </w:rPr>
      </w:pPr>
      <w:bookmarkStart w:id="1" w:name="_Toc75256577"/>
      <w:r w:rsidRPr="00C925E5">
        <w:rPr>
          <w:rFonts w:cs="Times New Roman"/>
          <w:b/>
          <w:lang w:eastAsia="es-ES"/>
        </w:rPr>
        <w:t>EL TRIBUNAL ACUERDA</w:t>
      </w:r>
      <w:bookmarkEnd w:id="1"/>
    </w:p>
    <w:p w:rsidR="00C925E5" w:rsidRPr="00C925E5" w:rsidRDefault="00C925E5" w:rsidP="00C925E5">
      <w:pPr>
        <w:numPr>
          <w:ilvl w:val="0"/>
          <w:numId w:val="38"/>
        </w:numPr>
        <w:suppressAutoHyphens w:val="0"/>
        <w:spacing w:line="360" w:lineRule="auto"/>
        <w:jc w:val="both"/>
        <w:rPr>
          <w:rFonts w:cs="Times New Roman"/>
          <w:lang w:eastAsia="es-ES"/>
        </w:rPr>
      </w:pPr>
      <w:r w:rsidRPr="00C925E5">
        <w:rPr>
          <w:rFonts w:cs="Times New Roman"/>
          <w:lang w:eastAsia="es-ES"/>
        </w:rPr>
        <w:t>Expedirse en los términos del Informe de</w:t>
      </w:r>
      <w:r w:rsidR="00254637">
        <w:rPr>
          <w:rFonts w:cs="Times New Roman"/>
          <w:lang w:eastAsia="es-ES"/>
        </w:rPr>
        <w:t xml:space="preserve"> Auditoría que se adjunta;</w:t>
      </w:r>
    </w:p>
    <w:p w:rsidR="00C925E5" w:rsidRPr="00C925E5" w:rsidRDefault="00C925E5" w:rsidP="00C925E5">
      <w:pPr>
        <w:numPr>
          <w:ilvl w:val="0"/>
          <w:numId w:val="38"/>
        </w:numPr>
        <w:suppressAutoHyphens w:val="0"/>
        <w:spacing w:line="360" w:lineRule="auto"/>
        <w:jc w:val="both"/>
        <w:rPr>
          <w:rFonts w:cs="Times New Roman"/>
          <w:lang w:eastAsia="es-ES"/>
        </w:rPr>
      </w:pPr>
      <w:r w:rsidRPr="00C925E5">
        <w:rPr>
          <w:rFonts w:cs="Times New Roman"/>
          <w:lang w:eastAsia="es-ES"/>
        </w:rPr>
        <w:t>Comunicar la presente Resolució</w:t>
      </w:r>
      <w:r w:rsidR="00D04825">
        <w:rPr>
          <w:rFonts w:cs="Times New Roman"/>
          <w:lang w:eastAsia="es-ES"/>
        </w:rPr>
        <w:t>n a la Intendencia y a la Junta Departamental de Maldonado;</w:t>
      </w:r>
    </w:p>
    <w:p w:rsidR="00C925E5" w:rsidRPr="00C925E5" w:rsidRDefault="00C925E5" w:rsidP="00C925E5">
      <w:pPr>
        <w:numPr>
          <w:ilvl w:val="0"/>
          <w:numId w:val="38"/>
        </w:numPr>
        <w:suppressAutoHyphens w:val="0"/>
        <w:spacing w:line="360" w:lineRule="auto"/>
        <w:jc w:val="both"/>
        <w:rPr>
          <w:rFonts w:cs="Times New Roman"/>
          <w:lang w:eastAsia="es-ES"/>
        </w:rPr>
      </w:pPr>
      <w:r w:rsidRPr="00C925E5">
        <w:rPr>
          <w:rFonts w:cs="Times New Roman"/>
          <w:lang w:eastAsia="es-ES"/>
        </w:rPr>
        <w:t>D</w:t>
      </w:r>
      <w:r w:rsidR="00A22BA9">
        <w:rPr>
          <w:rFonts w:cs="Times New Roman"/>
          <w:lang w:eastAsia="es-ES"/>
        </w:rPr>
        <w:t>ar cuenta a la Asamblea General</w:t>
      </w:r>
      <w:r w:rsidR="00D92DD2">
        <w:rPr>
          <w:rFonts w:cs="Times New Roman"/>
          <w:lang w:eastAsia="es-ES"/>
        </w:rPr>
        <w:t>.</w:t>
      </w:r>
    </w:p>
    <w:p w:rsidR="00C925E5" w:rsidRPr="00C925E5" w:rsidRDefault="00C925E5" w:rsidP="00C925E5">
      <w:pPr>
        <w:suppressAutoHyphens w:val="0"/>
        <w:spacing w:line="360" w:lineRule="auto"/>
        <w:jc w:val="both"/>
        <w:rPr>
          <w:rFonts w:cs="Times New Roman"/>
          <w:lang w:eastAsia="es-ES"/>
        </w:rPr>
      </w:pPr>
    </w:p>
    <w:p w:rsidR="00C925E5" w:rsidRPr="00C925E5" w:rsidRDefault="00C925E5" w:rsidP="00C925E5">
      <w:pPr>
        <w:suppressAutoHyphens w:val="0"/>
        <w:spacing w:line="360" w:lineRule="auto"/>
        <w:jc w:val="both"/>
        <w:rPr>
          <w:rFonts w:cs="Times New Roman"/>
          <w:lang w:eastAsia="es-ES"/>
        </w:rPr>
      </w:pPr>
    </w:p>
    <w:p w:rsidR="00C925E5" w:rsidRPr="00C925E5" w:rsidRDefault="00A22BA9" w:rsidP="00A22BA9">
      <w:pPr>
        <w:suppressAutoHyphens w:val="0"/>
        <w:spacing w:line="360" w:lineRule="auto"/>
        <w:jc w:val="both"/>
        <w:rPr>
          <w:rFonts w:cs="Times New Roman"/>
          <w:sz w:val="16"/>
          <w:lang w:eastAsia="es-ES"/>
        </w:rPr>
      </w:pPr>
      <w:proofErr w:type="spellStart"/>
      <w:proofErr w:type="gramStart"/>
      <w:r>
        <w:rPr>
          <w:rFonts w:cs="Times New Roman"/>
          <w:lang w:eastAsia="es-ES"/>
        </w:rPr>
        <w:t>cr</w:t>
      </w:r>
      <w:proofErr w:type="spellEnd"/>
      <w:proofErr w:type="gramEnd"/>
    </w:p>
    <w:p w:rsidR="003A7E3F" w:rsidRDefault="003A7E3F" w:rsidP="003A7E3F">
      <w:pPr>
        <w:suppressAutoHyphens w:val="0"/>
        <w:spacing w:line="360" w:lineRule="auto"/>
        <w:rPr>
          <w:color w:val="000000"/>
        </w:rPr>
      </w:pPr>
    </w:p>
    <w:p w:rsidR="0016620C" w:rsidRDefault="00254637" w:rsidP="000C0FDC">
      <w:pPr>
        <w:suppressAutoHyphens w:val="0"/>
        <w:jc w:val="center"/>
        <w:rPr>
          <w:rFonts w:cs="Times New Roman"/>
          <w:b/>
          <w:lang w:eastAsia="es-ES"/>
        </w:rPr>
      </w:pPr>
      <w:bookmarkStart w:id="2" w:name="_Toc424919766"/>
      <w:r>
        <w:rPr>
          <w:rFonts w:cs="Times New Roman"/>
          <w:b/>
          <w:lang w:eastAsia="es-ES"/>
        </w:rPr>
        <w:lastRenderedPageBreak/>
        <w:t>DICTAMEN</w:t>
      </w:r>
    </w:p>
    <w:p w:rsidR="0016620C" w:rsidRPr="000C0FDC" w:rsidRDefault="0016620C" w:rsidP="000C0FDC">
      <w:pPr>
        <w:suppressAutoHyphens w:val="0"/>
        <w:jc w:val="center"/>
        <w:rPr>
          <w:rFonts w:cs="Times New Roman"/>
          <w:b/>
          <w:lang w:eastAsia="es-ES"/>
        </w:rPr>
      </w:pPr>
    </w:p>
    <w:bookmarkEnd w:id="2"/>
    <w:p w:rsidR="0016620C" w:rsidRDefault="0016620C" w:rsidP="00A34A57">
      <w:pPr>
        <w:pStyle w:val="Ttulo1"/>
        <w:spacing w:before="0" w:after="0" w:line="360" w:lineRule="auto"/>
      </w:pPr>
      <w:r>
        <w:t>Opinión sin salvedades</w:t>
      </w:r>
    </w:p>
    <w:p w:rsidR="0016620C" w:rsidRDefault="0016620C" w:rsidP="00A34A57">
      <w:pPr>
        <w:suppressAutoHyphens w:val="0"/>
        <w:spacing w:line="360" w:lineRule="auto"/>
        <w:jc w:val="both"/>
        <w:rPr>
          <w:rFonts w:cs="Times New Roman"/>
          <w:lang w:eastAsia="es-ES"/>
        </w:rPr>
      </w:pPr>
      <w:r w:rsidRPr="009F24DE">
        <w:rPr>
          <w:rFonts w:cs="Times New Roman"/>
          <w:lang w:eastAsia="es-ES"/>
        </w:rPr>
        <w:t xml:space="preserve">El Tribunal de Cuentas ha auditado la Rendición de Cuentas y el Balance de Ejecución Presupuestal de la Intendencia de </w:t>
      </w:r>
      <w:r>
        <w:rPr>
          <w:rFonts w:cs="Times New Roman"/>
          <w:lang w:eastAsia="es-ES"/>
        </w:rPr>
        <w:t>Maldonado</w:t>
      </w:r>
      <w:r w:rsidRPr="009F24DE">
        <w:rPr>
          <w:rFonts w:cs="Times New Roman"/>
          <w:lang w:eastAsia="es-ES"/>
        </w:rPr>
        <w:t xml:space="preserve"> que comprende los </w:t>
      </w:r>
      <w:r>
        <w:rPr>
          <w:rFonts w:cs="Times New Roman"/>
          <w:lang w:eastAsia="es-ES"/>
        </w:rPr>
        <w:t>E</w:t>
      </w:r>
      <w:r w:rsidRPr="009F24DE">
        <w:rPr>
          <w:rFonts w:cs="Times New Roman"/>
          <w:lang w:eastAsia="es-ES"/>
        </w:rPr>
        <w:t xml:space="preserve">stados de </w:t>
      </w:r>
      <w:r>
        <w:rPr>
          <w:rFonts w:cs="Times New Roman"/>
          <w:lang w:eastAsia="es-ES"/>
        </w:rPr>
        <w:t>E</w:t>
      </w:r>
      <w:r w:rsidRPr="009F24DE">
        <w:rPr>
          <w:rFonts w:cs="Times New Roman"/>
          <w:lang w:eastAsia="es-ES"/>
        </w:rPr>
        <w:t xml:space="preserve">jecución </w:t>
      </w:r>
      <w:r>
        <w:rPr>
          <w:rFonts w:cs="Times New Roman"/>
          <w:lang w:eastAsia="es-ES"/>
        </w:rPr>
        <w:t>P</w:t>
      </w:r>
      <w:r w:rsidRPr="009F24DE">
        <w:rPr>
          <w:rFonts w:cs="Times New Roman"/>
          <w:lang w:eastAsia="es-ES"/>
        </w:rPr>
        <w:t xml:space="preserve">resupuestal con relación a los </w:t>
      </w:r>
      <w:r>
        <w:rPr>
          <w:rFonts w:cs="Times New Roman"/>
          <w:lang w:eastAsia="es-ES"/>
        </w:rPr>
        <w:t>R</w:t>
      </w:r>
      <w:r w:rsidRPr="009F24DE">
        <w:rPr>
          <w:rFonts w:cs="Times New Roman"/>
          <w:lang w:eastAsia="es-ES"/>
        </w:rPr>
        <w:t xml:space="preserve">ecursos y a los </w:t>
      </w:r>
      <w:r>
        <w:rPr>
          <w:rFonts w:cs="Times New Roman"/>
          <w:lang w:eastAsia="es-ES"/>
        </w:rPr>
        <w:t>C</w:t>
      </w:r>
      <w:r w:rsidRPr="009F24DE">
        <w:rPr>
          <w:rFonts w:cs="Times New Roman"/>
          <w:lang w:eastAsia="es-ES"/>
        </w:rPr>
        <w:t xml:space="preserve">réditos, Resultado del </w:t>
      </w:r>
      <w:r>
        <w:rPr>
          <w:rFonts w:cs="Times New Roman"/>
          <w:lang w:eastAsia="es-ES"/>
        </w:rPr>
        <w:t>E</w:t>
      </w:r>
      <w:r w:rsidRPr="009F24DE">
        <w:rPr>
          <w:rFonts w:cs="Times New Roman"/>
          <w:lang w:eastAsia="es-ES"/>
        </w:rPr>
        <w:t xml:space="preserve">jercicio, Resultado </w:t>
      </w:r>
      <w:r>
        <w:rPr>
          <w:rFonts w:cs="Times New Roman"/>
          <w:lang w:eastAsia="es-ES"/>
        </w:rPr>
        <w:t>A</w:t>
      </w:r>
      <w:r w:rsidRPr="009F24DE">
        <w:rPr>
          <w:rFonts w:cs="Times New Roman"/>
          <w:lang w:eastAsia="es-ES"/>
        </w:rPr>
        <w:t xml:space="preserve">cumulado, y otros estados complementarios, </w:t>
      </w:r>
      <w:r>
        <w:rPr>
          <w:rFonts w:cs="Times New Roman"/>
          <w:lang w:eastAsia="es-ES"/>
        </w:rPr>
        <w:t>correspondientes al</w:t>
      </w:r>
      <w:r w:rsidRPr="009F24DE">
        <w:rPr>
          <w:rFonts w:cs="Times New Roman"/>
          <w:lang w:eastAsia="es-ES"/>
        </w:rPr>
        <w:t xml:space="preserve"> ejercicio finalizado el 31/12/2017.</w:t>
      </w:r>
    </w:p>
    <w:p w:rsidR="0016620C" w:rsidRPr="0042127F" w:rsidRDefault="0016620C" w:rsidP="00A34A57">
      <w:pPr>
        <w:suppressAutoHyphens w:val="0"/>
        <w:spacing w:line="360" w:lineRule="auto"/>
        <w:jc w:val="both"/>
        <w:rPr>
          <w:rFonts w:cs="Times New Roman"/>
          <w:lang w:eastAsia="es-ES"/>
        </w:rPr>
      </w:pPr>
      <w:r w:rsidRPr="0042127F">
        <w:rPr>
          <w:rFonts w:cs="Times New Roman"/>
          <w:lang w:eastAsia="es-ES"/>
        </w:rPr>
        <w:t xml:space="preserve">En opinión del Tribunal de Cuentas, los estados mencionados presentan razonablemente, en todos sus aspectos significativos, la ejecución presupuestal en relación a los recursos y a los créditos presupuestales, el resultado del ejercicio y el resultado acumulado de la Intendencia de </w:t>
      </w:r>
      <w:r>
        <w:rPr>
          <w:rFonts w:cs="Times New Roman"/>
          <w:lang w:eastAsia="es-ES"/>
        </w:rPr>
        <w:t>Maldonado</w:t>
      </w:r>
      <w:r w:rsidRPr="0042127F">
        <w:rPr>
          <w:rFonts w:cs="Times New Roman"/>
          <w:lang w:eastAsia="es-ES"/>
        </w:rPr>
        <w:t xml:space="preserve"> correspondientes al ejercicio finalizado el 31/12/2017, de acuerdo con las normas establecidas en el TOCAF y el instructivo vigente a la fecha de presentación de los mismos.</w:t>
      </w:r>
    </w:p>
    <w:p w:rsidR="0016620C" w:rsidRPr="00B62B86" w:rsidRDefault="0016620C" w:rsidP="00B62B86">
      <w:pPr>
        <w:suppressAutoHyphens w:val="0"/>
        <w:spacing w:line="360" w:lineRule="auto"/>
        <w:jc w:val="both"/>
        <w:rPr>
          <w:rFonts w:cs="Times New Roman"/>
          <w:b/>
          <w:lang w:eastAsia="es-ES"/>
        </w:rPr>
      </w:pPr>
      <w:r w:rsidRPr="00B62B86">
        <w:rPr>
          <w:rFonts w:cs="Times New Roman"/>
          <w:b/>
          <w:lang w:eastAsia="es-ES"/>
        </w:rPr>
        <w:t>Opinión respecto al cumplimiento de la normativa legal aplicable</w:t>
      </w:r>
    </w:p>
    <w:p w:rsidR="0016620C" w:rsidRPr="00C3215C" w:rsidRDefault="0016620C" w:rsidP="00B62B86">
      <w:pPr>
        <w:suppressAutoHyphens w:val="0"/>
        <w:spacing w:line="360" w:lineRule="auto"/>
        <w:jc w:val="both"/>
        <w:rPr>
          <w:rFonts w:cs="Times New Roman"/>
          <w:lang w:eastAsia="es-ES"/>
        </w:rPr>
      </w:pPr>
      <w:r w:rsidRPr="00C3215C">
        <w:rPr>
          <w:rFonts w:cs="Times New Roman"/>
          <w:lang w:eastAsia="es-ES"/>
        </w:rPr>
        <w:t>En el curso de la auditoría se han constatado los siguientes incumplimientos:</w:t>
      </w:r>
    </w:p>
    <w:p w:rsidR="0016620C" w:rsidRPr="00D152DF" w:rsidRDefault="0016620C" w:rsidP="00A34A57">
      <w:pPr>
        <w:spacing w:line="360" w:lineRule="auto"/>
        <w:jc w:val="both"/>
        <w:textAlignment w:val="baseline"/>
        <w:rPr>
          <w:lang w:eastAsia="es-ES"/>
        </w:rPr>
      </w:pPr>
      <w:r w:rsidRPr="00C3215C">
        <w:rPr>
          <w:rFonts w:eastAsia="Lucida Sans Unicode"/>
          <w:kern w:val="1"/>
          <w:lang w:val="es-UY" w:eastAsia="en-US"/>
        </w:rPr>
        <w:t xml:space="preserve">Artículos 211 Literal B) y 297 de la Constitución de la República, </w:t>
      </w:r>
      <w:r w:rsidRPr="00C3215C">
        <w:rPr>
          <w:rFonts w:eastAsia="Arial" w:cs="Times New Roman"/>
          <w:bCs/>
          <w:lang w:val="es-UY" w:eastAsia="x-none"/>
        </w:rPr>
        <w:t>Artículo 94 del Código Tributario, Artículos 236 a 241 de la Ley N° 13.637</w:t>
      </w:r>
      <w:r w:rsidRPr="00C3215C">
        <w:rPr>
          <w:rFonts w:eastAsia="Arial" w:cs="Times New Roman"/>
          <w:bCs/>
          <w:lang w:eastAsia="x-none"/>
        </w:rPr>
        <w:t>,</w:t>
      </w:r>
      <w:r w:rsidRPr="00C3215C">
        <w:rPr>
          <w:rFonts w:eastAsia="Arial" w:cs="Times New Roman"/>
          <w:bCs/>
          <w:lang w:val="es-UY" w:eastAsia="x-none"/>
        </w:rPr>
        <w:t xml:space="preserve"> Artículo 470 de la Ley N° 17.930, </w:t>
      </w:r>
      <w:r w:rsidRPr="00C3215C">
        <w:rPr>
          <w:rFonts w:eastAsia="Lucida Sans Unicode"/>
          <w:kern w:val="1"/>
          <w:lang w:val="es-UY" w:eastAsia="en-US"/>
        </w:rPr>
        <w:t>Artículo 13 numerales 18) y 19) de la Ley 19.272,</w:t>
      </w:r>
      <w:r>
        <w:rPr>
          <w:rFonts w:eastAsia="Lucida Sans Unicode"/>
          <w:kern w:val="1"/>
          <w:lang w:val="es-UY" w:eastAsia="en-US"/>
        </w:rPr>
        <w:t xml:space="preserve"> Artículo 35 de la Ley N° 9.515,</w:t>
      </w:r>
      <w:r w:rsidRPr="00C3215C">
        <w:rPr>
          <w:rFonts w:eastAsia="Lucida Sans Unicode"/>
          <w:kern w:val="1"/>
          <w:lang w:val="es-UY" w:eastAsia="en-US"/>
        </w:rPr>
        <w:t xml:space="preserve"> Artículos 23 Numeral 7), 84, 87, 90, 94, 97, 103, 111, 132 y 154 del TOCAF, Decretos de la Junta Departamental 3953/2016 y 3969/2017, </w:t>
      </w:r>
      <w:r w:rsidRPr="00C3215C">
        <w:rPr>
          <w:bCs/>
          <w:lang w:eastAsia="es-ES"/>
        </w:rPr>
        <w:t>Ordenanzas N° 84 y 89 del Tribunal de Cuentas, Instructivo del Tribunal de fecha 28/01/</w:t>
      </w:r>
      <w:r>
        <w:rPr>
          <w:bCs/>
          <w:lang w:eastAsia="es-ES"/>
        </w:rPr>
        <w:t>20</w:t>
      </w:r>
      <w:r w:rsidRPr="00C3215C">
        <w:rPr>
          <w:bCs/>
          <w:lang w:eastAsia="es-ES"/>
        </w:rPr>
        <w:t>04</w:t>
      </w:r>
      <w:r>
        <w:rPr>
          <w:bCs/>
          <w:lang w:eastAsia="es-ES"/>
        </w:rPr>
        <w:t xml:space="preserve"> y</w:t>
      </w:r>
      <w:r w:rsidRPr="00C3215C">
        <w:rPr>
          <w:bCs/>
          <w:lang w:eastAsia="es-ES"/>
        </w:rPr>
        <w:t xml:space="preserve"> </w:t>
      </w:r>
      <w:r w:rsidRPr="00C3215C">
        <w:rPr>
          <w:lang w:eastAsia="es-ES"/>
        </w:rPr>
        <w:t>Resolución del Tribunal de Cuentas de fecha 11/05/</w:t>
      </w:r>
      <w:r>
        <w:rPr>
          <w:lang w:eastAsia="es-ES"/>
        </w:rPr>
        <w:t>2005</w:t>
      </w:r>
      <w:r w:rsidRPr="00C3215C">
        <w:rPr>
          <w:lang w:eastAsia="es-ES"/>
        </w:rPr>
        <w:t>.</w:t>
      </w:r>
    </w:p>
    <w:p w:rsidR="0016620C" w:rsidRPr="00B62B86" w:rsidRDefault="0016620C" w:rsidP="00A34A57">
      <w:pPr>
        <w:suppressAutoHyphens w:val="0"/>
        <w:spacing w:line="360" w:lineRule="auto"/>
        <w:jc w:val="both"/>
        <w:rPr>
          <w:rFonts w:cs="Times New Roman"/>
          <w:b/>
          <w:bCs/>
          <w:lang w:eastAsia="es-ES"/>
        </w:rPr>
      </w:pPr>
      <w:r w:rsidRPr="00B62B86">
        <w:rPr>
          <w:rFonts w:cs="Times New Roman"/>
          <w:b/>
          <w:bCs/>
          <w:lang w:eastAsia="es-ES"/>
        </w:rPr>
        <w:t>Bases para la Opinión sin salvedades</w:t>
      </w:r>
    </w:p>
    <w:p w:rsidR="0016620C" w:rsidRPr="00D9173D" w:rsidRDefault="0016620C" w:rsidP="00D9173D">
      <w:pPr>
        <w:suppressAutoHyphens w:val="0"/>
        <w:spacing w:line="360" w:lineRule="auto"/>
        <w:jc w:val="both"/>
        <w:rPr>
          <w:rFonts w:cs="Times New Roman"/>
          <w:highlight w:val="yellow"/>
          <w:lang w:eastAsia="es-ES"/>
        </w:rPr>
      </w:pPr>
      <w:r w:rsidRPr="00B62B86">
        <w:rPr>
          <w:rFonts w:cs="Times New Roman"/>
          <w:bCs/>
          <w:lang w:eastAsia="es-ES"/>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w:t>
      </w:r>
      <w:r>
        <w:rPr>
          <w:rFonts w:cs="Times New Roman"/>
          <w:bCs/>
          <w:lang w:eastAsia="es-ES"/>
        </w:rPr>
        <w:t xml:space="preserve">Intendencia </w:t>
      </w:r>
      <w:r w:rsidRPr="00B62B86">
        <w:rPr>
          <w:rFonts w:cs="Times New Roman"/>
          <w:bCs/>
          <w:lang w:eastAsia="es-ES"/>
        </w:rPr>
        <w:t xml:space="preserve">de </w:t>
      </w:r>
      <w:r>
        <w:rPr>
          <w:rFonts w:cs="Times New Roman"/>
          <w:bCs/>
          <w:lang w:eastAsia="es-ES"/>
        </w:rPr>
        <w:t>Maldonado</w:t>
      </w:r>
      <w:r w:rsidRPr="00B62B86">
        <w:rPr>
          <w:rFonts w:cs="Times New Roman"/>
          <w:bCs/>
          <w:lang w:eastAsia="es-ES"/>
        </w:rPr>
        <w:t xml:space="preserve">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16620C" w:rsidRDefault="0016620C" w:rsidP="00FB4326">
      <w:pPr>
        <w:pStyle w:val="Subttulo"/>
        <w:rPr>
          <w:rFonts w:ascii="Arial" w:hAnsi="Arial" w:cs="Arial"/>
          <w:bCs/>
        </w:rPr>
      </w:pPr>
      <w:r>
        <w:rPr>
          <w:rFonts w:ascii="Arial" w:hAnsi="Arial" w:cs="Arial"/>
          <w:bCs/>
        </w:rPr>
        <w:t>Responsabilidad de la Intendencia en relación con la Rendición de Cuentas y Balance de Ejecución Presupuestal</w:t>
      </w:r>
    </w:p>
    <w:p w:rsidR="0016620C" w:rsidRPr="00D9173D" w:rsidRDefault="0016620C" w:rsidP="00D9173D">
      <w:pPr>
        <w:suppressAutoHyphens w:val="0"/>
        <w:spacing w:line="360" w:lineRule="auto"/>
        <w:jc w:val="both"/>
        <w:rPr>
          <w:rFonts w:cs="Times New Roman"/>
          <w:bCs/>
          <w:lang w:eastAsia="es-ES"/>
        </w:rPr>
      </w:pPr>
      <w:r>
        <w:rPr>
          <w:rFonts w:cs="Times New Roman"/>
          <w:bCs/>
          <w:lang w:eastAsia="es-ES"/>
        </w:rPr>
        <w:t>La</w:t>
      </w:r>
      <w:r w:rsidRPr="00D9173D">
        <w:rPr>
          <w:rFonts w:cs="Times New Roman"/>
          <w:bCs/>
          <w:lang w:eastAsia="es-ES"/>
        </w:rPr>
        <w:t xml:space="preserve"> </w:t>
      </w:r>
      <w:r>
        <w:rPr>
          <w:rFonts w:cs="Times New Roman"/>
          <w:bCs/>
          <w:lang w:eastAsia="es-ES"/>
        </w:rPr>
        <w:t>Intendencia</w:t>
      </w:r>
      <w:r w:rsidRPr="00D9173D">
        <w:rPr>
          <w:rFonts w:cs="Times New Roman"/>
          <w:bCs/>
          <w:lang w:eastAsia="es-ES"/>
        </w:rPr>
        <w:t xml:space="preserve"> de </w:t>
      </w:r>
      <w:r>
        <w:rPr>
          <w:rFonts w:cs="Times New Roman"/>
          <w:bCs/>
          <w:lang w:eastAsia="es-ES"/>
        </w:rPr>
        <w:t>Maldonado</w:t>
      </w:r>
      <w:r w:rsidRPr="00D9173D">
        <w:rPr>
          <w:rFonts w:cs="Times New Roman"/>
          <w:bCs/>
          <w:lang w:eastAsia="es-ES"/>
        </w:rPr>
        <w:t xml:space="preserve"> es responsable por la preparació</w:t>
      </w:r>
      <w:r>
        <w:rPr>
          <w:rFonts w:cs="Times New Roman"/>
          <w:bCs/>
          <w:lang w:eastAsia="es-ES"/>
        </w:rPr>
        <w:t>n y presentación razonable de la</w:t>
      </w:r>
      <w:r w:rsidRPr="00D9173D">
        <w:rPr>
          <w:rFonts w:cs="Times New Roman"/>
          <w:bCs/>
          <w:lang w:eastAsia="es-ES"/>
        </w:rPr>
        <w:t xml:space="preserve"> Rendición de Cuentas y Balance de Ejecución Presupuestal  </w:t>
      </w:r>
      <w:r>
        <w:rPr>
          <w:rFonts w:cs="Times New Roman"/>
          <w:bCs/>
          <w:lang w:eastAsia="es-ES"/>
        </w:rPr>
        <w:t xml:space="preserve">de la Intendencia de Maldonado </w:t>
      </w:r>
      <w:r w:rsidRPr="00D9173D">
        <w:rPr>
          <w:rFonts w:cs="Times New Roman"/>
          <w:bCs/>
          <w:lang w:eastAsia="es-ES"/>
        </w:rPr>
        <w:t xml:space="preserve">de acuerdo con el instructivo vigente a la fecha de presentación de la misma y del control interno que la administración de la </w:t>
      </w:r>
      <w:r>
        <w:rPr>
          <w:rFonts w:cs="Times New Roman"/>
          <w:bCs/>
          <w:lang w:eastAsia="es-ES"/>
        </w:rPr>
        <w:t xml:space="preserve">Intendencia </w:t>
      </w:r>
      <w:r w:rsidRPr="00D9173D">
        <w:rPr>
          <w:rFonts w:cs="Times New Roman"/>
          <w:bCs/>
          <w:lang w:eastAsia="es-ES"/>
        </w:rPr>
        <w:t>consideró necesario para permitir la preparación de la Rendición de Cuentas y Balance de Ejecución Presupuestal libres de errores significativos ya sea debido a fraude o error.</w:t>
      </w:r>
    </w:p>
    <w:p w:rsidR="0016620C" w:rsidRDefault="0016620C" w:rsidP="00D9173D">
      <w:pPr>
        <w:suppressAutoHyphens w:val="0"/>
        <w:spacing w:line="360" w:lineRule="auto"/>
        <w:jc w:val="both"/>
        <w:rPr>
          <w:rFonts w:cs="Times New Roman"/>
          <w:bCs/>
          <w:lang w:eastAsia="es-ES"/>
        </w:rPr>
      </w:pPr>
      <w:r>
        <w:rPr>
          <w:rFonts w:cs="Times New Roman"/>
          <w:bCs/>
          <w:lang w:eastAsia="es-ES"/>
        </w:rPr>
        <w:t xml:space="preserve">La Intendencia </w:t>
      </w:r>
      <w:r w:rsidRPr="00D9173D">
        <w:rPr>
          <w:rFonts w:cs="Times New Roman"/>
          <w:bCs/>
          <w:lang w:eastAsia="es-ES"/>
        </w:rPr>
        <w:t xml:space="preserve">de </w:t>
      </w:r>
      <w:r>
        <w:rPr>
          <w:rFonts w:cs="Times New Roman"/>
          <w:bCs/>
          <w:lang w:eastAsia="es-ES"/>
        </w:rPr>
        <w:t>Maldonado</w:t>
      </w:r>
      <w:r w:rsidRPr="00D9173D">
        <w:rPr>
          <w:rFonts w:cs="Times New Roman"/>
          <w:bCs/>
          <w:lang w:eastAsia="es-ES"/>
        </w:rPr>
        <w:t xml:space="preserve"> es responsable de supervisar el proceso de preparación de </w:t>
      </w:r>
      <w:r>
        <w:rPr>
          <w:rFonts w:cs="Times New Roman"/>
          <w:bCs/>
          <w:lang w:eastAsia="es-ES"/>
        </w:rPr>
        <w:t xml:space="preserve">su </w:t>
      </w:r>
      <w:r w:rsidRPr="00D9173D">
        <w:rPr>
          <w:rFonts w:cs="Times New Roman"/>
          <w:bCs/>
          <w:lang w:eastAsia="es-ES"/>
        </w:rPr>
        <w:t>Rendición de Cuentas y Bal</w:t>
      </w:r>
      <w:r>
        <w:rPr>
          <w:rFonts w:cs="Times New Roman"/>
          <w:bCs/>
          <w:lang w:eastAsia="es-ES"/>
        </w:rPr>
        <w:t>ance de Ejecución Presupuestal.</w:t>
      </w:r>
    </w:p>
    <w:p w:rsidR="0016620C" w:rsidRPr="00D9173D" w:rsidRDefault="0016620C" w:rsidP="00D9173D">
      <w:pPr>
        <w:suppressAutoHyphens w:val="0"/>
        <w:spacing w:line="360" w:lineRule="auto"/>
        <w:jc w:val="both"/>
        <w:rPr>
          <w:rFonts w:cs="Times New Roman"/>
          <w:b/>
          <w:bCs/>
          <w:lang w:eastAsia="es-ES"/>
        </w:rPr>
      </w:pPr>
      <w:r>
        <w:rPr>
          <w:rFonts w:cs="Times New Roman"/>
          <w:b/>
          <w:bCs/>
          <w:lang w:eastAsia="es-ES"/>
        </w:rPr>
        <w:t>R</w:t>
      </w:r>
      <w:r w:rsidRPr="00D9173D">
        <w:rPr>
          <w:rFonts w:cs="Times New Roman"/>
          <w:b/>
          <w:bCs/>
          <w:lang w:eastAsia="es-ES"/>
        </w:rPr>
        <w:t>esponsabilidad del Tribunal de Cuentas por la audito</w:t>
      </w:r>
      <w:r w:rsidR="00254637">
        <w:rPr>
          <w:rFonts w:cs="Times New Roman"/>
          <w:b/>
          <w:bCs/>
          <w:lang w:eastAsia="es-ES"/>
        </w:rPr>
        <w:t>ría de los estados</w:t>
      </w:r>
      <w:r w:rsidR="00D92F2A">
        <w:rPr>
          <w:rFonts w:cs="Times New Roman"/>
          <w:b/>
          <w:bCs/>
          <w:lang w:eastAsia="es-ES"/>
        </w:rPr>
        <w:t xml:space="preserve"> financieros</w:t>
      </w:r>
    </w:p>
    <w:p w:rsidR="0016620C" w:rsidRPr="00D9173D" w:rsidRDefault="0016620C" w:rsidP="00D9173D">
      <w:pPr>
        <w:suppressAutoHyphens w:val="0"/>
        <w:spacing w:line="360" w:lineRule="auto"/>
        <w:jc w:val="both"/>
        <w:rPr>
          <w:rFonts w:cs="Times New Roman"/>
          <w:bCs/>
          <w:lang w:eastAsia="es-ES"/>
        </w:rPr>
      </w:pPr>
      <w:r w:rsidRPr="00D9173D">
        <w:rPr>
          <w:rFonts w:cs="Times New Roman"/>
          <w:bCs/>
          <w:lang w:eastAsia="es-ES"/>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16620C" w:rsidRPr="00D9173D" w:rsidRDefault="0016620C" w:rsidP="00D9173D">
      <w:pPr>
        <w:suppressAutoHyphens w:val="0"/>
        <w:spacing w:line="360" w:lineRule="auto"/>
        <w:jc w:val="both"/>
        <w:rPr>
          <w:rFonts w:cs="Times New Roman"/>
          <w:bCs/>
          <w:lang w:eastAsia="es-ES"/>
        </w:rPr>
      </w:pPr>
      <w:r w:rsidRPr="00D9173D">
        <w:rPr>
          <w:rFonts w:cs="Times New Roman"/>
          <w:bCs/>
          <w:lang w:eastAsia="es-ES"/>
        </w:rPr>
        <w:t>Como parte de una auditoría de acuerdo con las ISSAI referidas en la sección Bases para la Opinión, el Tribunal de Cuentas aplica su juicio profesional y mantiene el escepticismo profesional durante el proceso de auditoría. Asimismo:</w:t>
      </w:r>
    </w:p>
    <w:p w:rsidR="0016620C" w:rsidRPr="00D9173D" w:rsidRDefault="0016620C" w:rsidP="00D9173D">
      <w:pPr>
        <w:numPr>
          <w:ilvl w:val="0"/>
          <w:numId w:val="41"/>
        </w:numPr>
        <w:suppressAutoHyphens w:val="0"/>
        <w:spacing w:line="360" w:lineRule="auto"/>
        <w:ind w:left="0" w:firstLine="360"/>
        <w:contextualSpacing/>
        <w:jc w:val="both"/>
        <w:rPr>
          <w:bCs/>
        </w:rPr>
      </w:pPr>
      <w:r w:rsidRPr="00D9173D">
        <w:rPr>
          <w:bCs/>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16620C" w:rsidRPr="00D9173D" w:rsidRDefault="0016620C" w:rsidP="00D9173D">
      <w:pPr>
        <w:numPr>
          <w:ilvl w:val="0"/>
          <w:numId w:val="41"/>
        </w:numPr>
        <w:suppressAutoHyphens w:val="0"/>
        <w:spacing w:line="360" w:lineRule="auto"/>
        <w:ind w:left="0" w:firstLine="360"/>
        <w:contextualSpacing/>
        <w:jc w:val="both"/>
        <w:rPr>
          <w:bCs/>
        </w:rPr>
      </w:pPr>
      <w:r w:rsidRPr="00D9173D">
        <w:rPr>
          <w:bCs/>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16620C" w:rsidRPr="00D9173D" w:rsidRDefault="0016620C" w:rsidP="00D9173D">
      <w:pPr>
        <w:numPr>
          <w:ilvl w:val="0"/>
          <w:numId w:val="41"/>
        </w:numPr>
        <w:suppressAutoHyphens w:val="0"/>
        <w:spacing w:line="360" w:lineRule="auto"/>
        <w:ind w:left="0" w:firstLine="360"/>
        <w:contextualSpacing/>
        <w:jc w:val="both"/>
        <w:rPr>
          <w:bCs/>
        </w:rPr>
      </w:pPr>
      <w:r w:rsidRPr="00D9173D">
        <w:rPr>
          <w:bCs/>
        </w:rPr>
        <w:t>Evalúa la presentación general, la estructura y  contenido de los estados, incluyendo las revelaciones y si los estados representan las transacciones y eventos subyacentes de un modo que se logre una representación fiel de los mismos.</w:t>
      </w:r>
    </w:p>
    <w:p w:rsidR="0016620C" w:rsidRPr="00CD16A5" w:rsidRDefault="0016620C" w:rsidP="00CD16A5">
      <w:pPr>
        <w:suppressAutoHyphens w:val="0"/>
        <w:spacing w:after="200" w:line="360" w:lineRule="auto"/>
        <w:contextualSpacing/>
        <w:jc w:val="both"/>
        <w:rPr>
          <w:lang w:val="es-UY" w:eastAsia="es-UY"/>
        </w:rPr>
      </w:pPr>
      <w:r w:rsidRPr="00CD16A5">
        <w:rPr>
          <w:lang w:val="es-UY" w:eastAsia="es-UY"/>
        </w:rPr>
        <w:t xml:space="preserve">El Tribunal de Cuentas se comunicó con </w:t>
      </w:r>
      <w:r>
        <w:rPr>
          <w:lang w:val="es-UY" w:eastAsia="es-UY"/>
        </w:rPr>
        <w:t xml:space="preserve"> la Intendencia</w:t>
      </w:r>
      <w:r w:rsidRPr="00CD16A5">
        <w:rPr>
          <w:lang w:val="es-UY" w:eastAsia="es-UY"/>
        </w:rPr>
        <w:t xml:space="preserve"> en relación, entre otros asuntos, al alcance y la oportunidad de </w:t>
      </w:r>
      <w:r>
        <w:rPr>
          <w:lang w:val="es-UY" w:eastAsia="es-UY"/>
        </w:rPr>
        <w:t>los procedimientos de auditoría y</w:t>
      </w:r>
      <w:r w:rsidRPr="00CD16A5">
        <w:rPr>
          <w:lang w:val="es-UY" w:eastAsia="es-UY"/>
        </w:rPr>
        <w:t xml:space="preserve"> los hallazgos significativos incluidos que se identificaron en el transcurso de la auditoría.</w:t>
      </w:r>
    </w:p>
    <w:p w:rsidR="0016620C" w:rsidRDefault="0016620C" w:rsidP="00D9173D">
      <w:pPr>
        <w:suppressAutoHyphens w:val="0"/>
        <w:spacing w:line="360" w:lineRule="auto"/>
        <w:jc w:val="both"/>
        <w:rPr>
          <w:rFonts w:cs="Times New Roman"/>
          <w:b/>
          <w:bCs/>
          <w:lang w:eastAsia="es-ES"/>
        </w:rPr>
      </w:pPr>
      <w:r w:rsidRPr="00D9173D">
        <w:rPr>
          <w:rFonts w:cs="Times New Roman"/>
          <w:b/>
          <w:bCs/>
          <w:lang w:eastAsia="es-ES"/>
        </w:rPr>
        <w:t>Informe de cumplimiento de la normativa vigente</w:t>
      </w:r>
    </w:p>
    <w:p w:rsidR="0016620C" w:rsidRDefault="0016620C" w:rsidP="00D9173D">
      <w:pPr>
        <w:suppressAutoHyphens w:val="0"/>
        <w:spacing w:line="360" w:lineRule="auto"/>
        <w:jc w:val="both"/>
        <w:rPr>
          <w:rFonts w:cs="Times New Roman"/>
          <w:bCs/>
          <w:lang w:eastAsia="es-ES"/>
        </w:rPr>
      </w:pPr>
      <w:r w:rsidRPr="00D9173D">
        <w:rPr>
          <w:rFonts w:cs="Times New Roman"/>
          <w:bCs/>
          <w:lang w:eastAsia="es-ES"/>
        </w:rPr>
        <w:t xml:space="preserve">Respecto a los incumplimientos mencionados en el párrafo </w:t>
      </w:r>
      <w:r>
        <w:rPr>
          <w:rFonts w:cs="Times New Roman"/>
          <w:bCs/>
          <w:lang w:eastAsia="es-ES"/>
        </w:rPr>
        <w:t>“</w:t>
      </w:r>
      <w:r w:rsidRPr="00D9173D">
        <w:rPr>
          <w:rFonts w:cs="Times New Roman"/>
          <w:bCs/>
          <w:lang w:eastAsia="es-ES"/>
        </w:rPr>
        <w:t>Opinión respecto al cumplimiento de la normativa legal aplicable</w:t>
      </w:r>
      <w:r>
        <w:rPr>
          <w:rFonts w:cs="Times New Roman"/>
          <w:bCs/>
          <w:lang w:eastAsia="es-ES"/>
        </w:rPr>
        <w:t>”</w:t>
      </w:r>
      <w:r w:rsidRPr="00D9173D">
        <w:rPr>
          <w:rFonts w:cs="Times New Roman"/>
          <w:bCs/>
          <w:lang w:eastAsia="es-ES"/>
        </w:rPr>
        <w:t xml:space="preserve"> corresponde señalar lo siguiente:</w:t>
      </w:r>
    </w:p>
    <w:p w:rsidR="0016620C" w:rsidRPr="00D9173D" w:rsidRDefault="0016620C" w:rsidP="00D9173D">
      <w:pPr>
        <w:suppressAutoHyphens w:val="0"/>
        <w:spacing w:line="360" w:lineRule="auto"/>
        <w:jc w:val="both"/>
        <w:rPr>
          <w:rFonts w:cs="Times New Roman"/>
          <w:bCs/>
          <w:highlight w:val="yellow"/>
          <w:lang w:eastAsia="es-ES"/>
        </w:rPr>
      </w:pPr>
    </w:p>
    <w:p w:rsidR="0016620C" w:rsidRPr="001B6788" w:rsidRDefault="0016620C" w:rsidP="005C51DD">
      <w:pPr>
        <w:spacing w:line="360" w:lineRule="auto"/>
        <w:jc w:val="both"/>
        <w:textAlignment w:val="baseline"/>
        <w:rPr>
          <w:rFonts w:eastAsia="Lucida Sans Unicode"/>
          <w:kern w:val="1"/>
          <w:lang w:val="es-UY" w:eastAsia="en-US"/>
        </w:rPr>
      </w:pPr>
      <w:r w:rsidRPr="001B6788">
        <w:rPr>
          <w:rFonts w:eastAsia="Lucida Sans Unicode"/>
          <w:b/>
          <w:kern w:val="1"/>
          <w:lang w:val="es-UY" w:eastAsia="en-US"/>
        </w:rPr>
        <w:t>1. Artículo 211 Literal B) de la Constitución de la República y Artículos 23 Numeral 7), 87, 103 y 111 del TOCAF:</w:t>
      </w:r>
      <w:r w:rsidRPr="001B6788">
        <w:rPr>
          <w:rFonts w:eastAsia="Lucida Sans Unicode"/>
          <w:kern w:val="1"/>
          <w:lang w:val="es-UY" w:eastAsia="en-US"/>
        </w:rPr>
        <w:t xml:space="preserve"> Se efectuaron gastos que comenzaron a ejecutarse sin haberse recabado previamente la intervención preventiva que compete a este Tribunal. Asimismo, la Contaduría dio curso a documentación y la Tesorería efectuó pagos no intervenidos por este Tribunal.</w:t>
      </w:r>
    </w:p>
    <w:p w:rsidR="0016620C" w:rsidRPr="001B6788" w:rsidRDefault="0016620C" w:rsidP="004B5527">
      <w:pPr>
        <w:suppressAutoHyphens w:val="0"/>
        <w:spacing w:line="360" w:lineRule="auto"/>
        <w:jc w:val="both"/>
        <w:rPr>
          <w:rFonts w:eastAsia="Arial" w:cs="Times New Roman"/>
          <w:bCs/>
          <w:lang w:val="es-UY" w:eastAsia="x-none"/>
        </w:rPr>
      </w:pPr>
      <w:r w:rsidRPr="001B6788">
        <w:rPr>
          <w:rFonts w:eastAsia="Arial" w:cs="Times New Roman"/>
          <w:b/>
          <w:bCs/>
          <w:lang w:val="es-UY" w:eastAsia="x-none"/>
        </w:rPr>
        <w:t>2. Artículo 297 de la Constitución, Artículo 94 del Código Tributario, Artículos 236 a 241 de la Ley N° 13.637</w:t>
      </w:r>
      <w:r w:rsidRPr="001B6788">
        <w:rPr>
          <w:rFonts w:eastAsia="Arial" w:cs="Times New Roman"/>
          <w:b/>
          <w:bCs/>
          <w:lang w:eastAsia="x-none"/>
        </w:rPr>
        <w:t xml:space="preserve"> y</w:t>
      </w:r>
      <w:r w:rsidRPr="001B6788">
        <w:rPr>
          <w:rFonts w:eastAsia="Arial" w:cs="Times New Roman"/>
          <w:b/>
          <w:bCs/>
          <w:lang w:val="es-UY" w:eastAsia="x-none"/>
        </w:rPr>
        <w:t xml:space="preserve"> Artículo 470 de la Ley N° 17.930:</w:t>
      </w:r>
    </w:p>
    <w:p w:rsidR="0016620C" w:rsidRPr="001B6788" w:rsidRDefault="0016620C" w:rsidP="001331F8">
      <w:pPr>
        <w:spacing w:line="360" w:lineRule="auto"/>
        <w:jc w:val="both"/>
        <w:textAlignment w:val="baseline"/>
        <w:rPr>
          <w:rFonts w:eastAsia="Lucida Sans Unicode"/>
          <w:kern w:val="1"/>
          <w:lang w:val="es-UY" w:eastAsia="en-US"/>
        </w:rPr>
      </w:pPr>
      <w:r w:rsidRPr="001B6788">
        <w:rPr>
          <w:rFonts w:eastAsia="Arial" w:cs="Times New Roman"/>
          <w:bCs/>
          <w:lang w:eastAsia="x-none"/>
        </w:rPr>
        <w:t>La Intendencia utilizó porcentajes para aplicar multas a la contribución inmobiliaria rural diferentes a lo que establece la ley,  lo cual excede la potestad tributaria del Gobierno Departamental.</w:t>
      </w:r>
    </w:p>
    <w:p w:rsidR="0016620C" w:rsidRPr="001B6788" w:rsidRDefault="0016620C" w:rsidP="001331F8">
      <w:pPr>
        <w:spacing w:line="360" w:lineRule="auto"/>
        <w:jc w:val="both"/>
        <w:textAlignment w:val="baseline"/>
        <w:rPr>
          <w:rFonts w:eastAsia="Lucida Sans Unicode"/>
          <w:kern w:val="1"/>
          <w:lang w:val="es-UY" w:eastAsia="en-US"/>
        </w:rPr>
      </w:pPr>
      <w:r w:rsidRPr="001B6788">
        <w:rPr>
          <w:rFonts w:eastAsia="Arial" w:cs="Times New Roman"/>
          <w:b/>
          <w:bCs/>
          <w:lang w:eastAsia="x-none"/>
        </w:rPr>
        <w:t>3. Artículo 35 de la Ley Nº 9.515 - Competencias de los Gobiernos Departamentales:</w:t>
      </w:r>
      <w:r w:rsidRPr="001B6788">
        <w:rPr>
          <w:rFonts w:eastAsia="Arial" w:cs="Times New Roman"/>
          <w:bCs/>
          <w:lang w:eastAsia="x-none"/>
        </w:rPr>
        <w:t xml:space="preserve"> La Intendencia participó en la  construcción  de viviendas, en la forma como fuera prevista en los planillados, y observada por este </w:t>
      </w:r>
      <w:r>
        <w:rPr>
          <w:rFonts w:eastAsia="Arial" w:cs="Times New Roman"/>
          <w:bCs/>
          <w:lang w:eastAsia="x-none"/>
        </w:rPr>
        <w:t>Tribunal</w:t>
      </w:r>
      <w:r w:rsidRPr="001B6788">
        <w:rPr>
          <w:rFonts w:eastAsia="Arial" w:cs="Times New Roman"/>
          <w:bCs/>
          <w:lang w:eastAsia="x-none"/>
        </w:rPr>
        <w:t>, en el Presupuesto Quinquenal 2016-2020. Dicha observación no fue aceptada por la Junta Departamental, disponiendo el envío de los antecedentes a la Asamblea General (Artículo 225 de la Constitución</w:t>
      </w:r>
      <w:r>
        <w:rPr>
          <w:rFonts w:eastAsia="Arial" w:cs="Times New Roman"/>
          <w:bCs/>
          <w:lang w:eastAsia="x-none"/>
        </w:rPr>
        <w:t xml:space="preserve"> de la República</w:t>
      </w:r>
      <w:r w:rsidRPr="001B6788">
        <w:rPr>
          <w:rFonts w:eastAsia="Arial" w:cs="Times New Roman"/>
          <w:bCs/>
          <w:lang w:eastAsia="x-none"/>
        </w:rPr>
        <w:t>), la que no se expidió en plazo, por lo que aquélla que</w:t>
      </w:r>
      <w:r w:rsidR="00254637">
        <w:rPr>
          <w:rFonts w:eastAsia="Arial" w:cs="Times New Roman"/>
          <w:bCs/>
          <w:lang w:eastAsia="x-none"/>
        </w:rPr>
        <w:t>dó vigente y está en ejecución.</w:t>
      </w:r>
    </w:p>
    <w:p w:rsidR="0016620C" w:rsidRPr="001B6788" w:rsidRDefault="0016620C" w:rsidP="00A34A57">
      <w:pPr>
        <w:spacing w:line="360" w:lineRule="auto"/>
        <w:jc w:val="both"/>
        <w:textAlignment w:val="baseline"/>
        <w:rPr>
          <w:rFonts w:eastAsia="Lucida Sans Unicode"/>
          <w:kern w:val="1"/>
          <w:lang w:val="es-UY" w:eastAsia="en-US"/>
        </w:rPr>
      </w:pPr>
      <w:r w:rsidRPr="001B6788">
        <w:rPr>
          <w:rFonts w:eastAsia="Lucida Sans Unicode"/>
          <w:b/>
          <w:kern w:val="1"/>
          <w:lang w:val="es-UY" w:eastAsia="en-US"/>
        </w:rPr>
        <w:t>4. Artículo 13 numerales 18) y 19) de la Ley 19.272</w:t>
      </w:r>
    </w:p>
    <w:p w:rsidR="0016620C" w:rsidRPr="001B6788" w:rsidRDefault="0016620C" w:rsidP="00A34A57">
      <w:pPr>
        <w:spacing w:line="360" w:lineRule="auto"/>
        <w:jc w:val="both"/>
        <w:textAlignment w:val="baseline"/>
        <w:rPr>
          <w:rFonts w:eastAsia="Lucida Sans Unicode"/>
          <w:kern w:val="1"/>
          <w:lang w:val="es-UY" w:eastAsia="en-US"/>
        </w:rPr>
      </w:pPr>
      <w:r w:rsidRPr="001B6788">
        <w:rPr>
          <w:rFonts w:eastAsia="Lucida Sans Unicode"/>
          <w:kern w:val="1"/>
          <w:lang w:val="es-UY" w:eastAsia="en-US"/>
        </w:rPr>
        <w:t xml:space="preserve">Los Municipios no presentaron ante el Gobierno Departamental la rendición de cuentas anual. Tampoco realizaron las audiencias </w:t>
      </w:r>
      <w:r w:rsidR="00254637">
        <w:rPr>
          <w:rFonts w:eastAsia="Lucida Sans Unicode"/>
          <w:kern w:val="1"/>
          <w:lang w:val="es-UY" w:eastAsia="en-US"/>
        </w:rPr>
        <w:t>públicas previstas en la norma.</w:t>
      </w:r>
    </w:p>
    <w:p w:rsidR="0016620C" w:rsidRPr="001B6788" w:rsidRDefault="0016620C" w:rsidP="00A34A57">
      <w:pPr>
        <w:suppressAutoHyphens w:val="0"/>
        <w:spacing w:line="360" w:lineRule="auto"/>
        <w:jc w:val="both"/>
        <w:rPr>
          <w:bCs/>
          <w:lang w:eastAsia="es-ES"/>
        </w:rPr>
      </w:pPr>
      <w:r w:rsidRPr="001B6788">
        <w:rPr>
          <w:b/>
          <w:bCs/>
          <w:lang w:eastAsia="es-ES"/>
        </w:rPr>
        <w:t>5. Artículos 84 y 97 del TOCAF:</w:t>
      </w:r>
      <w:r w:rsidRPr="001B6788">
        <w:rPr>
          <w:lang w:eastAsia="es-ES"/>
        </w:rPr>
        <w:t xml:space="preserve"> Si bien </w:t>
      </w:r>
      <w:r w:rsidRPr="001B6788">
        <w:rPr>
          <w:lang w:val="es-ES_tradnl" w:eastAsia="es-ES"/>
        </w:rPr>
        <w:t>la Intendencia mantiene un inventario</w:t>
      </w:r>
      <w:r w:rsidRPr="001B6788">
        <w:rPr>
          <w:bCs/>
          <w:lang w:eastAsia="es-ES"/>
        </w:rPr>
        <w:t>, el mismo no está debidamente valuado ni corresponde a la totalidad</w:t>
      </w:r>
      <w:r w:rsidR="00254637">
        <w:rPr>
          <w:bCs/>
          <w:lang w:eastAsia="es-ES"/>
        </w:rPr>
        <w:t xml:space="preserve"> de los bienes de su propiedad.</w:t>
      </w:r>
    </w:p>
    <w:p w:rsidR="0016620C" w:rsidRPr="001B6788" w:rsidRDefault="0016620C" w:rsidP="00A34A57">
      <w:pPr>
        <w:suppressAutoHyphens w:val="0"/>
        <w:spacing w:line="360" w:lineRule="auto"/>
        <w:jc w:val="both"/>
        <w:rPr>
          <w:bCs/>
          <w:lang w:eastAsia="es-ES"/>
        </w:rPr>
      </w:pPr>
      <w:r w:rsidRPr="001B6788">
        <w:rPr>
          <w:b/>
          <w:bCs/>
          <w:lang w:eastAsia="es-ES"/>
        </w:rPr>
        <w:t>6. Artículos 90 y 154 del TOCAF:</w:t>
      </w:r>
      <w:r w:rsidRPr="001B6788">
        <w:rPr>
          <w:bCs/>
          <w:lang w:eastAsia="es-ES"/>
        </w:rPr>
        <w:t xml:space="preserve"> Los funcionarios que manejan o custodian fondos o valores no poseen </w:t>
      </w:r>
      <w:r w:rsidR="00254637">
        <w:rPr>
          <w:bCs/>
          <w:lang w:eastAsia="es-ES"/>
        </w:rPr>
        <w:t>seguro de caución de fidelidad.</w:t>
      </w:r>
    </w:p>
    <w:p w:rsidR="0016620C" w:rsidRPr="001B6788" w:rsidRDefault="0016620C" w:rsidP="004B5527">
      <w:pPr>
        <w:suppressAutoHyphens w:val="0"/>
        <w:spacing w:line="360" w:lineRule="auto"/>
        <w:jc w:val="both"/>
        <w:rPr>
          <w:bCs/>
          <w:lang w:eastAsia="es-ES"/>
        </w:rPr>
      </w:pPr>
      <w:r w:rsidRPr="001B6788">
        <w:rPr>
          <w:b/>
          <w:bCs/>
          <w:lang w:eastAsia="es-ES"/>
        </w:rPr>
        <w:t xml:space="preserve">7. Artículo 94 del TOCAF y Ordenanza N° 89 del Tribunal de Cuentas: </w:t>
      </w:r>
      <w:r w:rsidRPr="001B6788">
        <w:rPr>
          <w:bCs/>
          <w:lang w:eastAsia="es-ES"/>
        </w:rPr>
        <w:t>No se presentan los estados contables según lo establecido en las citadas normas.</w:t>
      </w:r>
    </w:p>
    <w:p w:rsidR="0016620C" w:rsidRPr="001B6788" w:rsidRDefault="0016620C" w:rsidP="004B5527">
      <w:pPr>
        <w:suppressAutoHyphens w:val="0"/>
        <w:spacing w:line="360" w:lineRule="auto"/>
        <w:jc w:val="both"/>
        <w:rPr>
          <w:bCs/>
          <w:lang w:eastAsia="es-ES"/>
        </w:rPr>
      </w:pPr>
    </w:p>
    <w:p w:rsidR="0016620C" w:rsidRPr="001B6788" w:rsidRDefault="0016620C" w:rsidP="004B5527">
      <w:pPr>
        <w:suppressAutoHyphens w:val="0"/>
        <w:spacing w:line="360" w:lineRule="auto"/>
        <w:jc w:val="both"/>
        <w:rPr>
          <w:rFonts w:cs="Times New Roman"/>
          <w:lang w:eastAsia="es-ES"/>
        </w:rPr>
      </w:pPr>
      <w:r w:rsidRPr="001B6788">
        <w:rPr>
          <w:rFonts w:cs="Times New Roman"/>
          <w:b/>
          <w:bCs/>
          <w:lang w:eastAsia="es-ES"/>
        </w:rPr>
        <w:t xml:space="preserve">8. Artículo 132 del TOCAF: </w:t>
      </w:r>
      <w:r w:rsidRPr="001B6788">
        <w:rPr>
          <w:rFonts w:cs="Times New Roman"/>
          <w:lang w:eastAsia="es-ES"/>
        </w:rPr>
        <w:t>La Intendencia mantuvo en el ejercicio anticipos de fondos a rendir cuenta con una antigüedad superior al plazo establecido por la citada norma.</w:t>
      </w:r>
    </w:p>
    <w:p w:rsidR="0016620C" w:rsidRDefault="0016620C" w:rsidP="004B5527">
      <w:pPr>
        <w:suppressAutoHyphens w:val="0"/>
        <w:spacing w:line="360" w:lineRule="auto"/>
        <w:jc w:val="both"/>
        <w:rPr>
          <w:bCs/>
          <w:lang w:eastAsia="es-ES"/>
        </w:rPr>
      </w:pPr>
      <w:r w:rsidRPr="001B6788">
        <w:rPr>
          <w:b/>
          <w:bCs/>
          <w:lang w:eastAsia="es-ES"/>
        </w:rPr>
        <w:t xml:space="preserve">9. </w:t>
      </w:r>
      <w:r w:rsidRPr="001B6788">
        <w:rPr>
          <w:b/>
          <w:lang w:eastAsia="es-ES"/>
        </w:rPr>
        <w:t>Resolución del Tribunal de Cuentas de fecha 11/05/</w:t>
      </w:r>
      <w:r w:rsidRPr="00A23A3C">
        <w:rPr>
          <w:b/>
          <w:lang w:eastAsia="es-ES"/>
        </w:rPr>
        <w:t xml:space="preserve">2005 sustituida por </w:t>
      </w:r>
      <w:r w:rsidRPr="00A23A3C">
        <w:rPr>
          <w:b/>
          <w:bCs/>
          <w:lang w:eastAsia="es-ES"/>
        </w:rPr>
        <w:t>Ordenanza N° 91 de fecha 28/11/2018 de este Tribunal</w:t>
      </w:r>
      <w:r>
        <w:rPr>
          <w:b/>
          <w:bCs/>
          <w:lang w:eastAsia="es-ES"/>
        </w:rPr>
        <w:t>:</w:t>
      </w:r>
      <w:r w:rsidRPr="00A23A3C">
        <w:rPr>
          <w:b/>
          <w:bCs/>
          <w:lang w:eastAsia="es-ES"/>
        </w:rPr>
        <w:t xml:space="preserve"> </w:t>
      </w:r>
      <w:r w:rsidRPr="001B6788">
        <w:rPr>
          <w:bCs/>
          <w:lang w:eastAsia="es-ES"/>
        </w:rPr>
        <w:t>No se comunicaron al Tribunal los informes de seguimiento elaborados por las Comisiones de Control o por las Oficinas que tengan a su cargo la verificación del cumplimiento de los contratos tal cual lo establece el numeral 3) de la citada Resolución para las concesiones existentes</w:t>
      </w:r>
      <w:r>
        <w:rPr>
          <w:bCs/>
          <w:lang w:eastAsia="es-ES"/>
        </w:rPr>
        <w:t>.</w:t>
      </w:r>
    </w:p>
    <w:p w:rsidR="0016620C" w:rsidRPr="001B6788" w:rsidRDefault="0016620C" w:rsidP="00A34A57">
      <w:pPr>
        <w:suppressAutoHyphens w:val="0"/>
        <w:spacing w:line="360" w:lineRule="auto"/>
        <w:jc w:val="both"/>
        <w:rPr>
          <w:bCs/>
          <w:lang w:eastAsia="es-ES"/>
        </w:rPr>
      </w:pPr>
      <w:r w:rsidRPr="001B6788">
        <w:rPr>
          <w:b/>
          <w:bCs/>
          <w:lang w:eastAsia="es-ES"/>
        </w:rPr>
        <w:t xml:space="preserve">10. </w:t>
      </w:r>
      <w:r w:rsidRPr="001B6788">
        <w:rPr>
          <w:b/>
          <w:lang w:eastAsia="es-ES"/>
        </w:rPr>
        <w:t xml:space="preserve">Ordenanza N° 84 del Tribunal de Cuentas: </w:t>
      </w:r>
      <w:r w:rsidRPr="001B6788">
        <w:rPr>
          <w:lang w:eastAsia="es-ES"/>
        </w:rPr>
        <w:t>Los ingresos por concesiones no han sido clasificados en un capítulo aparte. Asimismo, los ingresos por concepto de multas y recargos no se contabilizaron en los capítulos que les dan origen.</w:t>
      </w:r>
    </w:p>
    <w:p w:rsidR="0016620C" w:rsidRPr="001B6788" w:rsidRDefault="0016620C" w:rsidP="00A34A57">
      <w:pPr>
        <w:spacing w:line="360" w:lineRule="auto"/>
        <w:jc w:val="both"/>
        <w:textAlignment w:val="baseline"/>
        <w:rPr>
          <w:rFonts w:eastAsia="Lucida Sans Unicode"/>
          <w:b/>
          <w:kern w:val="1"/>
          <w:lang w:val="es-UY" w:eastAsia="en-US"/>
        </w:rPr>
      </w:pPr>
      <w:r w:rsidRPr="001B6788">
        <w:rPr>
          <w:b/>
          <w:lang w:eastAsia="es-ES"/>
        </w:rPr>
        <w:t>11.</w:t>
      </w:r>
      <w:r w:rsidRPr="001B6788">
        <w:rPr>
          <w:rFonts w:eastAsia="Lucida Sans Unicode"/>
          <w:b/>
          <w:kern w:val="1"/>
          <w:lang w:val="es-UY" w:eastAsia="en-US"/>
        </w:rPr>
        <w:t xml:space="preserve"> Decretos de la Junta Departamental Nº 3953/2016 y 3969/2017 – Régimen de facilidades de pago de Contribución Inmobiliaria Urbana</w:t>
      </w:r>
    </w:p>
    <w:p w:rsidR="0016620C" w:rsidRPr="001B6788" w:rsidRDefault="0016620C" w:rsidP="00A34A57">
      <w:pPr>
        <w:spacing w:line="360" w:lineRule="auto"/>
        <w:jc w:val="both"/>
        <w:textAlignment w:val="baseline"/>
        <w:rPr>
          <w:rFonts w:eastAsia="Lucida Sans Unicode"/>
          <w:kern w:val="1"/>
          <w:lang w:val="es-UY" w:eastAsia="en-US"/>
        </w:rPr>
      </w:pPr>
      <w:r w:rsidRPr="001B6788">
        <w:rPr>
          <w:rFonts w:eastAsia="Lucida Sans Unicode"/>
          <w:kern w:val="1"/>
          <w:lang w:val="es-UY" w:eastAsia="en-US"/>
        </w:rPr>
        <w:t>No se ha dado cumplimiento a los decretos de referencia en cuanto a que no se produce la baja de los convenios que tengan 3 o má</w:t>
      </w:r>
      <w:r w:rsidR="001F1B39">
        <w:rPr>
          <w:rFonts w:eastAsia="Lucida Sans Unicode"/>
          <w:kern w:val="1"/>
          <w:lang w:val="es-UY" w:eastAsia="en-US"/>
        </w:rPr>
        <w:t>s cuotas consecutivas vencidas.</w:t>
      </w:r>
    </w:p>
    <w:p w:rsidR="0016620C" w:rsidRPr="001B6788" w:rsidRDefault="0016620C" w:rsidP="00A34A57">
      <w:pPr>
        <w:suppressAutoHyphens w:val="0"/>
        <w:spacing w:line="360" w:lineRule="auto"/>
        <w:jc w:val="both"/>
        <w:rPr>
          <w:lang w:eastAsia="es-ES"/>
        </w:rPr>
      </w:pPr>
      <w:r w:rsidRPr="001B6788">
        <w:rPr>
          <w:b/>
          <w:lang w:eastAsia="es-ES"/>
        </w:rPr>
        <w:t>12. Instructivo del Tribunal de fecha 28/01/2004</w:t>
      </w:r>
      <w:r w:rsidRPr="001B6788">
        <w:rPr>
          <w:lang w:eastAsia="es-ES"/>
        </w:rPr>
        <w:t>: El documento presentado de la Rendición de Cuentas no se ajustó en su totalidad a lo dispuesto por esta resolución</w:t>
      </w:r>
      <w:r>
        <w:rPr>
          <w:lang w:eastAsia="es-ES"/>
        </w:rPr>
        <w:t>.</w:t>
      </w:r>
    </w:p>
    <w:p w:rsidR="0016620C" w:rsidRDefault="0016620C" w:rsidP="006D5ACF">
      <w:pPr>
        <w:suppressAutoHyphens w:val="0"/>
        <w:spacing w:line="360" w:lineRule="auto"/>
        <w:ind w:left="3540" w:firstLine="708"/>
        <w:jc w:val="right"/>
        <w:rPr>
          <w:color w:val="000000"/>
        </w:rPr>
      </w:pPr>
      <w:r>
        <w:rPr>
          <w:color w:val="000000"/>
        </w:rPr>
        <w:t xml:space="preserve">Montevideo, </w:t>
      </w:r>
      <w:r w:rsidRPr="00270887">
        <w:rPr>
          <w:color w:val="000000"/>
        </w:rPr>
        <w:t>22 de febrero de 2019</w:t>
      </w:r>
    </w:p>
    <w:p w:rsidR="0016620C" w:rsidRDefault="0016620C">
      <w:pPr>
        <w:suppressAutoHyphens w:val="0"/>
        <w:rPr>
          <w:color w:val="000000"/>
        </w:rPr>
      </w:pPr>
    </w:p>
    <w:p w:rsidR="0016620C" w:rsidRDefault="0016620C">
      <w:pPr>
        <w:suppressAutoHyphens w:val="0"/>
        <w:rPr>
          <w:color w:val="000000"/>
        </w:rPr>
      </w:pPr>
    </w:p>
    <w:p w:rsidR="0016620C" w:rsidRPr="00C925E5" w:rsidRDefault="0016620C" w:rsidP="00A34A57">
      <w:pPr>
        <w:suppressAutoHyphens w:val="0"/>
        <w:rPr>
          <w:rFonts w:cs="Times New Roman"/>
          <w:sz w:val="16"/>
          <w:lang w:eastAsia="es-ES"/>
        </w:rPr>
      </w:pPr>
      <w:proofErr w:type="spellStart"/>
      <w:proofErr w:type="gramStart"/>
      <w:r>
        <w:rPr>
          <w:color w:val="000000"/>
        </w:rPr>
        <w:t>cr</w:t>
      </w:r>
      <w:proofErr w:type="spellEnd"/>
      <w:proofErr w:type="gramEnd"/>
      <w:r>
        <w:rPr>
          <w:color w:val="000000"/>
        </w:rPr>
        <w:br w:type="page"/>
      </w:r>
    </w:p>
    <w:p w:rsidR="0016620C" w:rsidRPr="003A7E3F" w:rsidRDefault="0016620C" w:rsidP="003A7E3F">
      <w:pPr>
        <w:keepNext/>
        <w:spacing w:before="240" w:after="60" w:line="360" w:lineRule="auto"/>
        <w:jc w:val="center"/>
        <w:outlineLvl w:val="0"/>
        <w:rPr>
          <w:b/>
          <w:bCs/>
          <w:kern w:val="1"/>
          <w:szCs w:val="32"/>
        </w:rPr>
      </w:pPr>
      <w:bookmarkStart w:id="3" w:name="_Toc424919768"/>
      <w:r w:rsidRPr="003A7E3F">
        <w:rPr>
          <w:b/>
          <w:bCs/>
          <w:kern w:val="1"/>
          <w:szCs w:val="32"/>
        </w:rPr>
        <w:t>INFORME A LA ADMINISTRACIÓN</w:t>
      </w:r>
      <w:bookmarkEnd w:id="3"/>
    </w:p>
    <w:p w:rsidR="0016620C" w:rsidRPr="003A7E3F" w:rsidRDefault="0016620C" w:rsidP="003A7E3F"/>
    <w:p w:rsidR="0016620C" w:rsidRPr="003A7E3F" w:rsidRDefault="0016620C" w:rsidP="003A7E3F">
      <w:pPr>
        <w:suppressAutoHyphens w:val="0"/>
        <w:spacing w:line="360" w:lineRule="auto"/>
        <w:jc w:val="both"/>
        <w:rPr>
          <w:rFonts w:cs="Times New Roman"/>
          <w:lang w:eastAsia="es-ES"/>
        </w:rPr>
      </w:pPr>
      <w:r w:rsidRPr="003A7E3F">
        <w:rPr>
          <w:lang w:eastAsia="es-ES"/>
        </w:rPr>
        <w:t xml:space="preserve">El Tribunal de Cuentas ha examinado la </w:t>
      </w:r>
      <w:r w:rsidRPr="003A7E3F">
        <w:rPr>
          <w:rFonts w:cs="Times New Roman"/>
          <w:lang w:eastAsia="es-ES"/>
        </w:rPr>
        <w:t>Rendición de Cuentas y Balance de Ejecución Presupuestal de la Intendencia de Maldonado por el ejercicio finalizado al 31/12/2017 y ha emitido su correspondiente Dictamen.</w:t>
      </w:r>
    </w:p>
    <w:p w:rsidR="0016620C" w:rsidRPr="003A7E3F" w:rsidRDefault="0016620C" w:rsidP="003A7E3F">
      <w:pPr>
        <w:suppressAutoHyphens w:val="0"/>
        <w:spacing w:line="360" w:lineRule="auto"/>
        <w:jc w:val="both"/>
        <w:rPr>
          <w:lang w:eastAsia="es-ES"/>
        </w:rPr>
      </w:pPr>
      <w:r w:rsidRPr="003A7E3F">
        <w:rPr>
          <w:lang w:eastAsia="es-ES"/>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16620C" w:rsidRPr="003A7E3F" w:rsidRDefault="0016620C" w:rsidP="003A7E3F">
      <w:pPr>
        <w:suppressAutoHyphens w:val="0"/>
        <w:spacing w:line="360" w:lineRule="auto"/>
        <w:jc w:val="both"/>
        <w:rPr>
          <w:lang w:eastAsia="es-ES"/>
        </w:rPr>
      </w:pPr>
      <w:r w:rsidRPr="003A7E3F">
        <w:rPr>
          <w:lang w:eastAsia="es-ES"/>
        </w:rPr>
        <w:t>También se agregan las principales recomendaciones que deberá atender el Organismo y una evaluación del cumplimiento de las recomendaciones presentadas en el informe de auditoría del ejercicio anterior.</w:t>
      </w:r>
    </w:p>
    <w:p w:rsidR="0016620C" w:rsidRPr="003A7E3F" w:rsidRDefault="001F1B39" w:rsidP="003A7E3F">
      <w:pPr>
        <w:spacing w:line="360" w:lineRule="auto"/>
        <w:jc w:val="both"/>
        <w:outlineLvl w:val="1"/>
        <w:rPr>
          <w:b/>
          <w:bCs/>
          <w:iCs/>
          <w:kern w:val="1"/>
          <w:lang w:eastAsia="ar-SA"/>
        </w:rPr>
      </w:pPr>
      <w:r>
        <w:rPr>
          <w:b/>
          <w:bCs/>
          <w:iCs/>
          <w:kern w:val="1"/>
          <w:lang w:eastAsia="ar-SA"/>
        </w:rPr>
        <w:t>1. Presentación de los Estados</w:t>
      </w:r>
    </w:p>
    <w:p w:rsidR="0016620C" w:rsidRPr="003A7E3F" w:rsidRDefault="0016620C" w:rsidP="003A7E3F">
      <w:pPr>
        <w:suppressAutoHyphens w:val="0"/>
        <w:spacing w:line="360" w:lineRule="auto"/>
        <w:jc w:val="both"/>
        <w:rPr>
          <w:spacing w:val="-3"/>
          <w:lang w:val="es-ES_tradnl" w:eastAsia="es-ES"/>
        </w:rPr>
      </w:pPr>
      <w:r w:rsidRPr="003A7E3F">
        <w:rPr>
          <w:bCs/>
          <w:lang w:eastAsia="es-ES"/>
        </w:rPr>
        <w:t xml:space="preserve">La Rendición de Cuentas y Balance de Ejecución Presupuestal de </w:t>
      </w:r>
      <w:r w:rsidRPr="003A7E3F">
        <w:rPr>
          <w:lang w:eastAsia="es-ES"/>
        </w:rPr>
        <w:t xml:space="preserve">la Intendencia de Maldonado </w:t>
      </w:r>
      <w:r w:rsidRPr="003A7E3F">
        <w:rPr>
          <w:bCs/>
          <w:lang w:eastAsia="es-ES"/>
        </w:rPr>
        <w:t xml:space="preserve">correspondientes al ejercicio finalizado el </w:t>
      </w:r>
      <w:r w:rsidRPr="003A7E3F">
        <w:rPr>
          <w:spacing w:val="-12"/>
          <w:lang w:eastAsia="es-ES"/>
        </w:rPr>
        <w:t>31/12/2017</w:t>
      </w:r>
      <w:r w:rsidRPr="003A7E3F">
        <w:rPr>
          <w:bCs/>
          <w:lang w:eastAsia="es-ES"/>
        </w:rPr>
        <w:t xml:space="preserve">, fueron remitidos por la Junta Departamental </w:t>
      </w:r>
      <w:r w:rsidRPr="003A7E3F">
        <w:rPr>
          <w:spacing w:val="-3"/>
          <w:lang w:val="es-ES_tradnl" w:eastAsia="es-ES"/>
        </w:rPr>
        <w:t>a este Tribunal para realizar su informe.</w:t>
      </w:r>
    </w:p>
    <w:p w:rsidR="0016620C" w:rsidRPr="003A7E3F" w:rsidRDefault="0016620C" w:rsidP="003A7E3F">
      <w:pPr>
        <w:suppressAutoHyphens w:val="0"/>
        <w:spacing w:after="200" w:line="360" w:lineRule="auto"/>
        <w:rPr>
          <w:rFonts w:eastAsia="Calibri"/>
          <w:b/>
          <w:lang w:eastAsia="en-US"/>
        </w:rPr>
      </w:pPr>
      <w:r w:rsidRPr="003A7E3F">
        <w:rPr>
          <w:rFonts w:eastAsia="Calibri"/>
          <w:b/>
          <w:lang w:eastAsia="en-US"/>
        </w:rPr>
        <w:t>2. Evaluación del control interno</w:t>
      </w:r>
      <w:bookmarkStart w:id="4" w:name="__RefHeading__50_1989471150"/>
      <w:bookmarkStart w:id="5" w:name="_Toc435191343"/>
      <w:bookmarkStart w:id="6" w:name="_Toc435794342"/>
      <w:bookmarkEnd w:id="4"/>
    </w:p>
    <w:p w:rsidR="0016620C" w:rsidRPr="003A7E3F" w:rsidRDefault="0016620C" w:rsidP="003A7E3F">
      <w:pPr>
        <w:suppressAutoHyphens w:val="0"/>
        <w:spacing w:after="200" w:line="360" w:lineRule="auto"/>
        <w:contextualSpacing/>
        <w:rPr>
          <w:rFonts w:eastAsia="Calibri"/>
          <w:b/>
          <w:lang w:eastAsia="en-US"/>
        </w:rPr>
      </w:pPr>
      <w:r w:rsidRPr="003A7E3F">
        <w:rPr>
          <w:rFonts w:eastAsia="Calibri"/>
          <w:b/>
          <w:lang w:eastAsia="en-US"/>
        </w:rPr>
        <w:t xml:space="preserve">2.1 </w:t>
      </w:r>
      <w:r w:rsidRPr="003A7E3F">
        <w:rPr>
          <w:rFonts w:cs="Times New Roman"/>
          <w:b/>
          <w:kern w:val="18"/>
          <w:lang w:eastAsia="es-ES"/>
        </w:rPr>
        <w:t>Debilidades respecto a recursos o manejo de fondos</w:t>
      </w:r>
      <w:bookmarkEnd w:id="5"/>
      <w:bookmarkEnd w:id="6"/>
    </w:p>
    <w:p w:rsidR="0016620C" w:rsidRPr="001B6788" w:rsidRDefault="0016620C" w:rsidP="003A7E3F">
      <w:pPr>
        <w:suppressAutoHyphens w:val="0"/>
        <w:spacing w:line="360" w:lineRule="auto"/>
        <w:jc w:val="both"/>
        <w:rPr>
          <w:rFonts w:cs="Times New Roman"/>
          <w:lang w:eastAsia="es-ES"/>
        </w:rPr>
      </w:pPr>
      <w:r w:rsidRPr="003A7E3F">
        <w:rPr>
          <w:rFonts w:cs="Times New Roman"/>
          <w:lang w:eastAsia="es-ES"/>
        </w:rPr>
        <w:t xml:space="preserve">- </w:t>
      </w:r>
      <w:r w:rsidRPr="001B6788">
        <w:rPr>
          <w:rFonts w:cs="Times New Roman"/>
          <w:lang w:eastAsia="es-ES"/>
        </w:rPr>
        <w:t>En la cuenta extrapresupuestal “ingresos a determinar” se imputan los ingresos no identificados y, a medida que identifican el concepto recaudado, lo contabilizan como recurso, permaneciendo importes sin identi</w:t>
      </w:r>
      <w:r w:rsidR="001F1B39">
        <w:rPr>
          <w:rFonts w:cs="Times New Roman"/>
          <w:lang w:eastAsia="es-ES"/>
        </w:rPr>
        <w:t>ficar de ejercicios anteriores.</w:t>
      </w:r>
    </w:p>
    <w:p w:rsidR="0016620C" w:rsidRPr="00270887" w:rsidRDefault="0016620C" w:rsidP="003A7E3F">
      <w:pPr>
        <w:suppressAutoHyphens w:val="0"/>
        <w:spacing w:line="360" w:lineRule="auto"/>
        <w:jc w:val="both"/>
        <w:rPr>
          <w:rFonts w:cs="Times New Roman"/>
          <w:lang w:eastAsia="es-ES"/>
        </w:rPr>
      </w:pPr>
      <w:r w:rsidRPr="00270887">
        <w:rPr>
          <w:rFonts w:cs="Times New Roman"/>
          <w:lang w:eastAsia="es-ES"/>
        </w:rPr>
        <w:t xml:space="preserve">- Las cobranzas con tarjeta de crédito no se registran en forma automática en el sistema contable y el pasaje de dicha información a la contabilidad lleva un atraso de </w:t>
      </w:r>
      <w:r>
        <w:rPr>
          <w:rFonts w:cs="Times New Roman"/>
          <w:lang w:eastAsia="es-ES"/>
        </w:rPr>
        <w:t>algunos</w:t>
      </w:r>
      <w:r w:rsidRPr="00270887">
        <w:rPr>
          <w:rFonts w:cs="Times New Roman"/>
          <w:lang w:eastAsia="es-ES"/>
        </w:rPr>
        <w:t xml:space="preserve"> días. Esta situación se evidencia al realizar los arqueos.</w:t>
      </w:r>
    </w:p>
    <w:p w:rsidR="0016620C" w:rsidRPr="001B6788" w:rsidRDefault="0016620C" w:rsidP="003A7E3F">
      <w:pPr>
        <w:suppressAutoHyphens w:val="0"/>
        <w:autoSpaceDE w:val="0"/>
        <w:spacing w:line="360" w:lineRule="auto"/>
        <w:jc w:val="both"/>
        <w:rPr>
          <w:rFonts w:cs="Times New Roman"/>
          <w:color w:val="FF0000"/>
          <w:lang w:eastAsia="es-ES"/>
        </w:rPr>
      </w:pPr>
      <w:r w:rsidRPr="001B6788">
        <w:rPr>
          <w:rFonts w:cs="Times New Roman"/>
          <w:lang w:eastAsia="es-ES"/>
        </w:rPr>
        <w:t xml:space="preserve">- Del relevamiento realizado surge que no hay instrucciones respecto al tratamiento correcto sobre el </w:t>
      </w:r>
      <w:r w:rsidR="001F1B39">
        <w:rPr>
          <w:rFonts w:cs="Times New Roman"/>
          <w:lang w:eastAsia="es-ES"/>
        </w:rPr>
        <w:t>manejo de los recibos anulados.</w:t>
      </w:r>
    </w:p>
    <w:p w:rsidR="0016620C" w:rsidRPr="001B6788" w:rsidRDefault="0016620C" w:rsidP="003A7E3F">
      <w:pPr>
        <w:suppressAutoHyphens w:val="0"/>
        <w:spacing w:after="200" w:line="360" w:lineRule="auto"/>
        <w:jc w:val="both"/>
        <w:rPr>
          <w:rFonts w:eastAsia="Calibri"/>
          <w:lang w:val="es-UY" w:eastAsia="en-US"/>
        </w:rPr>
      </w:pPr>
      <w:r w:rsidRPr="001B6788">
        <w:rPr>
          <w:rFonts w:cs="Times New Roman"/>
          <w:lang w:eastAsia="es-ES"/>
        </w:rPr>
        <w:t xml:space="preserve">- No se dispone de un registro actualizado de las pólizas recibidas por concepto de garantías de mantenimiento de ofertas o de cumplimiento de los contratos. </w:t>
      </w:r>
      <w:r w:rsidRPr="001B6788">
        <w:rPr>
          <w:rFonts w:eastAsia="Calibri"/>
          <w:lang w:val="es-UY" w:eastAsia="en-US"/>
        </w:rPr>
        <w:t>El saldo de garantías diversas (Rubro 214102) no está actualizado y no refleja los depósitos en garantías rec</w:t>
      </w:r>
      <w:r w:rsidR="001F1B39">
        <w:rPr>
          <w:rFonts w:eastAsia="Calibri"/>
          <w:lang w:val="es-UY" w:eastAsia="en-US"/>
        </w:rPr>
        <w:t>ibidos en las cuentas del BROU.</w:t>
      </w:r>
    </w:p>
    <w:p w:rsidR="0016620C" w:rsidRPr="001B6788" w:rsidRDefault="0016620C" w:rsidP="003A7E3F">
      <w:pPr>
        <w:suppressAutoHyphens w:val="0"/>
        <w:autoSpaceDE w:val="0"/>
        <w:spacing w:line="360" w:lineRule="auto"/>
        <w:jc w:val="both"/>
        <w:rPr>
          <w:rFonts w:cs="Times New Roman"/>
          <w:lang w:eastAsia="es-ES"/>
        </w:rPr>
      </w:pPr>
      <w:r w:rsidRPr="001B6788">
        <w:rPr>
          <w:rFonts w:cs="Times New Roman"/>
          <w:lang w:eastAsia="es-ES"/>
        </w:rPr>
        <w:t>- Respecto a las actas de arqueo, en algunos casos no consta  información de  los comprobantes pendientes de descargo con el detalle por acreedor, documento y concepto del gasto, con indicación de su antigüedad. Asimismo, en arqueos de cheques no se presenta relación con el detalle de fechas y  tributos abonados.</w:t>
      </w:r>
    </w:p>
    <w:p w:rsidR="0016620C" w:rsidRPr="001B6788" w:rsidRDefault="0016620C" w:rsidP="003A7E3F">
      <w:pPr>
        <w:suppressAutoHyphens w:val="0"/>
        <w:autoSpaceDE w:val="0"/>
        <w:spacing w:line="360" w:lineRule="auto"/>
        <w:jc w:val="both"/>
        <w:rPr>
          <w:rFonts w:cs="Times New Roman"/>
          <w:lang w:eastAsia="es-ES"/>
        </w:rPr>
      </w:pPr>
      <w:r w:rsidRPr="001B6788">
        <w:rPr>
          <w:rFonts w:cs="Times New Roman"/>
          <w:lang w:eastAsia="es-ES"/>
        </w:rPr>
        <w:t>- En arqueos realizados, al comparar los vales a rendir por funcionarios con el detalle obtenido del sistema contable se pudo constatar que las fechas de emisión de los vales no coinciden con las fechas de emisión del reporte del sistema contable.</w:t>
      </w:r>
    </w:p>
    <w:p w:rsidR="0016620C" w:rsidRPr="001B6788" w:rsidRDefault="0016620C" w:rsidP="003A7E3F">
      <w:pPr>
        <w:suppressAutoHyphens w:val="0"/>
        <w:autoSpaceDE w:val="0"/>
        <w:spacing w:line="360" w:lineRule="auto"/>
        <w:jc w:val="both"/>
      </w:pPr>
      <w:r w:rsidRPr="001B6788">
        <w:t>- Si bien se realizan tareas de recupero y depuración de convenios por tributos, no se ha implementado un adecuado seguimiento de los mismos para determinar cuáles caducan.</w:t>
      </w:r>
    </w:p>
    <w:p w:rsidR="0016620C" w:rsidRPr="003A7E3F" w:rsidRDefault="0016620C" w:rsidP="003A7E3F">
      <w:pPr>
        <w:suppressAutoHyphens w:val="0"/>
        <w:spacing w:after="200" w:line="360" w:lineRule="auto"/>
        <w:jc w:val="both"/>
        <w:rPr>
          <w:rFonts w:eastAsia="Arial" w:cs="Times New Roman"/>
          <w:bCs/>
          <w:lang w:val="es-UY" w:eastAsia="x-none"/>
        </w:rPr>
      </w:pPr>
      <w:r w:rsidRPr="001B6788">
        <w:t>- Respecto a la Contribución Inmobiliaria Rural, en</w:t>
      </w:r>
      <w:r w:rsidRPr="001B6788">
        <w:rPr>
          <w:rFonts w:eastAsia="Arial" w:cs="Times New Roman"/>
          <w:bCs/>
          <w:lang w:val="es-UY" w:eastAsia="x-none"/>
        </w:rPr>
        <w:t xml:space="preserve"> algunos casos el valor imponible tomado por la Intendencia para calcular el tributo no es igual al obtenido de la cédula catastral de la página web de catastro.</w:t>
      </w:r>
    </w:p>
    <w:p w:rsidR="0016620C" w:rsidRPr="003A7E3F" w:rsidRDefault="0016620C" w:rsidP="003A7E3F">
      <w:pPr>
        <w:tabs>
          <w:tab w:val="left" w:pos="567"/>
          <w:tab w:val="left" w:pos="851"/>
        </w:tabs>
        <w:suppressAutoHyphens w:val="0"/>
        <w:spacing w:line="360" w:lineRule="auto"/>
        <w:jc w:val="both"/>
        <w:outlineLvl w:val="1"/>
        <w:rPr>
          <w:rFonts w:cs="Times New Roman"/>
          <w:b/>
          <w:kern w:val="18"/>
          <w:lang w:eastAsia="es-ES"/>
        </w:rPr>
      </w:pPr>
      <w:bookmarkStart w:id="7" w:name="__RefHeading__52_1989471150"/>
      <w:bookmarkStart w:id="8" w:name="__RefHeading__54_1989471150"/>
      <w:bookmarkStart w:id="9" w:name="_Toc435191345"/>
      <w:bookmarkStart w:id="10" w:name="_Toc435794344"/>
      <w:bookmarkEnd w:id="7"/>
      <w:bookmarkEnd w:id="8"/>
      <w:r w:rsidRPr="003A7E3F">
        <w:rPr>
          <w:rFonts w:cs="Times New Roman"/>
          <w:b/>
          <w:kern w:val="18"/>
          <w:lang w:eastAsia="es-ES"/>
        </w:rPr>
        <w:t>2.2 Respecto al sistema de compras y contrataciones</w:t>
      </w:r>
      <w:bookmarkEnd w:id="9"/>
      <w:bookmarkEnd w:id="10"/>
    </w:p>
    <w:p w:rsidR="0016620C" w:rsidRDefault="0016620C" w:rsidP="003A7E3F">
      <w:pPr>
        <w:suppressAutoHyphens w:val="0"/>
        <w:autoSpaceDE w:val="0"/>
        <w:spacing w:line="360" w:lineRule="auto"/>
        <w:jc w:val="both"/>
        <w:rPr>
          <w:rFonts w:cs="Times New Roman"/>
          <w:lang w:eastAsia="es-ES"/>
        </w:rPr>
      </w:pPr>
      <w:r w:rsidRPr="003A7E3F">
        <w:rPr>
          <w:rFonts w:cs="Times New Roman"/>
          <w:lang w:eastAsia="es-ES"/>
        </w:rPr>
        <w:t>-</w:t>
      </w:r>
      <w:r>
        <w:rPr>
          <w:rFonts w:cs="Times New Roman"/>
          <w:lang w:eastAsia="es-ES"/>
        </w:rPr>
        <w:t xml:space="preserve"> </w:t>
      </w:r>
      <w:r w:rsidRPr="003A7E3F">
        <w:rPr>
          <w:rFonts w:cs="Times New Roman"/>
          <w:lang w:eastAsia="es-ES"/>
        </w:rPr>
        <w:t xml:space="preserve">Si </w:t>
      </w:r>
      <w:r w:rsidRPr="001B6788">
        <w:rPr>
          <w:rFonts w:cs="Times New Roman"/>
          <w:lang w:eastAsia="es-ES"/>
        </w:rPr>
        <w:t>bien se realiza planificación de compras para algunos grupos de artículos, no comprende la totalidad de las compras y contrataciones, lo que no permite asegurar el cumplimiento de los procedimientos de contratación establecidos en el Artículo 33 del TOCAF.</w:t>
      </w:r>
    </w:p>
    <w:p w:rsidR="0016620C" w:rsidRDefault="0016620C" w:rsidP="00270887">
      <w:pPr>
        <w:suppressAutoHyphens w:val="0"/>
        <w:autoSpaceDE w:val="0"/>
        <w:spacing w:line="360" w:lineRule="auto"/>
        <w:jc w:val="both"/>
        <w:rPr>
          <w:rFonts w:cs="Times New Roman"/>
          <w:lang w:eastAsia="es-ES"/>
        </w:rPr>
      </w:pPr>
      <w:r>
        <w:rPr>
          <w:rFonts w:cs="Times New Roman"/>
          <w:lang w:eastAsia="es-ES"/>
        </w:rPr>
        <w:t xml:space="preserve">- Al realizar las compras directas el sistema contable no emite un informe con saldo de disponibilidad presupuestal previa a la imputación del gasto. </w:t>
      </w:r>
      <w:r w:rsidRPr="001B6788">
        <w:rPr>
          <w:rFonts w:cs="Times New Roman"/>
          <w:lang w:eastAsia="es-ES"/>
        </w:rPr>
        <w:t>Tampoco informa los motivos de</w:t>
      </w:r>
      <w:r>
        <w:rPr>
          <w:rFonts w:cs="Times New Roman"/>
          <w:lang w:eastAsia="es-ES"/>
        </w:rPr>
        <w:t xml:space="preserve"> observación del gasto y/o pago ni </w:t>
      </w:r>
      <w:r w:rsidRPr="001B6788">
        <w:rPr>
          <w:rFonts w:cs="Times New Roman"/>
          <w:lang w:eastAsia="es-ES"/>
        </w:rPr>
        <w:t>el ordenador que autoriza</w:t>
      </w:r>
      <w:r w:rsidR="001F1B39">
        <w:rPr>
          <w:rFonts w:cs="Times New Roman"/>
          <w:lang w:eastAsia="es-ES"/>
        </w:rPr>
        <w:t>.</w:t>
      </w:r>
    </w:p>
    <w:p w:rsidR="0016620C" w:rsidRDefault="0016620C" w:rsidP="00156BFB">
      <w:pPr>
        <w:suppressAutoHyphens w:val="0"/>
        <w:spacing w:line="360" w:lineRule="auto"/>
        <w:jc w:val="both"/>
        <w:rPr>
          <w:b/>
          <w:lang w:eastAsia="es-ES"/>
        </w:rPr>
      </w:pPr>
      <w:r>
        <w:rPr>
          <w:b/>
          <w:lang w:eastAsia="es-ES"/>
        </w:rPr>
        <w:t>2</w:t>
      </w:r>
      <w:r w:rsidRPr="001B6788">
        <w:rPr>
          <w:b/>
          <w:lang w:eastAsia="es-ES"/>
        </w:rPr>
        <w:t>.</w:t>
      </w:r>
      <w:r>
        <w:rPr>
          <w:b/>
          <w:lang w:eastAsia="es-ES"/>
        </w:rPr>
        <w:t>3</w:t>
      </w:r>
      <w:r w:rsidRPr="001B6788">
        <w:rPr>
          <w:b/>
          <w:lang w:eastAsia="es-ES"/>
        </w:rPr>
        <w:t xml:space="preserve"> Instructivo del Tribunal de fecha 28/01/2004</w:t>
      </w:r>
    </w:p>
    <w:p w:rsidR="0016620C" w:rsidRPr="001B6788" w:rsidRDefault="0016620C" w:rsidP="00156BFB">
      <w:pPr>
        <w:suppressAutoHyphens w:val="0"/>
        <w:spacing w:line="360" w:lineRule="auto"/>
        <w:jc w:val="both"/>
        <w:rPr>
          <w:lang w:eastAsia="es-ES"/>
        </w:rPr>
      </w:pPr>
      <w:r w:rsidRPr="001B6788">
        <w:rPr>
          <w:lang w:eastAsia="es-ES"/>
        </w:rPr>
        <w:t>El documento presentado de la Rendición de Cuentas no se ajustó</w:t>
      </w:r>
      <w:r>
        <w:rPr>
          <w:lang w:eastAsia="es-ES"/>
        </w:rPr>
        <w:t xml:space="preserve"> totalmente a esta Resolución</w:t>
      </w:r>
      <w:r w:rsidRPr="001B6788">
        <w:rPr>
          <w:lang w:eastAsia="es-ES"/>
        </w:rPr>
        <w:t>, d</w:t>
      </w:r>
      <w:r w:rsidR="001F1B39">
        <w:rPr>
          <w:lang w:eastAsia="es-ES"/>
        </w:rPr>
        <w:t>e acuerdo al siguiente detalle:</w:t>
      </w:r>
    </w:p>
    <w:p w:rsidR="0016620C" w:rsidRPr="00AD7574" w:rsidRDefault="0016620C" w:rsidP="00156BFB">
      <w:pPr>
        <w:suppressAutoHyphens w:val="0"/>
        <w:spacing w:line="360" w:lineRule="auto"/>
        <w:ind w:left="426" w:hanging="426"/>
        <w:jc w:val="both"/>
        <w:rPr>
          <w:bCs/>
          <w:lang w:eastAsia="es-ES"/>
        </w:rPr>
      </w:pPr>
      <w:r w:rsidRPr="00AD7574">
        <w:rPr>
          <w:bCs/>
          <w:lang w:eastAsia="es-ES"/>
        </w:rPr>
        <w:t>-     Estado 1 - No se incluyó el estado demostrativo del grado de cumplimiento de los objetivos y metas programadas, indicando para cada obra las unidades físicas previstas y ejecutadas y los costos resultantes.</w:t>
      </w:r>
    </w:p>
    <w:p w:rsidR="0016620C" w:rsidRPr="00AD7574" w:rsidRDefault="0016620C" w:rsidP="00156BFB">
      <w:pPr>
        <w:numPr>
          <w:ilvl w:val="0"/>
          <w:numId w:val="45"/>
        </w:numPr>
        <w:autoSpaceDE w:val="0"/>
        <w:autoSpaceDN w:val="0"/>
        <w:adjustRightInd w:val="0"/>
        <w:spacing w:line="360" w:lineRule="auto"/>
        <w:jc w:val="both"/>
        <w:textAlignment w:val="baseline"/>
        <w:rPr>
          <w:lang w:eastAsia="es-ES"/>
        </w:rPr>
      </w:pPr>
      <w:r w:rsidRPr="00AD7574">
        <w:rPr>
          <w:lang w:eastAsia="es-ES"/>
        </w:rPr>
        <w:t>Estado 3.5 – No se presenta el Estado de Recursos con destino específico.</w:t>
      </w:r>
    </w:p>
    <w:p w:rsidR="0016620C" w:rsidRPr="00AD7574" w:rsidRDefault="0016620C" w:rsidP="00156BFB">
      <w:pPr>
        <w:numPr>
          <w:ilvl w:val="0"/>
          <w:numId w:val="45"/>
        </w:numPr>
        <w:autoSpaceDE w:val="0"/>
        <w:autoSpaceDN w:val="0"/>
        <w:adjustRightInd w:val="0"/>
        <w:spacing w:line="360" w:lineRule="auto"/>
        <w:jc w:val="both"/>
        <w:textAlignment w:val="baseline"/>
        <w:rPr>
          <w:lang w:eastAsia="es-ES"/>
        </w:rPr>
      </w:pPr>
      <w:r w:rsidRPr="00AD7574">
        <w:rPr>
          <w:lang w:eastAsia="es-ES"/>
        </w:rPr>
        <w:t>Estado 3.6.7 – No se presenta listado de los cheques diferidos de terceros (cheques diferidos a cobrar) con identificación de los recursos que les dieron origen.</w:t>
      </w:r>
    </w:p>
    <w:p w:rsidR="0016620C" w:rsidRPr="00AD7574" w:rsidRDefault="0016620C" w:rsidP="00156BFB">
      <w:pPr>
        <w:numPr>
          <w:ilvl w:val="0"/>
          <w:numId w:val="45"/>
        </w:numPr>
        <w:autoSpaceDE w:val="0"/>
        <w:autoSpaceDN w:val="0"/>
        <w:adjustRightInd w:val="0"/>
        <w:spacing w:line="360" w:lineRule="auto"/>
        <w:jc w:val="both"/>
        <w:textAlignment w:val="baseline"/>
        <w:rPr>
          <w:lang w:eastAsia="es-ES"/>
        </w:rPr>
      </w:pPr>
      <w:r w:rsidRPr="00AD7574">
        <w:rPr>
          <w:lang w:eastAsia="es-ES"/>
        </w:rPr>
        <w:t>Estado 3.8.2 – Detalle de Obligaciones Presupuestales Impagas. No se adjuntan certificaciones de organismos públicos con el detalle de las deudas y las conciliaciones respectivas.</w:t>
      </w:r>
    </w:p>
    <w:p w:rsidR="0016620C" w:rsidRPr="00AD7574" w:rsidRDefault="0016620C" w:rsidP="00156BFB">
      <w:pPr>
        <w:numPr>
          <w:ilvl w:val="0"/>
          <w:numId w:val="45"/>
        </w:numPr>
        <w:autoSpaceDE w:val="0"/>
        <w:autoSpaceDN w:val="0"/>
        <w:adjustRightInd w:val="0"/>
        <w:spacing w:line="360" w:lineRule="auto"/>
        <w:jc w:val="both"/>
        <w:textAlignment w:val="baseline"/>
        <w:rPr>
          <w:lang w:eastAsia="es-ES"/>
        </w:rPr>
      </w:pPr>
      <w:r w:rsidRPr="00AD7574">
        <w:rPr>
          <w:lang w:eastAsia="es-ES"/>
        </w:rPr>
        <w:t>Estado 3.15 – Existencia de activos. No se incluye copia del inventario de activos que integran el patrimonio de la Inten</w:t>
      </w:r>
      <w:r w:rsidR="001F1B39">
        <w:rPr>
          <w:lang w:eastAsia="es-ES"/>
        </w:rPr>
        <w:t>dencia al cierre del ejercicio.</w:t>
      </w:r>
    </w:p>
    <w:p w:rsidR="0016620C" w:rsidRPr="00AD7574" w:rsidRDefault="0016620C" w:rsidP="00156BFB">
      <w:pPr>
        <w:numPr>
          <w:ilvl w:val="0"/>
          <w:numId w:val="45"/>
        </w:numPr>
        <w:suppressAutoHyphens w:val="0"/>
        <w:spacing w:line="360" w:lineRule="auto"/>
        <w:jc w:val="both"/>
        <w:rPr>
          <w:rFonts w:cs="Times New Roman"/>
          <w:b/>
          <w:color w:val="FF0000"/>
          <w:lang w:eastAsia="es-ES"/>
        </w:rPr>
      </w:pPr>
      <w:r w:rsidRPr="00AD7574">
        <w:rPr>
          <w:lang w:eastAsia="es-ES"/>
        </w:rPr>
        <w:t>Los Estados 3.8.1 “Evolución de obligaciones presupuestales impagas”, 3.12 “Fondos Indisponibles” y 3.13 “</w:t>
      </w:r>
      <w:proofErr w:type="spellStart"/>
      <w:r w:rsidRPr="00AD7574">
        <w:rPr>
          <w:lang w:eastAsia="es-ES"/>
        </w:rPr>
        <w:t>Extrapresupuesto</w:t>
      </w:r>
      <w:proofErr w:type="spellEnd"/>
      <w:r w:rsidRPr="00AD7574">
        <w:rPr>
          <w:lang w:eastAsia="es-ES"/>
        </w:rPr>
        <w:t>”, no se elaboraron de acuerdo a lo que establece el Instructivo</w:t>
      </w:r>
      <w:r>
        <w:rPr>
          <w:lang w:eastAsia="es-ES"/>
        </w:rPr>
        <w:t>.</w:t>
      </w:r>
    </w:p>
    <w:p w:rsidR="0016620C" w:rsidRPr="003A7E3F" w:rsidRDefault="0016620C" w:rsidP="00156BFB">
      <w:pPr>
        <w:numPr>
          <w:ilvl w:val="1"/>
          <w:numId w:val="1"/>
        </w:numPr>
        <w:tabs>
          <w:tab w:val="num" w:pos="0"/>
        </w:tabs>
        <w:suppressAutoHyphens w:val="0"/>
        <w:spacing w:line="360" w:lineRule="auto"/>
        <w:jc w:val="both"/>
        <w:outlineLvl w:val="1"/>
        <w:rPr>
          <w:rFonts w:eastAsia="Arial" w:cs="Times New Roman"/>
          <w:bCs/>
          <w:lang w:eastAsia="x-none"/>
        </w:rPr>
      </w:pPr>
      <w:bookmarkStart w:id="11" w:name="_Toc435191341"/>
      <w:bookmarkStart w:id="12" w:name="_Toc435794330"/>
      <w:r w:rsidRPr="003A7E3F">
        <w:rPr>
          <w:b/>
          <w:kern w:val="18"/>
          <w:lang w:eastAsia="es-ES"/>
        </w:rPr>
        <w:t>3. Incumplimiento del Ins</w:t>
      </w:r>
      <w:bookmarkEnd w:id="11"/>
      <w:bookmarkEnd w:id="12"/>
      <w:r w:rsidRPr="003A7E3F">
        <w:rPr>
          <w:b/>
          <w:bCs/>
          <w:kern w:val="18"/>
          <w:lang w:val="es-UY" w:eastAsia="es-ES"/>
        </w:rPr>
        <w:t>tructivo del Tribunal de fecha 28/01/</w:t>
      </w:r>
      <w:r>
        <w:rPr>
          <w:b/>
          <w:bCs/>
          <w:kern w:val="18"/>
          <w:lang w:val="es-UY" w:eastAsia="es-ES"/>
        </w:rPr>
        <w:t>20</w:t>
      </w:r>
      <w:r w:rsidRPr="003A7E3F">
        <w:rPr>
          <w:b/>
          <w:bCs/>
          <w:kern w:val="18"/>
          <w:lang w:val="es-UY" w:eastAsia="es-ES"/>
        </w:rPr>
        <w:t>04</w:t>
      </w:r>
    </w:p>
    <w:p w:rsidR="0016620C" w:rsidRPr="003A7E3F" w:rsidRDefault="0016620C" w:rsidP="00156BFB">
      <w:pPr>
        <w:tabs>
          <w:tab w:val="left" w:pos="567"/>
          <w:tab w:val="left" w:pos="851"/>
        </w:tabs>
        <w:suppressAutoHyphens w:val="0"/>
        <w:spacing w:line="360" w:lineRule="auto"/>
        <w:outlineLvl w:val="1"/>
        <w:rPr>
          <w:rFonts w:cs="Times New Roman"/>
          <w:b/>
          <w:kern w:val="18"/>
          <w:lang w:eastAsia="es-ES"/>
        </w:rPr>
      </w:pPr>
      <w:bookmarkStart w:id="13" w:name="_Toc435794325"/>
      <w:r w:rsidRPr="003A7E3F">
        <w:rPr>
          <w:rFonts w:cs="Times New Roman"/>
          <w:b/>
          <w:kern w:val="18"/>
          <w:lang w:eastAsia="es-ES"/>
        </w:rPr>
        <w:t>3.1 Evolución de Obligaciones Presupuestales Impagas 201</w:t>
      </w:r>
      <w:bookmarkEnd w:id="13"/>
      <w:r w:rsidR="001F1B39">
        <w:rPr>
          <w:rFonts w:cs="Times New Roman"/>
          <w:b/>
          <w:kern w:val="18"/>
          <w:lang w:eastAsia="es-ES"/>
        </w:rPr>
        <w:t>7</w:t>
      </w:r>
    </w:p>
    <w:p w:rsidR="0016620C" w:rsidRPr="003A7E3F" w:rsidRDefault="0016620C" w:rsidP="00156BFB">
      <w:pPr>
        <w:suppressAutoHyphens w:val="0"/>
        <w:spacing w:line="360" w:lineRule="auto"/>
        <w:jc w:val="both"/>
        <w:outlineLvl w:val="1"/>
        <w:rPr>
          <w:kern w:val="18"/>
          <w:lang w:eastAsia="es-ES"/>
        </w:rPr>
      </w:pPr>
      <w:bookmarkStart w:id="14" w:name="_Toc435794326"/>
      <w:r w:rsidRPr="003A7E3F">
        <w:rPr>
          <w:kern w:val="18"/>
          <w:lang w:eastAsia="es-ES"/>
        </w:rPr>
        <w:t>El cuadro presentado no se ajusta al Instructivo de este Tribunal de fecha 28/01/2004 ya que no se exponen por separado las obligaciones presupuestales impagas por gastos presupuestales y las obligaciones generadas por indisponibles.</w:t>
      </w:r>
    </w:p>
    <w:p w:rsidR="0016620C" w:rsidRDefault="0016620C" w:rsidP="00156BFB">
      <w:pPr>
        <w:suppressAutoHyphens w:val="0"/>
        <w:spacing w:line="360" w:lineRule="auto"/>
        <w:jc w:val="both"/>
        <w:outlineLvl w:val="1"/>
        <w:rPr>
          <w:kern w:val="18"/>
          <w:lang w:eastAsia="es-ES"/>
        </w:rPr>
      </w:pPr>
      <w:r w:rsidRPr="003A7E3F">
        <w:rPr>
          <w:kern w:val="18"/>
          <w:lang w:eastAsia="es-ES"/>
        </w:rPr>
        <w:t>El total de Obligaciones generadas en el ejercicio 2017 (que según el Cuadro 3.8.1 asciende a $ 378:771.876) no coincide con el total ejecutado impago presentado en el Cuadro 3.3.2 Ejecución (el cual asciende a $ 371:303.814</w:t>
      </w:r>
      <w:r>
        <w:rPr>
          <w:kern w:val="18"/>
          <w:lang w:eastAsia="es-ES"/>
        </w:rPr>
        <w:t>).</w:t>
      </w:r>
    </w:p>
    <w:p w:rsidR="0016620C" w:rsidRPr="003A7E3F" w:rsidRDefault="0016620C" w:rsidP="00156BFB">
      <w:pPr>
        <w:suppressAutoHyphens w:val="0"/>
        <w:spacing w:line="360" w:lineRule="auto"/>
        <w:jc w:val="both"/>
        <w:outlineLvl w:val="1"/>
        <w:rPr>
          <w:kern w:val="18"/>
          <w:lang w:eastAsia="es-ES"/>
        </w:rPr>
      </w:pPr>
      <w:r w:rsidRPr="003A7E3F">
        <w:rPr>
          <w:kern w:val="18"/>
          <w:lang w:eastAsia="es-ES"/>
        </w:rPr>
        <w:t>En la columna de obligaciones generadas en el ejercicio del cuadro 3.8.1 se incluyen obligaciones negativas de años anteriores que debieron exponerse como ajustes en la columna correspondiente.</w:t>
      </w:r>
    </w:p>
    <w:p w:rsidR="0016620C" w:rsidRPr="003A7E3F" w:rsidRDefault="0016620C" w:rsidP="00156BFB">
      <w:pPr>
        <w:tabs>
          <w:tab w:val="left" w:pos="567"/>
          <w:tab w:val="left" w:pos="851"/>
        </w:tabs>
        <w:suppressAutoHyphens w:val="0"/>
        <w:spacing w:line="360" w:lineRule="auto"/>
        <w:jc w:val="both"/>
        <w:outlineLvl w:val="1"/>
        <w:rPr>
          <w:rFonts w:cs="Times New Roman"/>
          <w:b/>
          <w:kern w:val="18"/>
          <w:lang w:eastAsia="es-ES"/>
        </w:rPr>
      </w:pPr>
      <w:r w:rsidRPr="003A7E3F">
        <w:rPr>
          <w:rFonts w:cs="Times New Roman"/>
          <w:b/>
          <w:kern w:val="18"/>
          <w:lang w:eastAsia="es-ES"/>
        </w:rPr>
        <w:t>3.2 Estado de  Fondos indisponibles</w:t>
      </w:r>
      <w:bookmarkEnd w:id="14"/>
    </w:p>
    <w:p w:rsidR="0016620C" w:rsidRPr="003A7E3F" w:rsidRDefault="0016620C" w:rsidP="00156BFB">
      <w:pPr>
        <w:suppressAutoHyphens w:val="0"/>
        <w:spacing w:line="360" w:lineRule="auto"/>
        <w:jc w:val="both"/>
        <w:outlineLvl w:val="1"/>
        <w:rPr>
          <w:kern w:val="18"/>
          <w:lang w:eastAsia="es-ES"/>
        </w:rPr>
      </w:pPr>
      <w:bookmarkStart w:id="15" w:name="_Toc435794327"/>
      <w:r w:rsidRPr="003A7E3F">
        <w:rPr>
          <w:kern w:val="18"/>
          <w:lang w:eastAsia="es-ES"/>
        </w:rPr>
        <w:t>El Estado de Indisponibles no se presenta conforme al Instructivo de este Tribunal, por lo que el saldo final se debe componer con lo que se informa en      este cuadro y el rubro 211111 “Acreedores por indisponibles” por $ 1:736.817, incluido dentro del cap</w:t>
      </w:r>
      <w:r w:rsidR="001F1B39">
        <w:rPr>
          <w:kern w:val="18"/>
          <w:lang w:eastAsia="es-ES"/>
        </w:rPr>
        <w:t>ítulo “Acreedores comerciales”.</w:t>
      </w:r>
    </w:p>
    <w:p w:rsidR="0016620C" w:rsidRPr="003A7E3F" w:rsidRDefault="0016620C" w:rsidP="00156BFB">
      <w:pPr>
        <w:suppressAutoHyphens w:val="0"/>
        <w:spacing w:line="360" w:lineRule="auto"/>
        <w:jc w:val="both"/>
        <w:outlineLvl w:val="1"/>
        <w:rPr>
          <w:lang w:eastAsia="es-ES"/>
        </w:rPr>
      </w:pPr>
      <w:r w:rsidRPr="003A7E3F">
        <w:rPr>
          <w:lang w:eastAsia="es-ES"/>
        </w:rPr>
        <w:t>Tampoco se detalla la antigüedad al cierre del ejercicio de los saldos no vertidos a los organismos destinatarios.</w:t>
      </w:r>
    </w:p>
    <w:p w:rsidR="0016620C" w:rsidRPr="003A7E3F" w:rsidRDefault="0016620C" w:rsidP="00156BFB">
      <w:pPr>
        <w:suppressAutoHyphens w:val="0"/>
        <w:spacing w:line="360" w:lineRule="auto"/>
        <w:jc w:val="both"/>
        <w:outlineLvl w:val="1"/>
        <w:rPr>
          <w:kern w:val="18"/>
          <w:lang w:eastAsia="es-ES"/>
        </w:rPr>
      </w:pPr>
      <w:r w:rsidRPr="003A7E3F">
        <w:rPr>
          <w:rFonts w:cs="Times New Roman"/>
          <w:b/>
          <w:kern w:val="18"/>
          <w:lang w:eastAsia="es-ES"/>
        </w:rPr>
        <w:t xml:space="preserve">3.3 </w:t>
      </w:r>
      <w:bookmarkEnd w:id="15"/>
      <w:r w:rsidRPr="003A7E3F">
        <w:rPr>
          <w:rFonts w:cs="Times New Roman"/>
          <w:b/>
          <w:kern w:val="18"/>
          <w:lang w:eastAsia="es-ES"/>
        </w:rPr>
        <w:t xml:space="preserve">Cuadro </w:t>
      </w:r>
      <w:proofErr w:type="spellStart"/>
      <w:r w:rsidRPr="003A7E3F">
        <w:rPr>
          <w:rFonts w:cs="Times New Roman"/>
          <w:b/>
          <w:kern w:val="18"/>
          <w:lang w:eastAsia="es-ES"/>
        </w:rPr>
        <w:t>Extrapresupuesto</w:t>
      </w:r>
      <w:proofErr w:type="spellEnd"/>
    </w:p>
    <w:p w:rsidR="0016620C" w:rsidRDefault="0016620C" w:rsidP="00156BFB">
      <w:pPr>
        <w:suppressAutoHyphens w:val="0"/>
        <w:spacing w:line="360" w:lineRule="auto"/>
        <w:jc w:val="both"/>
        <w:rPr>
          <w:kern w:val="18"/>
          <w:lang w:eastAsia="es-ES"/>
        </w:rPr>
      </w:pPr>
      <w:bookmarkStart w:id="16" w:name="_Toc435794328"/>
      <w:r w:rsidRPr="003A7E3F">
        <w:rPr>
          <w:kern w:val="18"/>
          <w:lang w:eastAsia="es-ES"/>
        </w:rPr>
        <w:t xml:space="preserve">Todos los Ingresos y Gastos extrapresupuestales de la Intendencia de Maldonado se exponen afectando el Resultado del Ejercicio, año a año. Por este motivo el Cuadro de Extrapresupuesto no debería arrojar saldo alguno. Sin embargo el </w:t>
      </w:r>
      <w:r>
        <w:rPr>
          <w:kern w:val="18"/>
          <w:lang w:eastAsia="es-ES"/>
        </w:rPr>
        <w:t>mismo</w:t>
      </w:r>
      <w:r w:rsidRPr="003A7E3F">
        <w:rPr>
          <w:kern w:val="18"/>
          <w:lang w:eastAsia="es-ES"/>
        </w:rPr>
        <w:t xml:space="preserve"> presenta un saldo  a pagar de $ 11:038.888.-</w:t>
      </w:r>
    </w:p>
    <w:p w:rsidR="0016620C" w:rsidRPr="003A7E3F" w:rsidRDefault="0016620C" w:rsidP="00156BFB">
      <w:pPr>
        <w:keepNext/>
        <w:tabs>
          <w:tab w:val="num" w:pos="709"/>
        </w:tabs>
        <w:spacing w:line="360" w:lineRule="auto"/>
        <w:outlineLvl w:val="0"/>
        <w:rPr>
          <w:b/>
          <w:bCs/>
          <w:kern w:val="1"/>
          <w:szCs w:val="32"/>
        </w:rPr>
      </w:pPr>
      <w:bookmarkStart w:id="17" w:name="_Toc424919773"/>
      <w:bookmarkEnd w:id="16"/>
      <w:r w:rsidRPr="003A7E3F">
        <w:rPr>
          <w:b/>
          <w:bCs/>
          <w:kern w:val="1"/>
          <w:szCs w:val="32"/>
        </w:rPr>
        <w:t>4.  Recomendaciones</w:t>
      </w:r>
      <w:bookmarkEnd w:id="17"/>
    </w:p>
    <w:p w:rsidR="0016620C" w:rsidRPr="003A7E3F" w:rsidRDefault="0016620C" w:rsidP="00156BFB">
      <w:pPr>
        <w:keepNext/>
        <w:tabs>
          <w:tab w:val="num" w:pos="709"/>
        </w:tabs>
        <w:spacing w:line="360" w:lineRule="auto"/>
        <w:outlineLvl w:val="0"/>
        <w:rPr>
          <w:b/>
          <w:bCs/>
          <w:kern w:val="1"/>
          <w:szCs w:val="32"/>
        </w:rPr>
      </w:pPr>
      <w:r w:rsidRPr="003A7E3F">
        <w:rPr>
          <w:b/>
          <w:bCs/>
          <w:kern w:val="1"/>
          <w:szCs w:val="32"/>
        </w:rPr>
        <w:t>4.1 Recomendaciones del ejercicio anterior cumplidas</w:t>
      </w:r>
    </w:p>
    <w:p w:rsidR="0016620C" w:rsidRPr="001B6788" w:rsidRDefault="0016620C" w:rsidP="00156BFB">
      <w:pPr>
        <w:suppressAutoHyphens w:val="0"/>
        <w:spacing w:line="360" w:lineRule="auto"/>
        <w:jc w:val="both"/>
        <w:rPr>
          <w:rFonts w:cs="Times New Roman"/>
          <w:b/>
          <w:lang w:eastAsia="es-ES"/>
        </w:rPr>
      </w:pPr>
      <w:r w:rsidRPr="001B6788">
        <w:rPr>
          <w:rFonts w:cs="Times New Roman"/>
          <w:b/>
          <w:lang w:eastAsia="es-ES"/>
        </w:rPr>
        <w:t>4.1.1  Artículo 124 del TOCAF</w:t>
      </w:r>
    </w:p>
    <w:p w:rsidR="0016620C" w:rsidRPr="001B6788" w:rsidRDefault="0016620C" w:rsidP="00156BFB">
      <w:pPr>
        <w:suppressAutoHyphens w:val="0"/>
        <w:spacing w:line="360" w:lineRule="auto"/>
        <w:jc w:val="both"/>
        <w:rPr>
          <w:rFonts w:cs="Times New Roman"/>
          <w:lang w:eastAsia="es-ES"/>
        </w:rPr>
      </w:pPr>
      <w:r w:rsidRPr="001B6788">
        <w:rPr>
          <w:rFonts w:cs="Times New Roman"/>
          <w:lang w:eastAsia="es-ES"/>
        </w:rPr>
        <w:t>A los efectos de la intervención tácita, la Intendencia cumplió con verificar que el Tribunal de Cuentas no se haya expedido en los plazos legales o que los mismos se encuentren suspendidos</w:t>
      </w:r>
      <w:r w:rsidR="001F1B39">
        <w:rPr>
          <w:rFonts w:cs="Times New Roman"/>
          <w:lang w:eastAsia="es-ES"/>
        </w:rPr>
        <w:t>.</w:t>
      </w:r>
    </w:p>
    <w:p w:rsidR="0016620C" w:rsidRPr="001B6788" w:rsidRDefault="0016620C" w:rsidP="00156BFB">
      <w:pPr>
        <w:suppressAutoHyphens w:val="0"/>
        <w:spacing w:line="360" w:lineRule="auto"/>
        <w:jc w:val="both"/>
        <w:rPr>
          <w:rFonts w:cs="Times New Roman"/>
          <w:b/>
          <w:lang w:eastAsia="es-ES"/>
        </w:rPr>
      </w:pPr>
      <w:r w:rsidRPr="001B6788">
        <w:rPr>
          <w:rFonts w:cs="Times New Roman"/>
          <w:b/>
          <w:lang w:eastAsia="es-ES"/>
        </w:rPr>
        <w:t>4.1.2 Ejecución presupuestal de la Junta Departamental</w:t>
      </w:r>
    </w:p>
    <w:p w:rsidR="0016620C" w:rsidRPr="001B6788" w:rsidRDefault="0016620C" w:rsidP="00156BFB">
      <w:pPr>
        <w:suppressAutoHyphens w:val="0"/>
        <w:spacing w:line="360" w:lineRule="auto"/>
        <w:jc w:val="both"/>
        <w:rPr>
          <w:rFonts w:cs="Times New Roman"/>
          <w:lang w:eastAsia="es-ES"/>
        </w:rPr>
      </w:pPr>
      <w:r w:rsidRPr="001B6788">
        <w:rPr>
          <w:rFonts w:cs="Times New Roman"/>
          <w:lang w:eastAsia="es-ES"/>
        </w:rPr>
        <w:t>La Intendencia concilió la situación en materia de fondos con la Junta Departamental.</w:t>
      </w:r>
    </w:p>
    <w:p w:rsidR="0016620C" w:rsidRPr="001B6788" w:rsidRDefault="0016620C" w:rsidP="00156BFB">
      <w:pPr>
        <w:suppressAutoHyphens w:val="0"/>
        <w:spacing w:line="360" w:lineRule="auto"/>
        <w:jc w:val="both"/>
        <w:rPr>
          <w:rFonts w:cs="Times New Roman"/>
          <w:b/>
          <w:lang w:eastAsia="es-ES"/>
        </w:rPr>
      </w:pPr>
      <w:r w:rsidRPr="001B6788">
        <w:rPr>
          <w:rFonts w:cs="Times New Roman"/>
          <w:b/>
          <w:lang w:eastAsia="es-ES"/>
        </w:rPr>
        <w:t>4.1.3 Debilidades de control interno respecto a recursos o manejos de fondos</w:t>
      </w:r>
    </w:p>
    <w:p w:rsidR="0016620C" w:rsidRPr="001B6788" w:rsidRDefault="0016620C" w:rsidP="00156BFB">
      <w:pPr>
        <w:suppressAutoHyphens w:val="0"/>
        <w:spacing w:line="360" w:lineRule="auto"/>
        <w:jc w:val="both"/>
        <w:rPr>
          <w:rFonts w:cs="Times New Roman"/>
          <w:lang w:eastAsia="es-ES"/>
        </w:rPr>
      </w:pPr>
      <w:r w:rsidRPr="001B6788">
        <w:rPr>
          <w:rFonts w:cs="Times New Roman"/>
          <w:lang w:eastAsia="es-ES"/>
        </w:rPr>
        <w:t>- Al realizar la conciliación bancaria al cierre de ejercicio, se depuraron partidas conciliatorias y se efectuaron los ajustes contables que correspondían.</w:t>
      </w:r>
    </w:p>
    <w:p w:rsidR="0016620C" w:rsidRPr="003A7E3F" w:rsidRDefault="0016620C" w:rsidP="00156BFB">
      <w:pPr>
        <w:suppressAutoHyphens w:val="0"/>
        <w:spacing w:line="360" w:lineRule="auto"/>
        <w:jc w:val="both"/>
        <w:rPr>
          <w:rFonts w:cs="Times New Roman"/>
          <w:lang w:eastAsia="es-ES"/>
        </w:rPr>
      </w:pPr>
      <w:r w:rsidRPr="001B6788">
        <w:rPr>
          <w:rFonts w:cs="Times New Roman"/>
          <w:lang w:eastAsia="es-ES"/>
        </w:rPr>
        <w:t>- Se dejó expresa constancia de que el Estado 3.6.2 “Movimiento de fondos y valores”, comprende la totalidad de las cuentas bancarias y cajas de la Intendencia.</w:t>
      </w:r>
    </w:p>
    <w:p w:rsidR="0016620C" w:rsidRPr="003A7E3F" w:rsidRDefault="0016620C" w:rsidP="00156BFB">
      <w:pPr>
        <w:keepNext/>
        <w:tabs>
          <w:tab w:val="num" w:pos="432"/>
        </w:tabs>
        <w:spacing w:line="360" w:lineRule="auto"/>
        <w:ind w:left="432" w:hanging="432"/>
        <w:outlineLvl w:val="0"/>
        <w:rPr>
          <w:b/>
          <w:bCs/>
          <w:kern w:val="1"/>
          <w:szCs w:val="32"/>
        </w:rPr>
      </w:pPr>
      <w:bookmarkStart w:id="18" w:name="_Toc424919774"/>
      <w:r w:rsidRPr="003A7E3F">
        <w:rPr>
          <w:b/>
          <w:bCs/>
          <w:kern w:val="1"/>
          <w:szCs w:val="32"/>
        </w:rPr>
        <w:t>4.2 Recomendaciones del ejercicio anterior no cumplidas</w:t>
      </w:r>
      <w:bookmarkEnd w:id="18"/>
    </w:p>
    <w:p w:rsidR="0016620C" w:rsidRPr="001B6788" w:rsidRDefault="0016620C" w:rsidP="00156BFB">
      <w:pPr>
        <w:suppressAutoHyphens w:val="0"/>
        <w:spacing w:line="360" w:lineRule="auto"/>
        <w:jc w:val="both"/>
        <w:rPr>
          <w:rFonts w:cs="Times New Roman"/>
          <w:b/>
          <w:lang w:eastAsia="es-ES"/>
        </w:rPr>
      </w:pPr>
      <w:r w:rsidRPr="001B6788">
        <w:rPr>
          <w:rFonts w:cs="Times New Roman"/>
          <w:b/>
          <w:lang w:eastAsia="es-ES"/>
        </w:rPr>
        <w:t>4.2.1 Artículo 211 Literal B) de la Constitución de la República y Artículos 2</w:t>
      </w:r>
      <w:r w:rsidR="001F1B39">
        <w:rPr>
          <w:rFonts w:cs="Times New Roman"/>
          <w:b/>
          <w:lang w:eastAsia="es-ES"/>
        </w:rPr>
        <w:t>3 Numeral 7, 87 y 111 del TOCAF</w:t>
      </w:r>
    </w:p>
    <w:p w:rsidR="0016620C" w:rsidRPr="001B6788" w:rsidRDefault="0016620C" w:rsidP="00156BFB">
      <w:pPr>
        <w:suppressAutoHyphens w:val="0"/>
        <w:spacing w:line="360" w:lineRule="auto"/>
        <w:jc w:val="both"/>
        <w:rPr>
          <w:rFonts w:cs="Times New Roman"/>
          <w:lang w:eastAsia="es-ES"/>
        </w:rPr>
      </w:pPr>
      <w:r w:rsidRPr="001B6788">
        <w:rPr>
          <w:rFonts w:cs="Times New Roman"/>
          <w:lang w:eastAsia="es-ES"/>
        </w:rPr>
        <w:t>Los gastos que son remitidos a la intervención del Tribunal de Cuentas no estarán en condiciones de ejecutarse, hasta que se haya dictado la resolución correspondiente interviniendo preventivamente el mismo. En el caso de que el gasto sea observado, si el ordenador dispusiera continuar con el mismo deberá reiterarlo previamente a su ejecución y comunicarlo a este Tribunal.</w:t>
      </w:r>
    </w:p>
    <w:p w:rsidR="0016620C" w:rsidRPr="001B6788" w:rsidRDefault="0016620C" w:rsidP="00156BFB">
      <w:pPr>
        <w:suppressAutoHyphens w:val="0"/>
        <w:spacing w:line="360" w:lineRule="auto"/>
        <w:jc w:val="both"/>
        <w:rPr>
          <w:rFonts w:cs="Times New Roman"/>
          <w:lang w:eastAsia="es-ES"/>
        </w:rPr>
      </w:pPr>
      <w:r w:rsidRPr="001B6788">
        <w:rPr>
          <w:rFonts w:cs="Times New Roman"/>
          <w:b/>
          <w:lang w:eastAsia="es-ES"/>
        </w:rPr>
        <w:t>4.2.2 Artículo 297 de la Constitución, Artículo 94 del Código Tributario, Artículos 236 a 241 de la Ley N° 13.637, Artículo 470 de la Ley N° 17.930</w:t>
      </w:r>
    </w:p>
    <w:p w:rsidR="0016620C" w:rsidRPr="001B6788" w:rsidRDefault="0016620C" w:rsidP="00156BFB">
      <w:pPr>
        <w:suppressAutoHyphens w:val="0"/>
        <w:spacing w:line="360" w:lineRule="auto"/>
        <w:jc w:val="both"/>
        <w:rPr>
          <w:rFonts w:cs="Times New Roman"/>
          <w:lang w:eastAsia="es-ES"/>
        </w:rPr>
      </w:pPr>
      <w:r w:rsidRPr="001B6788">
        <w:rPr>
          <w:rFonts w:cs="Times New Roman"/>
          <w:lang w:eastAsia="es-ES"/>
        </w:rPr>
        <w:t>La Intendencia deberá modificar la alícuota de la multa a cobrar por atrasos en la contribución inmobiliaria rural a efectos de cumplir con las normas legales.</w:t>
      </w:r>
    </w:p>
    <w:p w:rsidR="0016620C" w:rsidRPr="001B6788" w:rsidRDefault="0016620C" w:rsidP="00156BFB">
      <w:pPr>
        <w:suppressAutoHyphens w:val="0"/>
        <w:spacing w:line="360" w:lineRule="auto"/>
        <w:jc w:val="both"/>
        <w:rPr>
          <w:rFonts w:cs="Times New Roman"/>
          <w:b/>
          <w:lang w:eastAsia="es-ES"/>
        </w:rPr>
      </w:pPr>
      <w:r w:rsidRPr="001B6788">
        <w:rPr>
          <w:rFonts w:cs="Times New Roman"/>
          <w:b/>
          <w:lang w:eastAsia="es-ES"/>
        </w:rPr>
        <w:t>4.2.3 Ley Nº 9.51</w:t>
      </w:r>
      <w:r w:rsidR="001F1B39">
        <w:rPr>
          <w:rFonts w:cs="Times New Roman"/>
          <w:b/>
          <w:lang w:eastAsia="es-ES"/>
        </w:rPr>
        <w:t>5</w:t>
      </w:r>
    </w:p>
    <w:p w:rsidR="0016620C" w:rsidRPr="001B6788" w:rsidRDefault="0016620C" w:rsidP="00156BFB">
      <w:pPr>
        <w:suppressAutoHyphens w:val="0"/>
        <w:spacing w:line="360" w:lineRule="auto"/>
        <w:jc w:val="both"/>
        <w:rPr>
          <w:rFonts w:cs="Times New Roman"/>
          <w:lang w:eastAsia="es-ES"/>
        </w:rPr>
      </w:pPr>
      <w:r w:rsidRPr="001B6788">
        <w:rPr>
          <w:rFonts w:cs="Times New Roman"/>
          <w:lang w:eastAsia="es-ES"/>
        </w:rPr>
        <w:t>Dentro de las competencias legales de la Intendencia no se encuentran la construcción de viviendas, o los préstamos a particulares para emprendimientos productivos.</w:t>
      </w:r>
    </w:p>
    <w:p w:rsidR="0016620C" w:rsidRPr="001B6788" w:rsidRDefault="0016620C" w:rsidP="00156BFB">
      <w:pPr>
        <w:suppressAutoHyphens w:val="0"/>
        <w:spacing w:line="360" w:lineRule="auto"/>
        <w:jc w:val="both"/>
        <w:rPr>
          <w:rFonts w:cs="Times New Roman"/>
          <w:b/>
          <w:lang w:eastAsia="es-ES"/>
        </w:rPr>
      </w:pPr>
      <w:r>
        <w:rPr>
          <w:rFonts w:cs="Times New Roman"/>
          <w:b/>
          <w:lang w:eastAsia="es-ES"/>
        </w:rPr>
        <w:t>4.2.4 Artículo 33 del TOCAF</w:t>
      </w:r>
    </w:p>
    <w:p w:rsidR="0016620C" w:rsidRDefault="0016620C" w:rsidP="00156BFB">
      <w:pPr>
        <w:suppressAutoHyphens w:val="0"/>
        <w:spacing w:line="360" w:lineRule="auto"/>
        <w:jc w:val="both"/>
        <w:rPr>
          <w:rFonts w:cs="Times New Roman"/>
          <w:lang w:eastAsia="es-ES"/>
        </w:rPr>
      </w:pPr>
      <w:r w:rsidRPr="001B6788">
        <w:rPr>
          <w:rFonts w:cs="Times New Roman"/>
          <w:lang w:eastAsia="es-ES"/>
        </w:rPr>
        <w:t>Se deberá planificar las compras y los requerimientos de servicios anualmente, y contratar los suministros o servicios por grupo de artículos o servicios de un mismo ramo, teniendo en cuenta los procedimientos de contratación establecidos en el Artículo 33 del TOCAF.</w:t>
      </w:r>
    </w:p>
    <w:p w:rsidR="0016620C" w:rsidRPr="001B6788" w:rsidRDefault="0016620C" w:rsidP="00156BFB">
      <w:pPr>
        <w:suppressAutoHyphens w:val="0"/>
        <w:spacing w:line="360" w:lineRule="auto"/>
        <w:jc w:val="both"/>
        <w:rPr>
          <w:rFonts w:cs="Times New Roman"/>
          <w:b/>
          <w:lang w:eastAsia="es-ES"/>
        </w:rPr>
      </w:pPr>
      <w:bookmarkStart w:id="19" w:name="__RefHeading__72_1989471150"/>
      <w:bookmarkStart w:id="20" w:name="__RefHeading__76_1989471150"/>
      <w:bookmarkStart w:id="21" w:name="__RefHeading__78_1989471150"/>
      <w:bookmarkStart w:id="22" w:name="__RefHeading__80_1989471150"/>
      <w:bookmarkStart w:id="23" w:name="__RefHeading__88_1989471150"/>
      <w:bookmarkStart w:id="24" w:name="__RefHeading__90_1989471150"/>
      <w:bookmarkStart w:id="25" w:name="__RefHeading__92_1989471150"/>
      <w:bookmarkStart w:id="26" w:name="__RefHeading__98_1989471150"/>
      <w:bookmarkEnd w:id="19"/>
      <w:bookmarkEnd w:id="20"/>
      <w:bookmarkEnd w:id="21"/>
      <w:bookmarkEnd w:id="22"/>
      <w:bookmarkEnd w:id="23"/>
      <w:bookmarkEnd w:id="24"/>
      <w:bookmarkEnd w:id="25"/>
      <w:bookmarkEnd w:id="26"/>
      <w:r w:rsidRPr="001B6788">
        <w:rPr>
          <w:rFonts w:cs="Times New Roman"/>
          <w:b/>
          <w:lang w:eastAsia="es-ES"/>
        </w:rPr>
        <w:t>4.2.5 Artículo 94 del TOCAF y Ordenanza del Tribunal de Cuentas N° 89</w:t>
      </w:r>
    </w:p>
    <w:p w:rsidR="0016620C" w:rsidRPr="001B6788" w:rsidRDefault="0016620C" w:rsidP="00156BFB">
      <w:pPr>
        <w:suppressAutoHyphens w:val="0"/>
        <w:spacing w:line="360" w:lineRule="auto"/>
        <w:jc w:val="both"/>
        <w:rPr>
          <w:rFonts w:cs="Times New Roman"/>
          <w:lang w:eastAsia="es-ES"/>
        </w:rPr>
      </w:pPr>
      <w:r w:rsidRPr="001B6788">
        <w:rPr>
          <w:rFonts w:cs="Times New Roman"/>
          <w:lang w:eastAsia="es-ES"/>
        </w:rPr>
        <w:t>La Intendencia deberá implementar un sistema de contabilidad, el cual deberá suministrar la información que permita conocer la gestión patrimonial de la misma, conforme a lo establecido en el Artículo 94 del TOCAF y la Ordenanza N° 89 de este Tribunal</w:t>
      </w:r>
      <w:r>
        <w:rPr>
          <w:rFonts w:cs="Times New Roman"/>
          <w:lang w:eastAsia="es-ES"/>
        </w:rPr>
        <w:t>.</w:t>
      </w:r>
    </w:p>
    <w:p w:rsidR="0016620C" w:rsidRPr="001B6788" w:rsidRDefault="0016620C" w:rsidP="00156BFB">
      <w:pPr>
        <w:suppressAutoHyphens w:val="0"/>
        <w:spacing w:line="360" w:lineRule="auto"/>
        <w:jc w:val="both"/>
        <w:rPr>
          <w:rFonts w:cs="Times New Roman"/>
          <w:b/>
          <w:lang w:eastAsia="es-ES"/>
        </w:rPr>
      </w:pPr>
      <w:r>
        <w:rPr>
          <w:rFonts w:cs="Times New Roman"/>
          <w:b/>
          <w:lang w:eastAsia="es-ES"/>
        </w:rPr>
        <w:t>4.2.6 Artículo 128 del TOCAF</w:t>
      </w:r>
    </w:p>
    <w:p w:rsidR="0016620C" w:rsidRPr="001B6788" w:rsidRDefault="0016620C" w:rsidP="00156BFB">
      <w:pPr>
        <w:suppressAutoHyphens w:val="0"/>
        <w:spacing w:line="360" w:lineRule="auto"/>
        <w:jc w:val="both"/>
        <w:rPr>
          <w:rFonts w:cs="Times New Roman"/>
          <w:lang w:eastAsia="es-ES"/>
        </w:rPr>
      </w:pPr>
      <w:r w:rsidRPr="001B6788">
        <w:rPr>
          <w:rFonts w:cs="Times New Roman"/>
          <w:lang w:eastAsia="es-ES"/>
        </w:rPr>
        <w:t>De acuerdo a lo establecido en el numeral 1 del Artículo 128 del TOCAF y el   Instructivo del Tribunal de fecha 28/01/04, la Rendición de Cuentas deberá contener un estado demostrativo del grado de cumplimiento de los objetivos y metas programadas, indicando los previstos y los alc</w:t>
      </w:r>
      <w:r w:rsidR="001F1B39">
        <w:rPr>
          <w:rFonts w:cs="Times New Roman"/>
          <w:lang w:eastAsia="es-ES"/>
        </w:rPr>
        <w:t>anzados, y su costo resultante.</w:t>
      </w:r>
    </w:p>
    <w:p w:rsidR="0016620C" w:rsidRPr="001B6788" w:rsidRDefault="0016620C" w:rsidP="00156BFB">
      <w:pPr>
        <w:suppressAutoHyphens w:val="0"/>
        <w:spacing w:line="360" w:lineRule="auto"/>
        <w:jc w:val="both"/>
        <w:rPr>
          <w:rFonts w:cs="Times New Roman"/>
          <w:b/>
          <w:lang w:eastAsia="es-ES"/>
        </w:rPr>
      </w:pPr>
      <w:r w:rsidRPr="001B6788">
        <w:rPr>
          <w:rFonts w:cs="Times New Roman"/>
          <w:b/>
          <w:lang w:eastAsia="es-ES"/>
        </w:rPr>
        <w:t>4.2.7 Decretos Departamentales – Convenios para regularización de adeudos</w:t>
      </w:r>
    </w:p>
    <w:p w:rsidR="0016620C" w:rsidRPr="001B6788" w:rsidRDefault="0016620C" w:rsidP="00156BFB">
      <w:pPr>
        <w:suppressAutoHyphens w:val="0"/>
        <w:spacing w:line="360" w:lineRule="auto"/>
        <w:jc w:val="both"/>
        <w:rPr>
          <w:rFonts w:cs="Times New Roman"/>
          <w:lang w:eastAsia="es-ES"/>
        </w:rPr>
      </w:pPr>
      <w:r w:rsidRPr="001B6788">
        <w:rPr>
          <w:rFonts w:cs="Times New Roman"/>
          <w:lang w:eastAsia="es-ES"/>
        </w:rPr>
        <w:t xml:space="preserve">Se deberá implementar un mecanismo por medio del cual, automáticamente, caigan los convenios una vez que </w:t>
      </w:r>
      <w:r>
        <w:rPr>
          <w:rFonts w:cs="Times New Roman"/>
          <w:lang w:eastAsia="es-ES"/>
        </w:rPr>
        <w:t>é</w:t>
      </w:r>
      <w:r w:rsidRPr="001B6788">
        <w:rPr>
          <w:rFonts w:cs="Times New Roman"/>
          <w:lang w:eastAsia="es-ES"/>
        </w:rPr>
        <w:t>stos hayan caducado con el no pago de tres cuotas consecutivas y que permita la emisión de listados con información sobre su estado. Asimismo, en caso de aplicar un plan de regularización de adeudos tributarios, se deberá tener en cuenta la normativa en cuanto a plazos de amparo y demás condiciones establecidas en la misma</w:t>
      </w:r>
      <w:r>
        <w:rPr>
          <w:rFonts w:cs="Times New Roman"/>
          <w:lang w:eastAsia="es-ES"/>
        </w:rPr>
        <w:t>.</w:t>
      </w:r>
    </w:p>
    <w:p w:rsidR="0016620C" w:rsidRPr="001B6788" w:rsidRDefault="0016620C" w:rsidP="00156BFB">
      <w:pPr>
        <w:suppressAutoHyphens w:val="0"/>
        <w:spacing w:line="360" w:lineRule="auto"/>
        <w:jc w:val="both"/>
        <w:rPr>
          <w:rFonts w:cs="Times New Roman"/>
          <w:b/>
          <w:lang w:eastAsia="es-ES"/>
        </w:rPr>
      </w:pPr>
      <w:r w:rsidRPr="001B6788">
        <w:rPr>
          <w:rFonts w:cs="Times New Roman"/>
          <w:b/>
          <w:lang w:eastAsia="es-ES"/>
        </w:rPr>
        <w:t>4.2.</w:t>
      </w:r>
      <w:bookmarkStart w:id="27" w:name="_Toc435191359"/>
      <w:bookmarkStart w:id="28" w:name="_Toc435794353"/>
      <w:r w:rsidRPr="001B6788">
        <w:rPr>
          <w:rFonts w:cs="Times New Roman"/>
          <w:b/>
          <w:lang w:eastAsia="es-ES"/>
        </w:rPr>
        <w:t>8 Ordenanza</w:t>
      </w:r>
      <w:r w:rsidR="001F1B39">
        <w:rPr>
          <w:rFonts w:cs="Times New Roman"/>
          <w:b/>
          <w:lang w:eastAsia="es-ES"/>
        </w:rPr>
        <w:t xml:space="preserve"> del Tribunal de Cuentas N° 84</w:t>
      </w:r>
    </w:p>
    <w:bookmarkEnd w:id="27"/>
    <w:bookmarkEnd w:id="28"/>
    <w:p w:rsidR="0016620C" w:rsidRPr="001B6788" w:rsidRDefault="0016620C" w:rsidP="00156BFB">
      <w:pPr>
        <w:suppressAutoHyphens w:val="0"/>
        <w:spacing w:line="360" w:lineRule="auto"/>
        <w:jc w:val="both"/>
        <w:rPr>
          <w:rFonts w:cs="Times New Roman"/>
          <w:lang w:eastAsia="es-ES"/>
        </w:rPr>
      </w:pPr>
      <w:r w:rsidRPr="001B6788">
        <w:rPr>
          <w:rFonts w:cs="Times New Roman"/>
          <w:lang w:eastAsia="es-ES"/>
        </w:rPr>
        <w:t xml:space="preserve">De acuerdo </w:t>
      </w:r>
      <w:r>
        <w:rPr>
          <w:rFonts w:cs="Times New Roman"/>
          <w:lang w:eastAsia="es-ES"/>
        </w:rPr>
        <w:t>con</w:t>
      </w:r>
      <w:r w:rsidRPr="001B6788">
        <w:rPr>
          <w:rFonts w:cs="Times New Roman"/>
          <w:lang w:eastAsia="es-ES"/>
        </w:rPr>
        <w:t xml:space="preserve"> lo señalado en la Ordenanza 84 de este </w:t>
      </w:r>
      <w:r>
        <w:rPr>
          <w:rFonts w:cs="Times New Roman"/>
          <w:lang w:eastAsia="es-ES"/>
        </w:rPr>
        <w:t>Tribunal</w:t>
      </w:r>
      <w:r w:rsidRPr="001B6788">
        <w:rPr>
          <w:rFonts w:cs="Times New Roman"/>
          <w:lang w:eastAsia="es-ES"/>
        </w:rPr>
        <w:t xml:space="preserve"> los ingresos por concesiones deben contabilizarse en un capítulo aparte y las multas y recargos en los capítulos que les dan origen.</w:t>
      </w:r>
    </w:p>
    <w:p w:rsidR="0016620C" w:rsidRPr="001B6788" w:rsidRDefault="0016620C" w:rsidP="00156BFB">
      <w:pPr>
        <w:suppressAutoHyphens w:val="0"/>
        <w:spacing w:line="360" w:lineRule="auto"/>
        <w:jc w:val="both"/>
        <w:rPr>
          <w:rFonts w:cs="Times New Roman"/>
          <w:b/>
          <w:lang w:eastAsia="es-ES"/>
        </w:rPr>
      </w:pPr>
      <w:bookmarkStart w:id="29" w:name="_Toc435191361"/>
      <w:bookmarkStart w:id="30" w:name="_Toc435794354"/>
      <w:r w:rsidRPr="001B6788">
        <w:rPr>
          <w:rFonts w:cs="Times New Roman"/>
          <w:b/>
          <w:lang w:eastAsia="es-ES"/>
        </w:rPr>
        <w:t>4.2.9 Instructivo de</w:t>
      </w:r>
      <w:r w:rsidR="001F1B39">
        <w:rPr>
          <w:rFonts w:cs="Times New Roman"/>
          <w:b/>
          <w:lang w:eastAsia="es-ES"/>
        </w:rPr>
        <w:t>l Tribunal de fecha 21/03/2018</w:t>
      </w:r>
    </w:p>
    <w:bookmarkEnd w:id="29"/>
    <w:bookmarkEnd w:id="30"/>
    <w:p w:rsidR="0016620C" w:rsidRPr="001B6788" w:rsidRDefault="0016620C" w:rsidP="00156BFB">
      <w:pPr>
        <w:suppressAutoHyphens w:val="0"/>
        <w:spacing w:line="360" w:lineRule="auto"/>
        <w:jc w:val="both"/>
        <w:rPr>
          <w:rFonts w:cs="Times New Roman"/>
          <w:lang w:eastAsia="es-ES"/>
        </w:rPr>
      </w:pPr>
      <w:r w:rsidRPr="001B6788">
        <w:rPr>
          <w:rFonts w:cs="Times New Roman"/>
          <w:lang w:eastAsia="es-ES"/>
        </w:rPr>
        <w:t xml:space="preserve">Las Rendiciones de Cuentas que remitan los Gobiernos Departamentales, conforme </w:t>
      </w:r>
      <w:r>
        <w:rPr>
          <w:rFonts w:cs="Times New Roman"/>
          <w:lang w:eastAsia="es-ES"/>
        </w:rPr>
        <w:t>con</w:t>
      </w:r>
      <w:r w:rsidRPr="001B6788">
        <w:rPr>
          <w:rFonts w:cs="Times New Roman"/>
          <w:lang w:eastAsia="es-ES"/>
        </w:rPr>
        <w:t xml:space="preserve"> lo dispuesto en el Artículo 214, aplicable por remisión del Artículo 222 de la Constitución de la República, se deberán presentar de acuerdo </w:t>
      </w:r>
      <w:r>
        <w:rPr>
          <w:rFonts w:cs="Times New Roman"/>
          <w:lang w:eastAsia="es-ES"/>
        </w:rPr>
        <w:t>con e</w:t>
      </w:r>
      <w:r w:rsidRPr="001B6788">
        <w:rPr>
          <w:rFonts w:cs="Times New Roman"/>
          <w:lang w:eastAsia="es-ES"/>
        </w:rPr>
        <w:t>l modelo establecido por la Resolución del Tribunal de Cuentas del 21 de marzo de 2018</w:t>
      </w:r>
      <w:r>
        <w:rPr>
          <w:rFonts w:cs="Times New Roman"/>
          <w:lang w:eastAsia="es-ES"/>
        </w:rPr>
        <w:t>.</w:t>
      </w:r>
    </w:p>
    <w:p w:rsidR="0016620C" w:rsidRPr="001B6788" w:rsidRDefault="0016620C" w:rsidP="00156BFB">
      <w:pPr>
        <w:suppressAutoHyphens w:val="0"/>
        <w:spacing w:line="360" w:lineRule="auto"/>
        <w:jc w:val="both"/>
        <w:rPr>
          <w:rFonts w:cs="Times New Roman"/>
          <w:b/>
          <w:lang w:eastAsia="es-ES"/>
        </w:rPr>
      </w:pPr>
      <w:r w:rsidRPr="001B6788">
        <w:rPr>
          <w:rFonts w:cs="Times New Roman"/>
          <w:b/>
          <w:lang w:eastAsia="es-ES"/>
        </w:rPr>
        <w:t>4.2.10 Artículos 90 y 154 del TOCAF</w:t>
      </w:r>
    </w:p>
    <w:p w:rsidR="0016620C" w:rsidRDefault="0016620C" w:rsidP="00156BFB">
      <w:pPr>
        <w:suppressAutoHyphens w:val="0"/>
        <w:spacing w:line="360" w:lineRule="auto"/>
        <w:jc w:val="both"/>
        <w:rPr>
          <w:rFonts w:cs="Times New Roman"/>
          <w:lang w:eastAsia="es-ES"/>
        </w:rPr>
      </w:pPr>
      <w:r w:rsidRPr="001B6788">
        <w:rPr>
          <w:rFonts w:cs="Times New Roman"/>
          <w:lang w:eastAsia="es-ES"/>
        </w:rPr>
        <w:t>Se deberá contratar seguro de caución de fidelidad para aquellos funcionarios que manejan o custodian fondos o valores</w:t>
      </w:r>
      <w:r>
        <w:rPr>
          <w:rFonts w:cs="Times New Roman"/>
          <w:lang w:eastAsia="es-ES"/>
        </w:rPr>
        <w:t>.</w:t>
      </w:r>
    </w:p>
    <w:p w:rsidR="001F1B39" w:rsidRDefault="001F1B39" w:rsidP="00156BFB">
      <w:pPr>
        <w:suppressAutoHyphens w:val="0"/>
        <w:spacing w:line="360" w:lineRule="auto"/>
        <w:jc w:val="both"/>
        <w:rPr>
          <w:rFonts w:cs="Times New Roman"/>
          <w:lang w:eastAsia="es-ES"/>
        </w:rPr>
      </w:pPr>
    </w:p>
    <w:p w:rsidR="001F1B39" w:rsidRPr="001B6788" w:rsidRDefault="001F1B39" w:rsidP="00156BFB">
      <w:pPr>
        <w:suppressAutoHyphens w:val="0"/>
        <w:spacing w:line="360" w:lineRule="auto"/>
        <w:jc w:val="both"/>
        <w:rPr>
          <w:rFonts w:cs="Times New Roman"/>
          <w:lang w:eastAsia="es-ES"/>
        </w:rPr>
      </w:pPr>
    </w:p>
    <w:p w:rsidR="0016620C" w:rsidRPr="001B6788" w:rsidRDefault="001F1B39" w:rsidP="00156BFB">
      <w:pPr>
        <w:suppressAutoHyphens w:val="0"/>
        <w:spacing w:line="360" w:lineRule="auto"/>
        <w:jc w:val="both"/>
        <w:rPr>
          <w:rFonts w:cs="Times New Roman"/>
          <w:b/>
          <w:lang w:eastAsia="es-ES"/>
        </w:rPr>
      </w:pPr>
      <w:r>
        <w:rPr>
          <w:rFonts w:cs="Times New Roman"/>
          <w:b/>
          <w:lang w:eastAsia="es-ES"/>
        </w:rPr>
        <w:t>4.2.11 Artículo 132 del TOCAF</w:t>
      </w:r>
    </w:p>
    <w:p w:rsidR="0016620C" w:rsidRPr="003A7E3F" w:rsidRDefault="0016620C" w:rsidP="00156BFB">
      <w:pPr>
        <w:suppressAutoHyphens w:val="0"/>
        <w:spacing w:line="360" w:lineRule="auto"/>
        <w:jc w:val="both"/>
        <w:rPr>
          <w:rFonts w:cs="Times New Roman"/>
          <w:lang w:eastAsia="es-ES"/>
        </w:rPr>
      </w:pPr>
      <w:r w:rsidRPr="001B6788">
        <w:rPr>
          <w:rFonts w:cs="Times New Roman"/>
          <w:lang w:eastAsia="es-ES"/>
        </w:rPr>
        <w:t>La Intendencia deberá ajustar los plazos de las rendiciones de cuentas de los vales por adelanto de dinero y los comprobantes pendientes de descargo, de forma que ninguna suma permanezca sin rendir cuenta durante más de 60 días posteriores al mes en que fue recibida</w:t>
      </w:r>
      <w:r w:rsidRPr="008C61A7">
        <w:rPr>
          <w:rFonts w:cs="Times New Roman"/>
          <w:lang w:eastAsia="es-ES"/>
        </w:rPr>
        <w:t>.</w:t>
      </w:r>
    </w:p>
    <w:p w:rsidR="0016620C" w:rsidRPr="003A7E3F" w:rsidRDefault="0016620C" w:rsidP="00156BFB">
      <w:pPr>
        <w:suppressAutoHyphens w:val="0"/>
        <w:spacing w:line="360" w:lineRule="auto"/>
        <w:jc w:val="both"/>
        <w:rPr>
          <w:rFonts w:cs="Times New Roman"/>
          <w:b/>
          <w:lang w:eastAsia="es-ES"/>
        </w:rPr>
      </w:pPr>
      <w:r w:rsidRPr="003A7E3F">
        <w:rPr>
          <w:rFonts w:cs="Times New Roman"/>
          <w:b/>
          <w:lang w:eastAsia="es-ES"/>
        </w:rPr>
        <w:t>4.2.12 Debilidades de control intern</w:t>
      </w:r>
      <w:r w:rsidR="00787C0F">
        <w:rPr>
          <w:rFonts w:cs="Times New Roman"/>
          <w:b/>
          <w:lang w:eastAsia="es-ES"/>
        </w:rPr>
        <w:t>o</w:t>
      </w:r>
    </w:p>
    <w:p w:rsidR="0016620C" w:rsidRPr="008C61A7" w:rsidRDefault="0016620C" w:rsidP="00156BFB">
      <w:pPr>
        <w:suppressAutoHyphens w:val="0"/>
        <w:spacing w:line="360" w:lineRule="auto"/>
        <w:jc w:val="both"/>
        <w:rPr>
          <w:rFonts w:cs="Times New Roman"/>
          <w:lang w:val="es-UY" w:eastAsia="es-ES"/>
        </w:rPr>
      </w:pPr>
      <w:r w:rsidRPr="003A7E3F">
        <w:rPr>
          <w:rFonts w:cs="Times New Roman"/>
          <w:lang w:val="es-UY" w:eastAsia="es-ES"/>
        </w:rPr>
        <w:t xml:space="preserve">Deberán adoptarse las medidas pertinentes para el levantamiento de las </w:t>
      </w:r>
      <w:proofErr w:type="gramStart"/>
      <w:r w:rsidRPr="003A7E3F">
        <w:rPr>
          <w:rFonts w:cs="Times New Roman"/>
          <w:lang w:val="es-UY" w:eastAsia="es-ES"/>
        </w:rPr>
        <w:t>debilidades</w:t>
      </w:r>
      <w:proofErr w:type="gramEnd"/>
      <w:r w:rsidRPr="003A7E3F">
        <w:rPr>
          <w:rFonts w:cs="Times New Roman"/>
          <w:lang w:val="es-UY" w:eastAsia="es-ES"/>
        </w:rPr>
        <w:t xml:space="preserve"> señaladas en el punto </w:t>
      </w:r>
      <w:r w:rsidRPr="005B0525">
        <w:rPr>
          <w:rFonts w:cs="Times New Roman"/>
          <w:lang w:val="es-UY" w:eastAsia="es-ES"/>
        </w:rPr>
        <w:t>2</w:t>
      </w:r>
      <w:r w:rsidRPr="003A7E3F">
        <w:rPr>
          <w:rFonts w:cs="Times New Roman"/>
          <w:lang w:val="es-UY" w:eastAsia="es-ES"/>
        </w:rPr>
        <w:t xml:space="preserve"> del presente </w:t>
      </w:r>
      <w:r w:rsidRPr="008C61A7">
        <w:rPr>
          <w:rFonts w:cs="Times New Roman"/>
          <w:lang w:val="es-UY" w:eastAsia="es-ES"/>
        </w:rPr>
        <w:t>informe y que, en su mayoría,  ya habían sido infor</w:t>
      </w:r>
      <w:r w:rsidR="001F1B39">
        <w:rPr>
          <w:rFonts w:cs="Times New Roman"/>
          <w:lang w:val="es-UY" w:eastAsia="es-ES"/>
        </w:rPr>
        <w:t>madas en el ejercicio anterior.</w:t>
      </w:r>
    </w:p>
    <w:p w:rsidR="0016620C" w:rsidRPr="003A7E3F" w:rsidRDefault="0016620C" w:rsidP="00156BFB">
      <w:pPr>
        <w:spacing w:line="360" w:lineRule="auto"/>
        <w:jc w:val="both"/>
        <w:rPr>
          <w:b/>
        </w:rPr>
      </w:pPr>
      <w:r w:rsidRPr="003A7E3F">
        <w:rPr>
          <w:b/>
        </w:rPr>
        <w:t>4.3 Recomendaciones del presente ejercicio</w:t>
      </w:r>
    </w:p>
    <w:p w:rsidR="0016620C" w:rsidRPr="003A7E3F" w:rsidRDefault="0016620C" w:rsidP="00156BFB">
      <w:pPr>
        <w:spacing w:line="360" w:lineRule="auto"/>
        <w:jc w:val="both"/>
        <w:rPr>
          <w:color w:val="000000"/>
        </w:rPr>
      </w:pPr>
      <w:r w:rsidRPr="003A7E3F">
        <w:rPr>
          <w:color w:val="000000"/>
        </w:rPr>
        <w:t xml:space="preserve">Se reiteran las recomendaciones </w:t>
      </w:r>
      <w:r w:rsidRPr="003A7E3F">
        <w:rPr>
          <w:lang w:eastAsia="es-ES"/>
        </w:rPr>
        <w:t>no cumplidas de ejercicios anteriores</w:t>
      </w:r>
      <w:r>
        <w:rPr>
          <w:lang w:eastAsia="es-ES"/>
        </w:rPr>
        <w:t>.</w:t>
      </w:r>
    </w:p>
    <w:p w:rsidR="0016620C" w:rsidRPr="003A7E3F" w:rsidRDefault="0016620C" w:rsidP="00156BFB">
      <w:pPr>
        <w:tabs>
          <w:tab w:val="left" w:pos="360"/>
        </w:tabs>
        <w:spacing w:line="360" w:lineRule="auto"/>
        <w:jc w:val="right"/>
        <w:rPr>
          <w:color w:val="000000"/>
        </w:rPr>
      </w:pPr>
      <w:r w:rsidRPr="003A7E3F">
        <w:rPr>
          <w:color w:val="000000"/>
        </w:rPr>
        <w:t xml:space="preserve">Montevideo, </w:t>
      </w:r>
      <w:r w:rsidRPr="009D301C">
        <w:rPr>
          <w:color w:val="000000"/>
        </w:rPr>
        <w:t>22 de febrero de 2019</w:t>
      </w:r>
    </w:p>
    <w:p w:rsidR="0016620C" w:rsidRDefault="0016620C" w:rsidP="0016620C">
      <w:pPr>
        <w:suppressAutoHyphens w:val="0"/>
        <w:rPr>
          <w:color w:val="000000"/>
        </w:rPr>
      </w:pPr>
      <w:proofErr w:type="spellStart"/>
      <w:proofErr w:type="gramStart"/>
      <w:r>
        <w:rPr>
          <w:color w:val="000000"/>
        </w:rPr>
        <w:t>cr</w:t>
      </w:r>
      <w:proofErr w:type="spellEnd"/>
      <w:proofErr w:type="gramEnd"/>
    </w:p>
    <w:sectPr w:rsidR="0016620C" w:rsidSect="00A22BA9">
      <w:headerReference w:type="default" r:id="rId9"/>
      <w:footerReference w:type="default" r:id="rId10"/>
      <w:type w:val="continuous"/>
      <w:pgSz w:w="11906" w:h="16838" w:code="9"/>
      <w:pgMar w:top="3402" w:right="1701" w:bottom="1418" w:left="1701" w:header="720" w:footer="720" w:gutter="0"/>
      <w:paperSrc w:first="4" w:other="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EC1" w:rsidRDefault="00886EC1">
      <w:r>
        <w:separator/>
      </w:r>
    </w:p>
  </w:endnote>
  <w:endnote w:type="continuationSeparator" w:id="0">
    <w:p w:rsidR="00886EC1" w:rsidRDefault="0088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5" w:rsidRDefault="00F67E88">
    <w:pPr>
      <w:ind w:right="360"/>
    </w:pPr>
    <w:r>
      <w:rPr>
        <w:noProof/>
        <w:lang w:val="es-UY" w:eastAsia="es-UY"/>
      </w:rPr>
      <mc:AlternateContent>
        <mc:Choice Requires="wps">
          <w:drawing>
            <wp:anchor distT="0" distB="0" distL="0" distR="0" simplePos="0" relativeHeight="251657216" behindDoc="0" locked="0" layoutInCell="1" allowOverlap="1" wp14:anchorId="1272A022" wp14:editId="5275E981">
              <wp:simplePos x="0" y="0"/>
              <wp:positionH relativeFrom="margin">
                <wp:align>center</wp:align>
              </wp:positionH>
              <wp:positionV relativeFrom="paragraph">
                <wp:posOffset>635</wp:posOffset>
              </wp:positionV>
              <wp:extent cx="85090" cy="174625"/>
              <wp:effectExtent l="0" t="635" r="635" b="571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945" w:rsidRDefault="00451945">
                          <w:pPr>
                            <w:pStyle w:val="Piedepgina"/>
                          </w:pPr>
                          <w:r>
                            <w:rPr>
                              <w:rStyle w:val="Nmerodepgina"/>
                            </w:rPr>
                            <w:fldChar w:fldCharType="begin"/>
                          </w:r>
                          <w:r>
                            <w:rPr>
                              <w:rStyle w:val="Nmerodepgina"/>
                            </w:rPr>
                            <w:instrText xml:space="preserve"> PAGE </w:instrText>
                          </w:r>
                          <w:r>
                            <w:rPr>
                              <w:rStyle w:val="Nmerodepgina"/>
                            </w:rPr>
                            <w:fldChar w:fldCharType="separate"/>
                          </w:r>
                          <w:r w:rsidR="00787C0F">
                            <w:rPr>
                              <w:rStyle w:val="Nmerodepgina"/>
                              <w:noProof/>
                            </w:rPr>
                            <w:t>13</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6.7pt;height:13.7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" stroked="f">
              <v:fill opacity="0"/>
              <v:textbox inset="0,0,0,0">
                <w:txbxContent>
                  <w:p w:rsidR="00451945" w:rsidRDefault="00451945">
                    <w:pPr>
                      <w:pStyle w:val="Piedepgina"/>
                    </w:pPr>
                    <w:r>
                      <w:rPr>
                        <w:rStyle w:val="Nmerodepgina"/>
                      </w:rPr>
                      <w:fldChar w:fldCharType="begin"/>
                    </w:r>
                    <w:r>
                      <w:rPr>
                        <w:rStyle w:val="Nmerodepgina"/>
                      </w:rPr>
                      <w:instrText xml:space="preserve"> PAGE </w:instrText>
                    </w:r>
                    <w:r>
                      <w:rPr>
                        <w:rStyle w:val="Nmerodepgina"/>
                      </w:rPr>
                      <w:fldChar w:fldCharType="separate"/>
                    </w:r>
                    <w:r w:rsidR="00787C0F">
                      <w:rPr>
                        <w:rStyle w:val="Nmerodepgina"/>
                        <w:noProof/>
                      </w:rPr>
                      <w:t>13</w:t>
                    </w:r>
                    <w:r>
                      <w:rPr>
                        <w:rStyle w:val="Nmerodepgina"/>
                      </w:rPr>
                      <w:fldChar w:fldCharType="end"/>
                    </w:r>
                  </w:p>
                </w:txbxContent>
              </v:textbox>
              <w10:wrap type="square" side="largest" anchorx="margin"/>
            </v:shape>
          </w:pict>
        </mc:Fallback>
      </mc:AlternateContent>
    </w:r>
    <w:r>
      <w:rPr>
        <w:noProof/>
        <w:lang w:val="es-UY" w:eastAsia="es-UY"/>
      </w:rPr>
      <mc:AlternateContent>
        <mc:Choice Requires="wps">
          <w:drawing>
            <wp:anchor distT="0" distB="0" distL="0" distR="0" simplePos="0" relativeHeight="251658240" behindDoc="0" locked="0" layoutInCell="1" allowOverlap="1" wp14:anchorId="108BD9B3" wp14:editId="602B67B7">
              <wp:simplePos x="0" y="0"/>
              <wp:positionH relativeFrom="page">
                <wp:posOffset>6465570</wp:posOffset>
              </wp:positionH>
              <wp:positionV relativeFrom="paragraph">
                <wp:posOffset>635</wp:posOffset>
              </wp:positionV>
              <wp:extent cx="13970" cy="174625"/>
              <wp:effectExtent l="7620" t="635" r="6985" b="571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945" w:rsidRDefault="004519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09.1pt;margin-top:.05pt;width:1.1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" stroked="f">
              <v:fill opacity="0"/>
              <v:textbox inset="0,0,0,0">
                <w:txbxContent>
                  <w:p w:rsidR="00451945" w:rsidRDefault="00451945"/>
                </w:txbxContent>
              </v:textbox>
              <w10:wrap type="square" side="largest" anchorx="page"/>
            </v:shape>
          </w:pict>
        </mc:Fallback>
      </mc:AlternateContent>
    </w:r>
    <w:r w:rsidR="00451945">
      <w:rPr>
        <w:rFonts w:eastAsia="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EC1" w:rsidRDefault="00886EC1">
      <w:r>
        <w:separator/>
      </w:r>
    </w:p>
  </w:footnote>
  <w:footnote w:type="continuationSeparator" w:id="0">
    <w:p w:rsidR="00886EC1" w:rsidRDefault="00886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5" w:rsidRDefault="00451945">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8"/>
    <w:lvl w:ilvl="0">
      <w:start w:val="3"/>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singleLevel"/>
    <w:tmpl w:val="00000003"/>
    <w:name w:val="WW8Num11"/>
    <w:lvl w:ilvl="0">
      <w:start w:val="1"/>
      <w:numFmt w:val="decimal"/>
      <w:lvlText w:val="%1)"/>
      <w:lvlJc w:val="left"/>
      <w:pPr>
        <w:tabs>
          <w:tab w:val="num" w:pos="360"/>
        </w:tabs>
        <w:ind w:left="360" w:hanging="360"/>
      </w:pPr>
      <w:rPr>
        <w:b/>
      </w:rPr>
    </w:lvl>
  </w:abstractNum>
  <w:abstractNum w:abstractNumId="3">
    <w:nsid w:val="00000005"/>
    <w:multiLevelType w:val="singleLevel"/>
    <w:tmpl w:val="00000005"/>
    <w:name w:val="WW8Num22"/>
    <w:lvl w:ilvl="0">
      <w:start w:val="1"/>
      <w:numFmt w:val="decimal"/>
      <w:lvlText w:val="%1-"/>
      <w:lvlJc w:val="left"/>
      <w:pPr>
        <w:tabs>
          <w:tab w:val="num" w:pos="951"/>
        </w:tabs>
        <w:ind w:left="951" w:hanging="525"/>
      </w:pPr>
      <w:rPr>
        <w:rFonts w:cs="Arial"/>
        <w:b/>
        <w:bCs/>
        <w:i w:val="0"/>
        <w:color w:val="000000"/>
      </w:rPr>
    </w:lvl>
  </w:abstractNum>
  <w:abstractNum w:abstractNumId="4">
    <w:nsid w:val="0A8F3748"/>
    <w:multiLevelType w:val="hybridMultilevel"/>
    <w:tmpl w:val="FA925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E74C9D"/>
    <w:multiLevelType w:val="hybridMultilevel"/>
    <w:tmpl w:val="1D9E77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14BE7371"/>
    <w:multiLevelType w:val="multilevel"/>
    <w:tmpl w:val="00000002"/>
    <w:lvl w:ilvl="0">
      <w:start w:val="3"/>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nsid w:val="19021FDB"/>
    <w:multiLevelType w:val="hybridMultilevel"/>
    <w:tmpl w:val="6E96F1AA"/>
    <w:lvl w:ilvl="0" w:tplc="6DD054F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1AF56CE5"/>
    <w:multiLevelType w:val="hybridMultilevel"/>
    <w:tmpl w:val="E31AEC12"/>
    <w:lvl w:ilvl="0" w:tplc="530C452A">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nsid w:val="1B9D015F"/>
    <w:multiLevelType w:val="hybridMultilevel"/>
    <w:tmpl w:val="1D12859C"/>
    <w:lvl w:ilvl="0" w:tplc="A8BA89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11">
    <w:nsid w:val="3A7E2F76"/>
    <w:multiLevelType w:val="hybridMultilevel"/>
    <w:tmpl w:val="6C58DBF4"/>
    <w:lvl w:ilvl="0" w:tplc="00000003">
      <w:numFmt w:val="bullet"/>
      <w:lvlText w:val="-"/>
      <w:lvlJc w:val="left"/>
      <w:pPr>
        <w:ind w:left="360" w:hanging="360"/>
      </w:pPr>
      <w:rPr>
        <w:rFonts w:ascii="Times New Roman" w:hAnsi="Times New Roman" w:cs="Times New Roman"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2">
    <w:nsid w:val="3F557320"/>
    <w:multiLevelType w:val="multilevel"/>
    <w:tmpl w:val="F858E5CA"/>
    <w:lvl w:ilvl="0">
      <w:start w:val="1"/>
      <w:numFmt w:val="decimal"/>
      <w:lvlText w:val="%1."/>
      <w:lvlJc w:val="left"/>
      <w:pPr>
        <w:tabs>
          <w:tab w:val="num" w:pos="720"/>
        </w:tabs>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4687E56"/>
    <w:multiLevelType w:val="hybridMultilevel"/>
    <w:tmpl w:val="068A5F6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nsid w:val="62E70D54"/>
    <w:multiLevelType w:val="multilevel"/>
    <w:tmpl w:val="00000002"/>
    <w:lvl w:ilvl="0">
      <w:start w:val="3"/>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nsid w:val="667846AE"/>
    <w:multiLevelType w:val="multilevel"/>
    <w:tmpl w:val="00000002"/>
    <w:lvl w:ilvl="0">
      <w:start w:val="3"/>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nsid w:val="7E97481F"/>
    <w:multiLevelType w:val="hybridMultilevel"/>
    <w:tmpl w:val="0778F55E"/>
    <w:lvl w:ilvl="0" w:tplc="FFFFFFFF">
      <w:start w:val="1"/>
      <w:numFmt w:val="bullet"/>
      <w:lvlText w:val="o"/>
      <w:lvlJc w:val="left"/>
      <w:pPr>
        <w:tabs>
          <w:tab w:val="num" w:pos="1440"/>
        </w:tabs>
        <w:ind w:left="1440" w:hanging="360"/>
      </w:pPr>
      <w:rPr>
        <w:rFonts w:ascii="Courier New" w:hAnsi="Courier New"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15"/>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6"/>
  </w:num>
  <w:num w:numId="16">
    <w:abstractNumId w:val="0"/>
  </w:num>
  <w:num w:numId="17">
    <w:abstractNumId w:val="0"/>
  </w:num>
  <w:num w:numId="18">
    <w:abstractNumId w:val="14"/>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13"/>
  </w:num>
  <w:num w:numId="38">
    <w:abstractNumId w:val="10"/>
  </w:num>
  <w:num w:numId="39">
    <w:abstractNumId w:val="0"/>
  </w:num>
  <w:num w:numId="40">
    <w:abstractNumId w:val="0"/>
  </w:num>
  <w:num w:numId="41">
    <w:abstractNumId w:val="4"/>
  </w:num>
  <w:num w:numId="42">
    <w:abstractNumId w:val="9"/>
  </w:num>
  <w:num w:numId="43">
    <w:abstractNumId w:val="7"/>
  </w:num>
  <w:num w:numId="44">
    <w:abstractNumId w:val="8"/>
  </w:num>
  <w:num w:numId="45">
    <w:abstractNumId w:val="11"/>
  </w:num>
  <w:num w:numId="46">
    <w:abstractNumId w:val="5"/>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54"/>
    <w:rsid w:val="00002C45"/>
    <w:rsid w:val="00003318"/>
    <w:rsid w:val="000060AE"/>
    <w:rsid w:val="00014FFF"/>
    <w:rsid w:val="000174D9"/>
    <w:rsid w:val="0003140D"/>
    <w:rsid w:val="000500AD"/>
    <w:rsid w:val="00050BC7"/>
    <w:rsid w:val="00052BF6"/>
    <w:rsid w:val="00054CB3"/>
    <w:rsid w:val="00055D6C"/>
    <w:rsid w:val="00063166"/>
    <w:rsid w:val="000747FD"/>
    <w:rsid w:val="00082469"/>
    <w:rsid w:val="00097EB5"/>
    <w:rsid w:val="000C0FDC"/>
    <w:rsid w:val="000C3271"/>
    <w:rsid w:val="000C6424"/>
    <w:rsid w:val="000D18CC"/>
    <w:rsid w:val="000D1964"/>
    <w:rsid w:val="000E01E3"/>
    <w:rsid w:val="000E10D4"/>
    <w:rsid w:val="000E3627"/>
    <w:rsid w:val="000E4841"/>
    <w:rsid w:val="000E7D89"/>
    <w:rsid w:val="000F0FA8"/>
    <w:rsid w:val="000F50E3"/>
    <w:rsid w:val="000F760E"/>
    <w:rsid w:val="001048F0"/>
    <w:rsid w:val="00124DCC"/>
    <w:rsid w:val="001331F8"/>
    <w:rsid w:val="00142BF9"/>
    <w:rsid w:val="001465A7"/>
    <w:rsid w:val="00147F9B"/>
    <w:rsid w:val="00151958"/>
    <w:rsid w:val="00157088"/>
    <w:rsid w:val="00160F22"/>
    <w:rsid w:val="0016620C"/>
    <w:rsid w:val="00173778"/>
    <w:rsid w:val="001774AF"/>
    <w:rsid w:val="001877DC"/>
    <w:rsid w:val="00195AF3"/>
    <w:rsid w:val="001A3917"/>
    <w:rsid w:val="001B2E7C"/>
    <w:rsid w:val="001B6788"/>
    <w:rsid w:val="001C430F"/>
    <w:rsid w:val="001C6A7A"/>
    <w:rsid w:val="001D293A"/>
    <w:rsid w:val="001F13A6"/>
    <w:rsid w:val="001F1B39"/>
    <w:rsid w:val="00212660"/>
    <w:rsid w:val="0023243F"/>
    <w:rsid w:val="00254637"/>
    <w:rsid w:val="002617C9"/>
    <w:rsid w:val="00270887"/>
    <w:rsid w:val="00274C70"/>
    <w:rsid w:val="00297C5C"/>
    <w:rsid w:val="002B7BF0"/>
    <w:rsid w:val="002C0FEE"/>
    <w:rsid w:val="002C4B9F"/>
    <w:rsid w:val="002D12B8"/>
    <w:rsid w:val="002E7630"/>
    <w:rsid w:val="00317FBB"/>
    <w:rsid w:val="003271FF"/>
    <w:rsid w:val="00344A74"/>
    <w:rsid w:val="003564E3"/>
    <w:rsid w:val="00380DAD"/>
    <w:rsid w:val="00391C02"/>
    <w:rsid w:val="003939B4"/>
    <w:rsid w:val="003A6B58"/>
    <w:rsid w:val="003A7E3F"/>
    <w:rsid w:val="003B0772"/>
    <w:rsid w:val="003B132F"/>
    <w:rsid w:val="003D6C3A"/>
    <w:rsid w:val="003E72A9"/>
    <w:rsid w:val="003F333E"/>
    <w:rsid w:val="00413454"/>
    <w:rsid w:val="0041475C"/>
    <w:rsid w:val="0042127F"/>
    <w:rsid w:val="00443C04"/>
    <w:rsid w:val="00451945"/>
    <w:rsid w:val="00454C0E"/>
    <w:rsid w:val="004741EE"/>
    <w:rsid w:val="00476108"/>
    <w:rsid w:val="00486023"/>
    <w:rsid w:val="00491368"/>
    <w:rsid w:val="00493D8B"/>
    <w:rsid w:val="004947A7"/>
    <w:rsid w:val="004955B0"/>
    <w:rsid w:val="004978FB"/>
    <w:rsid w:val="004B5527"/>
    <w:rsid w:val="004B60E7"/>
    <w:rsid w:val="004B7FEB"/>
    <w:rsid w:val="004D7944"/>
    <w:rsid w:val="004E5A63"/>
    <w:rsid w:val="004F2CDB"/>
    <w:rsid w:val="004F5F57"/>
    <w:rsid w:val="004F681C"/>
    <w:rsid w:val="004F6DA0"/>
    <w:rsid w:val="00507DA4"/>
    <w:rsid w:val="00514C32"/>
    <w:rsid w:val="005263F6"/>
    <w:rsid w:val="005327B6"/>
    <w:rsid w:val="00552813"/>
    <w:rsid w:val="00554458"/>
    <w:rsid w:val="00555F20"/>
    <w:rsid w:val="005668B2"/>
    <w:rsid w:val="00573BED"/>
    <w:rsid w:val="00573FF0"/>
    <w:rsid w:val="00585B1C"/>
    <w:rsid w:val="00587011"/>
    <w:rsid w:val="00591BBB"/>
    <w:rsid w:val="005A61A3"/>
    <w:rsid w:val="005B045E"/>
    <w:rsid w:val="005B0525"/>
    <w:rsid w:val="005C0B4D"/>
    <w:rsid w:val="005C51DD"/>
    <w:rsid w:val="005D3718"/>
    <w:rsid w:val="005D3948"/>
    <w:rsid w:val="005D4A18"/>
    <w:rsid w:val="005F674E"/>
    <w:rsid w:val="00605305"/>
    <w:rsid w:val="00612135"/>
    <w:rsid w:val="006143DE"/>
    <w:rsid w:val="00617CD8"/>
    <w:rsid w:val="00621755"/>
    <w:rsid w:val="006229F3"/>
    <w:rsid w:val="00627ED1"/>
    <w:rsid w:val="0065120C"/>
    <w:rsid w:val="006556BE"/>
    <w:rsid w:val="006747FC"/>
    <w:rsid w:val="00680BB4"/>
    <w:rsid w:val="00681180"/>
    <w:rsid w:val="00683F4E"/>
    <w:rsid w:val="00694422"/>
    <w:rsid w:val="006964BD"/>
    <w:rsid w:val="006A1D31"/>
    <w:rsid w:val="006A6153"/>
    <w:rsid w:val="006B07E0"/>
    <w:rsid w:val="006B6076"/>
    <w:rsid w:val="006C0B53"/>
    <w:rsid w:val="006C2E19"/>
    <w:rsid w:val="006C5E83"/>
    <w:rsid w:val="006D3C7D"/>
    <w:rsid w:val="006D5ACF"/>
    <w:rsid w:val="006E17FD"/>
    <w:rsid w:val="006E19C1"/>
    <w:rsid w:val="006E5F32"/>
    <w:rsid w:val="006E689F"/>
    <w:rsid w:val="006E738F"/>
    <w:rsid w:val="006F34F1"/>
    <w:rsid w:val="006F3814"/>
    <w:rsid w:val="006F7D52"/>
    <w:rsid w:val="007026ED"/>
    <w:rsid w:val="00712A65"/>
    <w:rsid w:val="00714270"/>
    <w:rsid w:val="00731879"/>
    <w:rsid w:val="00744FEA"/>
    <w:rsid w:val="00751F30"/>
    <w:rsid w:val="007526E0"/>
    <w:rsid w:val="00753B34"/>
    <w:rsid w:val="00757617"/>
    <w:rsid w:val="0076377F"/>
    <w:rsid w:val="00767A6B"/>
    <w:rsid w:val="00771FB0"/>
    <w:rsid w:val="00787C0F"/>
    <w:rsid w:val="00795A2F"/>
    <w:rsid w:val="007A287B"/>
    <w:rsid w:val="007A79DF"/>
    <w:rsid w:val="007B4DA3"/>
    <w:rsid w:val="007C5FB7"/>
    <w:rsid w:val="007D16AF"/>
    <w:rsid w:val="007D3708"/>
    <w:rsid w:val="007E544D"/>
    <w:rsid w:val="007F2AF0"/>
    <w:rsid w:val="007F2C04"/>
    <w:rsid w:val="00801F90"/>
    <w:rsid w:val="00807DDF"/>
    <w:rsid w:val="00816538"/>
    <w:rsid w:val="00830A6D"/>
    <w:rsid w:val="00835479"/>
    <w:rsid w:val="00837806"/>
    <w:rsid w:val="00841838"/>
    <w:rsid w:val="0084242A"/>
    <w:rsid w:val="008516DF"/>
    <w:rsid w:val="0087460A"/>
    <w:rsid w:val="008865D1"/>
    <w:rsid w:val="00886EC1"/>
    <w:rsid w:val="00886FFD"/>
    <w:rsid w:val="00891678"/>
    <w:rsid w:val="00893B6E"/>
    <w:rsid w:val="008A00CB"/>
    <w:rsid w:val="008B55F4"/>
    <w:rsid w:val="008C1F32"/>
    <w:rsid w:val="008C61A7"/>
    <w:rsid w:val="008C694B"/>
    <w:rsid w:val="008D1F68"/>
    <w:rsid w:val="008D3209"/>
    <w:rsid w:val="008F2641"/>
    <w:rsid w:val="008F7866"/>
    <w:rsid w:val="00902C23"/>
    <w:rsid w:val="00911D02"/>
    <w:rsid w:val="00922187"/>
    <w:rsid w:val="00924F7D"/>
    <w:rsid w:val="00930DBF"/>
    <w:rsid w:val="00934E9D"/>
    <w:rsid w:val="009430C1"/>
    <w:rsid w:val="00951BFF"/>
    <w:rsid w:val="0097665F"/>
    <w:rsid w:val="009778C9"/>
    <w:rsid w:val="009843CB"/>
    <w:rsid w:val="00984CF8"/>
    <w:rsid w:val="009856F1"/>
    <w:rsid w:val="009901AE"/>
    <w:rsid w:val="00990B69"/>
    <w:rsid w:val="00995958"/>
    <w:rsid w:val="009966A1"/>
    <w:rsid w:val="00996E70"/>
    <w:rsid w:val="009A2091"/>
    <w:rsid w:val="009C3BF3"/>
    <w:rsid w:val="009D301C"/>
    <w:rsid w:val="009D7AAF"/>
    <w:rsid w:val="009E4A65"/>
    <w:rsid w:val="009F24DE"/>
    <w:rsid w:val="009F5EE8"/>
    <w:rsid w:val="00A01270"/>
    <w:rsid w:val="00A112A3"/>
    <w:rsid w:val="00A22BA9"/>
    <w:rsid w:val="00A23A3C"/>
    <w:rsid w:val="00A31217"/>
    <w:rsid w:val="00A33898"/>
    <w:rsid w:val="00A34954"/>
    <w:rsid w:val="00A63895"/>
    <w:rsid w:val="00A676E6"/>
    <w:rsid w:val="00A7167A"/>
    <w:rsid w:val="00A76EB7"/>
    <w:rsid w:val="00A817BE"/>
    <w:rsid w:val="00A81DF8"/>
    <w:rsid w:val="00A84ED4"/>
    <w:rsid w:val="00A93C32"/>
    <w:rsid w:val="00A95C60"/>
    <w:rsid w:val="00AA21B9"/>
    <w:rsid w:val="00AC0AFB"/>
    <w:rsid w:val="00AC0FE4"/>
    <w:rsid w:val="00AD6CC9"/>
    <w:rsid w:val="00AD7574"/>
    <w:rsid w:val="00AF2728"/>
    <w:rsid w:val="00AF4354"/>
    <w:rsid w:val="00B147BC"/>
    <w:rsid w:val="00B259A6"/>
    <w:rsid w:val="00B34098"/>
    <w:rsid w:val="00B47C59"/>
    <w:rsid w:val="00B62B86"/>
    <w:rsid w:val="00B82D8D"/>
    <w:rsid w:val="00B92822"/>
    <w:rsid w:val="00BB243A"/>
    <w:rsid w:val="00BC1E67"/>
    <w:rsid w:val="00BC607F"/>
    <w:rsid w:val="00BD40BD"/>
    <w:rsid w:val="00BE2660"/>
    <w:rsid w:val="00C11DCD"/>
    <w:rsid w:val="00C15982"/>
    <w:rsid w:val="00C15F99"/>
    <w:rsid w:val="00C17A25"/>
    <w:rsid w:val="00C17EA7"/>
    <w:rsid w:val="00C25C09"/>
    <w:rsid w:val="00C315CF"/>
    <w:rsid w:val="00C3215C"/>
    <w:rsid w:val="00C549CE"/>
    <w:rsid w:val="00C55093"/>
    <w:rsid w:val="00C64F86"/>
    <w:rsid w:val="00C66CB1"/>
    <w:rsid w:val="00C75895"/>
    <w:rsid w:val="00C76387"/>
    <w:rsid w:val="00C80511"/>
    <w:rsid w:val="00C828E3"/>
    <w:rsid w:val="00C86DF5"/>
    <w:rsid w:val="00C87002"/>
    <w:rsid w:val="00C925E5"/>
    <w:rsid w:val="00C968D3"/>
    <w:rsid w:val="00CB3A04"/>
    <w:rsid w:val="00CB3E35"/>
    <w:rsid w:val="00CB780A"/>
    <w:rsid w:val="00CC03E7"/>
    <w:rsid w:val="00CC3678"/>
    <w:rsid w:val="00CC42E0"/>
    <w:rsid w:val="00CD16A5"/>
    <w:rsid w:val="00CE1C12"/>
    <w:rsid w:val="00CE2AA7"/>
    <w:rsid w:val="00D04825"/>
    <w:rsid w:val="00D04D5C"/>
    <w:rsid w:val="00D11DF7"/>
    <w:rsid w:val="00D149B9"/>
    <w:rsid w:val="00D152DF"/>
    <w:rsid w:val="00D15CD1"/>
    <w:rsid w:val="00D25154"/>
    <w:rsid w:val="00D30BC6"/>
    <w:rsid w:val="00D32DC1"/>
    <w:rsid w:val="00D37BBC"/>
    <w:rsid w:val="00D459F4"/>
    <w:rsid w:val="00D54223"/>
    <w:rsid w:val="00D72E72"/>
    <w:rsid w:val="00D85E41"/>
    <w:rsid w:val="00D86D24"/>
    <w:rsid w:val="00D9173D"/>
    <w:rsid w:val="00D92DD2"/>
    <w:rsid w:val="00D92F2A"/>
    <w:rsid w:val="00DA4E79"/>
    <w:rsid w:val="00DB3000"/>
    <w:rsid w:val="00DC1268"/>
    <w:rsid w:val="00DD0F91"/>
    <w:rsid w:val="00DD37A7"/>
    <w:rsid w:val="00DE5F04"/>
    <w:rsid w:val="00DF1188"/>
    <w:rsid w:val="00E03D4F"/>
    <w:rsid w:val="00E067F8"/>
    <w:rsid w:val="00E16F32"/>
    <w:rsid w:val="00E32DD1"/>
    <w:rsid w:val="00E34C53"/>
    <w:rsid w:val="00E54EB4"/>
    <w:rsid w:val="00E734CB"/>
    <w:rsid w:val="00E82CE1"/>
    <w:rsid w:val="00EA06C5"/>
    <w:rsid w:val="00EA0B2C"/>
    <w:rsid w:val="00EA45E9"/>
    <w:rsid w:val="00EB4ADB"/>
    <w:rsid w:val="00EB4BF3"/>
    <w:rsid w:val="00EC4DFA"/>
    <w:rsid w:val="00EE447D"/>
    <w:rsid w:val="00EF1188"/>
    <w:rsid w:val="00EF2CE7"/>
    <w:rsid w:val="00F02F0F"/>
    <w:rsid w:val="00F15A01"/>
    <w:rsid w:val="00F20DE2"/>
    <w:rsid w:val="00F3271D"/>
    <w:rsid w:val="00F45489"/>
    <w:rsid w:val="00F57EE3"/>
    <w:rsid w:val="00F67E88"/>
    <w:rsid w:val="00F70E48"/>
    <w:rsid w:val="00F93BC7"/>
    <w:rsid w:val="00FA1FC3"/>
    <w:rsid w:val="00FA3C75"/>
    <w:rsid w:val="00FB4326"/>
    <w:rsid w:val="00FD020C"/>
    <w:rsid w:val="00FD3B69"/>
    <w:rsid w:val="00FD652D"/>
    <w:rsid w:val="00FE0B3A"/>
    <w:rsid w:val="00FF2D8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cs="Arial"/>
      <w:sz w:val="24"/>
      <w:szCs w:val="24"/>
      <w:lang w:val="es-ES" w:eastAsia="zh-CN"/>
    </w:rPr>
  </w:style>
  <w:style w:type="paragraph" w:styleId="Ttulo1">
    <w:name w:val="heading 1"/>
    <w:basedOn w:val="Normal"/>
    <w:next w:val="Normal"/>
    <w:qFormat/>
    <w:pPr>
      <w:keepNext/>
      <w:numPr>
        <w:numId w:val="1"/>
      </w:numPr>
      <w:spacing w:before="240" w:after="60"/>
      <w:outlineLvl w:val="0"/>
    </w:pPr>
    <w:rPr>
      <w:b/>
      <w:bCs/>
      <w:kern w:val="1"/>
      <w:szCs w:val="32"/>
    </w:rPr>
  </w:style>
  <w:style w:type="paragraph" w:styleId="Ttulo2">
    <w:name w:val="heading 2"/>
    <w:basedOn w:val="Normal"/>
    <w:next w:val="Textoindependiente"/>
    <w:qFormat/>
    <w:pPr>
      <w:numPr>
        <w:ilvl w:val="1"/>
        <w:numId w:val="1"/>
      </w:numPr>
      <w:spacing w:after="170" w:line="360" w:lineRule="auto"/>
      <w:jc w:val="both"/>
      <w:outlineLvl w:val="1"/>
    </w:pPr>
    <w:rPr>
      <w:b/>
      <w:kern w:val="1"/>
      <w:szCs w:val="20"/>
    </w:rPr>
  </w:style>
  <w:style w:type="paragraph" w:styleId="Ttulo3">
    <w:name w:val="heading 3"/>
    <w:basedOn w:val="Normal"/>
    <w:next w:val="Normal"/>
    <w:link w:val="Ttulo3Car"/>
    <w:qFormat/>
    <w:pPr>
      <w:keepNext/>
      <w:numPr>
        <w:ilvl w:val="2"/>
        <w:numId w:val="1"/>
      </w:numPr>
      <w:jc w:val="center"/>
      <w:outlineLvl w:val="2"/>
    </w:pPr>
    <w:rPr>
      <w:b/>
    </w:rPr>
  </w:style>
  <w:style w:type="paragraph" w:styleId="Ttulo4">
    <w:name w:val="heading 4"/>
    <w:basedOn w:val="Normal"/>
    <w:next w:val="Normal"/>
    <w:qFormat/>
    <w:pPr>
      <w:keepNext/>
      <w:numPr>
        <w:ilvl w:val="3"/>
        <w:numId w:val="1"/>
      </w:numPr>
      <w:jc w:val="center"/>
      <w:outlineLvl w:val="3"/>
    </w:pPr>
    <w:rPr>
      <w:b/>
      <w:sz w:val="28"/>
    </w:rPr>
  </w:style>
  <w:style w:type="paragraph" w:styleId="Ttulo5">
    <w:name w:val="heading 5"/>
    <w:basedOn w:val="Normal"/>
    <w:next w:val="Normal"/>
    <w:qFormat/>
    <w:pPr>
      <w:keepNext/>
      <w:numPr>
        <w:ilvl w:val="4"/>
        <w:numId w:val="1"/>
      </w:numPr>
      <w:jc w:val="center"/>
      <w:outlineLvl w:val="4"/>
    </w:pPr>
    <w:rPr>
      <w:b/>
      <w:bCs/>
      <w:sz w:val="32"/>
    </w:rPr>
  </w:style>
  <w:style w:type="paragraph" w:styleId="Ttulo6">
    <w:name w:val="heading 6"/>
    <w:basedOn w:val="Normal"/>
    <w:next w:val="Normal"/>
    <w:qFormat/>
    <w:pPr>
      <w:keepNext/>
      <w:numPr>
        <w:ilvl w:val="5"/>
        <w:numId w:val="1"/>
      </w:numPr>
      <w:spacing w:line="360" w:lineRule="auto"/>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rPr>
  </w:style>
  <w:style w:type="character" w:customStyle="1" w:styleId="WW8Num5z1">
    <w:name w:val="WW8Num5z1"/>
    <w:rPr>
      <w:rFonts w:ascii="Times New Roman" w:eastAsia="Times New Roman" w:hAnsi="Times New Roman" w:cs="Times New Roman"/>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6z0">
    <w:name w:val="WW8Num6z0"/>
    <w:rPr>
      <w:b/>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rPr>
      <w:b/>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20z0">
    <w:name w:val="WW8Num20z0"/>
    <w:rPr>
      <w:b/>
    </w:rPr>
  </w:style>
  <w:style w:type="character" w:customStyle="1" w:styleId="Fuentedeprrafopredeter1">
    <w:name w:val="Fuente de párrafo predeter.1"/>
  </w:style>
  <w:style w:type="character" w:styleId="Nmerodepgina">
    <w:name w:val="page number"/>
    <w:basedOn w:val="Fuentedeprrafopredeter1"/>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Enlacedelndice">
    <w:name w:val="Enlace del índice"/>
  </w:style>
  <w:style w:type="paragraph" w:customStyle="1" w:styleId="Encabezado1">
    <w:name w:val="Encabezado1"/>
    <w:basedOn w:val="Normal"/>
    <w:next w:val="Normal"/>
    <w:pPr>
      <w:spacing w:line="360" w:lineRule="auto"/>
    </w:pPr>
    <w:rPr>
      <w:b/>
      <w:caps/>
      <w:kern w:val="1"/>
      <w:sz w:val="28"/>
      <w:szCs w:val="20"/>
    </w:rPr>
  </w:style>
  <w:style w:type="paragraph" w:styleId="Textoindependiente">
    <w:name w:val="Body Text"/>
    <w:basedOn w:val="Normal"/>
    <w:link w:val="TextoindependienteCar"/>
    <w:pPr>
      <w:spacing w:after="240" w:line="240" w:lineRule="atLeast"/>
      <w:jc w:val="both"/>
    </w:pPr>
    <w:rPr>
      <w:kern w:val="1"/>
      <w:szCs w:val="20"/>
      <w:lang w:val="es-ES_tradnl"/>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TDC1">
    <w:name w:val="toc 1"/>
    <w:basedOn w:val="Ttulo1"/>
    <w:next w:val="Normal"/>
    <w:uiPriority w:val="39"/>
    <w:pPr>
      <w:numPr>
        <w:numId w:val="0"/>
      </w:numPr>
      <w:tabs>
        <w:tab w:val="right" w:leader="dot" w:pos="8494"/>
      </w:tabs>
      <w:spacing w:before="0" w:after="0" w:line="360" w:lineRule="auto"/>
      <w:outlineLvl w:val="9"/>
    </w:pPr>
    <w:rPr>
      <w:rFonts w:ascii="Times New Roman" w:hAnsi="Times New Roman" w:cs="Times New Roman"/>
      <w:bCs w:val="0"/>
      <w:sz w:val="20"/>
      <w:szCs w:val="20"/>
      <w:lang w:val="es-MX"/>
    </w:rPr>
  </w:style>
  <w:style w:type="paragraph" w:styleId="TDC2">
    <w:name w:val="toc 2"/>
    <w:basedOn w:val="Normal"/>
    <w:next w:val="Normal"/>
    <w:uiPriority w:val="39"/>
    <w:pPr>
      <w:tabs>
        <w:tab w:val="left" w:pos="1080"/>
        <w:tab w:val="right" w:leader="dot" w:pos="8494"/>
      </w:tabs>
      <w:spacing w:line="360" w:lineRule="auto"/>
      <w:ind w:left="600" w:hanging="480"/>
    </w:pPr>
    <w:rPr>
      <w:rFonts w:ascii="Times New Roman" w:hAnsi="Times New Roman" w:cs="Times New Roman"/>
      <w:lang w:val="es-UY" w:eastAsia="es-UY"/>
    </w:rPr>
  </w:style>
  <w:style w:type="paragraph" w:customStyle="1" w:styleId="Nombredireccin">
    <w:name w:val="Nombre dirección"/>
    <w:basedOn w:val="Normal"/>
    <w:next w:val="Normal"/>
    <w:pPr>
      <w:spacing w:before="220" w:line="240" w:lineRule="atLeast"/>
      <w:jc w:val="both"/>
    </w:pPr>
    <w:rPr>
      <w:kern w:val="1"/>
      <w:szCs w:val="20"/>
    </w:rPr>
  </w:style>
  <w:style w:type="paragraph" w:styleId="Subttulo">
    <w:name w:val="Subtitle"/>
    <w:basedOn w:val="Normal"/>
    <w:next w:val="Textoindependiente"/>
    <w:qFormat/>
    <w:pPr>
      <w:spacing w:line="360" w:lineRule="auto"/>
      <w:jc w:val="both"/>
    </w:pPr>
    <w:rPr>
      <w:rFonts w:ascii="Bookman Old Style" w:hAnsi="Bookman Old Style" w:cs="Bookman Old Style"/>
      <w:b/>
      <w:kern w:val="1"/>
      <w:szCs w:val="20"/>
    </w:rPr>
  </w:style>
  <w:style w:type="paragraph" w:customStyle="1" w:styleId="Textoindependiente21">
    <w:name w:val="Texto independiente 21"/>
    <w:basedOn w:val="Normal"/>
    <w:pPr>
      <w:spacing w:line="360" w:lineRule="auto"/>
    </w:pPr>
    <w:rPr>
      <w:rFonts w:ascii="Bookman Old Style" w:hAnsi="Bookman Old Style" w:cs="Bookman Old Style"/>
      <w:kern w:val="1"/>
      <w:szCs w:val="20"/>
    </w:rPr>
  </w:style>
  <w:style w:type="paragraph" w:styleId="Piedepgina">
    <w:name w:val="footer"/>
    <w:basedOn w:val="Normal"/>
    <w:pPr>
      <w:tabs>
        <w:tab w:val="center" w:pos="4419"/>
        <w:tab w:val="right" w:pos="8838"/>
      </w:tabs>
      <w:spacing w:line="360" w:lineRule="auto"/>
      <w:jc w:val="both"/>
    </w:pPr>
    <w:rPr>
      <w:kern w:val="1"/>
      <w:szCs w:val="20"/>
      <w:lang w:val="es-ES_tradnl"/>
    </w:rPr>
  </w:style>
  <w:style w:type="paragraph" w:styleId="Encabezado">
    <w:name w:val="header"/>
    <w:basedOn w:val="Normal"/>
    <w:pPr>
      <w:tabs>
        <w:tab w:val="center" w:pos="4419"/>
        <w:tab w:val="right" w:pos="8838"/>
      </w:tabs>
    </w:pPr>
  </w:style>
  <w:style w:type="paragraph" w:styleId="TDC3">
    <w:name w:val="toc 3"/>
    <w:basedOn w:val="Normal"/>
    <w:next w:val="Normal"/>
    <w:uiPriority w:val="39"/>
    <w:pPr>
      <w:ind w:left="480"/>
    </w:pPr>
  </w:style>
  <w:style w:type="paragraph" w:styleId="TDC4">
    <w:name w:val="toc 4"/>
    <w:basedOn w:val="Normal"/>
    <w:next w:val="Normal"/>
    <w:pPr>
      <w:ind w:left="720"/>
    </w:pPr>
  </w:style>
  <w:style w:type="paragraph" w:styleId="TDC5">
    <w:name w:val="toc 5"/>
    <w:basedOn w:val="Normal"/>
    <w:next w:val="Normal"/>
    <w:pPr>
      <w:ind w:left="960"/>
    </w:pPr>
  </w:style>
  <w:style w:type="paragraph" w:styleId="TDC6">
    <w:name w:val="toc 6"/>
    <w:basedOn w:val="Normal"/>
    <w:next w:val="Normal"/>
    <w:pPr>
      <w:ind w:left="1200"/>
    </w:pPr>
  </w:style>
  <w:style w:type="paragraph" w:styleId="TDC7">
    <w:name w:val="toc 7"/>
    <w:basedOn w:val="Normal"/>
    <w:next w:val="Normal"/>
    <w:pPr>
      <w:ind w:left="1440"/>
    </w:pPr>
  </w:style>
  <w:style w:type="paragraph" w:styleId="TDC8">
    <w:name w:val="toc 8"/>
    <w:basedOn w:val="Normal"/>
    <w:next w:val="Normal"/>
    <w:pPr>
      <w:ind w:left="1680"/>
    </w:pPr>
  </w:style>
  <w:style w:type="paragraph" w:styleId="TDC9">
    <w:name w:val="toc 9"/>
    <w:basedOn w:val="Normal"/>
    <w:next w:val="Normal"/>
    <w:pPr>
      <w:ind w:left="1920"/>
    </w:pPr>
  </w:style>
  <w:style w:type="paragraph" w:customStyle="1" w:styleId="Textoindependiente31">
    <w:name w:val="Texto independiente 31"/>
    <w:basedOn w:val="Normal"/>
    <w:pPr>
      <w:spacing w:line="360" w:lineRule="auto"/>
      <w:jc w:val="right"/>
    </w:pPr>
  </w:style>
  <w:style w:type="paragraph" w:styleId="Sangradetextonormal">
    <w:name w:val="Body Text Indent"/>
    <w:basedOn w:val="Normal"/>
    <w:pPr>
      <w:widowControl w:val="0"/>
      <w:ind w:left="1440"/>
    </w:pPr>
    <w:rPr>
      <w:szCs w:val="20"/>
      <w:lang w:val="es-ES_tradnl"/>
    </w:rPr>
  </w:style>
  <w:style w:type="paragraph" w:customStyle="1" w:styleId="Textonormal">
    <w:name w:val="Texto normal"/>
    <w:basedOn w:val="Textoindependiente"/>
    <w:pPr>
      <w:widowControl w:val="0"/>
      <w:tabs>
        <w:tab w:val="left" w:pos="-720"/>
      </w:tabs>
      <w:spacing w:after="0" w:line="480" w:lineRule="auto"/>
      <w:jc w:val="left"/>
    </w:pPr>
    <w:rPr>
      <w:rFonts w:ascii="Courier" w:hAnsi="Courier" w:cs="Courier"/>
      <w:spacing w:val="-3"/>
      <w:szCs w:val="24"/>
    </w:rPr>
  </w:style>
  <w:style w:type="paragraph" w:customStyle="1" w:styleId="ndicel10">
    <w:name w:val="Índicel 10"/>
    <w:basedOn w:val="ndice"/>
    <w:pPr>
      <w:tabs>
        <w:tab w:val="right" w:leader="dot" w:pos="7091"/>
      </w:tabs>
      <w:ind w:left="2547"/>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Normal"/>
  </w:style>
  <w:style w:type="paragraph" w:customStyle="1" w:styleId="Encabezadoizquierdo">
    <w:name w:val="Encabezado izquierdo"/>
    <w:basedOn w:val="Normal"/>
    <w:pPr>
      <w:suppressLineNumbers/>
      <w:tabs>
        <w:tab w:val="center" w:pos="4252"/>
        <w:tab w:val="right" w:pos="8504"/>
      </w:tabs>
    </w:pPr>
  </w:style>
  <w:style w:type="paragraph" w:styleId="Textodeglobo">
    <w:name w:val="Balloon Text"/>
    <w:basedOn w:val="Normal"/>
    <w:link w:val="TextodegloboCar"/>
    <w:uiPriority w:val="99"/>
    <w:semiHidden/>
    <w:unhideWhenUsed/>
    <w:rsid w:val="00E82CE1"/>
    <w:rPr>
      <w:rFonts w:ascii="Tahoma" w:hAnsi="Tahoma" w:cs="Tahoma"/>
      <w:sz w:val="16"/>
      <w:szCs w:val="16"/>
    </w:rPr>
  </w:style>
  <w:style w:type="character" w:customStyle="1" w:styleId="TextodegloboCar">
    <w:name w:val="Texto de globo Car"/>
    <w:link w:val="Textodeglobo"/>
    <w:uiPriority w:val="99"/>
    <w:semiHidden/>
    <w:rsid w:val="00E82CE1"/>
    <w:rPr>
      <w:rFonts w:ascii="Tahoma" w:hAnsi="Tahoma" w:cs="Tahoma"/>
      <w:sz w:val="16"/>
      <w:szCs w:val="16"/>
      <w:lang w:eastAsia="zh-CN"/>
    </w:rPr>
  </w:style>
  <w:style w:type="paragraph" w:styleId="Prrafodelista">
    <w:name w:val="List Paragraph"/>
    <w:basedOn w:val="Normal"/>
    <w:uiPriority w:val="34"/>
    <w:qFormat/>
    <w:rsid w:val="004F681C"/>
    <w:pPr>
      <w:ind w:left="720"/>
      <w:contextualSpacing/>
    </w:pPr>
  </w:style>
  <w:style w:type="character" w:customStyle="1" w:styleId="Ttulo3Car">
    <w:name w:val="Título 3 Car"/>
    <w:link w:val="Ttulo3"/>
    <w:rsid w:val="00835479"/>
    <w:rPr>
      <w:rFonts w:ascii="Arial" w:hAnsi="Arial" w:cs="Arial"/>
      <w:b/>
      <w:sz w:val="24"/>
      <w:szCs w:val="24"/>
      <w:lang w:val="es-ES" w:eastAsia="zh-CN"/>
    </w:rPr>
  </w:style>
  <w:style w:type="character" w:customStyle="1" w:styleId="TextoindependienteCar">
    <w:name w:val="Texto independiente Car"/>
    <w:link w:val="Textoindependiente"/>
    <w:rsid w:val="006556BE"/>
    <w:rPr>
      <w:rFonts w:ascii="Arial" w:hAnsi="Arial" w:cs="Arial"/>
      <w:kern w:val="1"/>
      <w:sz w:val="24"/>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cs="Arial"/>
      <w:sz w:val="24"/>
      <w:szCs w:val="24"/>
      <w:lang w:val="es-ES" w:eastAsia="zh-CN"/>
    </w:rPr>
  </w:style>
  <w:style w:type="paragraph" w:styleId="Ttulo1">
    <w:name w:val="heading 1"/>
    <w:basedOn w:val="Normal"/>
    <w:next w:val="Normal"/>
    <w:qFormat/>
    <w:pPr>
      <w:keepNext/>
      <w:numPr>
        <w:numId w:val="1"/>
      </w:numPr>
      <w:spacing w:before="240" w:after="60"/>
      <w:outlineLvl w:val="0"/>
    </w:pPr>
    <w:rPr>
      <w:b/>
      <w:bCs/>
      <w:kern w:val="1"/>
      <w:szCs w:val="32"/>
    </w:rPr>
  </w:style>
  <w:style w:type="paragraph" w:styleId="Ttulo2">
    <w:name w:val="heading 2"/>
    <w:basedOn w:val="Normal"/>
    <w:next w:val="Textoindependiente"/>
    <w:qFormat/>
    <w:pPr>
      <w:numPr>
        <w:ilvl w:val="1"/>
        <w:numId w:val="1"/>
      </w:numPr>
      <w:spacing w:after="170" w:line="360" w:lineRule="auto"/>
      <w:jc w:val="both"/>
      <w:outlineLvl w:val="1"/>
    </w:pPr>
    <w:rPr>
      <w:b/>
      <w:kern w:val="1"/>
      <w:szCs w:val="20"/>
    </w:rPr>
  </w:style>
  <w:style w:type="paragraph" w:styleId="Ttulo3">
    <w:name w:val="heading 3"/>
    <w:basedOn w:val="Normal"/>
    <w:next w:val="Normal"/>
    <w:link w:val="Ttulo3Car"/>
    <w:qFormat/>
    <w:pPr>
      <w:keepNext/>
      <w:numPr>
        <w:ilvl w:val="2"/>
        <w:numId w:val="1"/>
      </w:numPr>
      <w:jc w:val="center"/>
      <w:outlineLvl w:val="2"/>
    </w:pPr>
    <w:rPr>
      <w:b/>
    </w:rPr>
  </w:style>
  <w:style w:type="paragraph" w:styleId="Ttulo4">
    <w:name w:val="heading 4"/>
    <w:basedOn w:val="Normal"/>
    <w:next w:val="Normal"/>
    <w:qFormat/>
    <w:pPr>
      <w:keepNext/>
      <w:numPr>
        <w:ilvl w:val="3"/>
        <w:numId w:val="1"/>
      </w:numPr>
      <w:jc w:val="center"/>
      <w:outlineLvl w:val="3"/>
    </w:pPr>
    <w:rPr>
      <w:b/>
      <w:sz w:val="28"/>
    </w:rPr>
  </w:style>
  <w:style w:type="paragraph" w:styleId="Ttulo5">
    <w:name w:val="heading 5"/>
    <w:basedOn w:val="Normal"/>
    <w:next w:val="Normal"/>
    <w:qFormat/>
    <w:pPr>
      <w:keepNext/>
      <w:numPr>
        <w:ilvl w:val="4"/>
        <w:numId w:val="1"/>
      </w:numPr>
      <w:jc w:val="center"/>
      <w:outlineLvl w:val="4"/>
    </w:pPr>
    <w:rPr>
      <w:b/>
      <w:bCs/>
      <w:sz w:val="32"/>
    </w:rPr>
  </w:style>
  <w:style w:type="paragraph" w:styleId="Ttulo6">
    <w:name w:val="heading 6"/>
    <w:basedOn w:val="Normal"/>
    <w:next w:val="Normal"/>
    <w:qFormat/>
    <w:pPr>
      <w:keepNext/>
      <w:numPr>
        <w:ilvl w:val="5"/>
        <w:numId w:val="1"/>
      </w:numPr>
      <w:spacing w:line="360" w:lineRule="auto"/>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rPr>
  </w:style>
  <w:style w:type="character" w:customStyle="1" w:styleId="WW8Num5z1">
    <w:name w:val="WW8Num5z1"/>
    <w:rPr>
      <w:rFonts w:ascii="Times New Roman" w:eastAsia="Times New Roman" w:hAnsi="Times New Roman" w:cs="Times New Roman"/>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6z0">
    <w:name w:val="WW8Num6z0"/>
    <w:rPr>
      <w:b/>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rPr>
      <w:b/>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20z0">
    <w:name w:val="WW8Num20z0"/>
    <w:rPr>
      <w:b/>
    </w:rPr>
  </w:style>
  <w:style w:type="character" w:customStyle="1" w:styleId="Fuentedeprrafopredeter1">
    <w:name w:val="Fuente de párrafo predeter.1"/>
  </w:style>
  <w:style w:type="character" w:styleId="Nmerodepgina">
    <w:name w:val="page number"/>
    <w:basedOn w:val="Fuentedeprrafopredeter1"/>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Enlacedelndice">
    <w:name w:val="Enlace del índice"/>
  </w:style>
  <w:style w:type="paragraph" w:customStyle="1" w:styleId="Encabezado1">
    <w:name w:val="Encabezado1"/>
    <w:basedOn w:val="Normal"/>
    <w:next w:val="Normal"/>
    <w:pPr>
      <w:spacing w:line="360" w:lineRule="auto"/>
    </w:pPr>
    <w:rPr>
      <w:b/>
      <w:caps/>
      <w:kern w:val="1"/>
      <w:sz w:val="28"/>
      <w:szCs w:val="20"/>
    </w:rPr>
  </w:style>
  <w:style w:type="paragraph" w:styleId="Textoindependiente">
    <w:name w:val="Body Text"/>
    <w:basedOn w:val="Normal"/>
    <w:link w:val="TextoindependienteCar"/>
    <w:pPr>
      <w:spacing w:after="240" w:line="240" w:lineRule="atLeast"/>
      <w:jc w:val="both"/>
    </w:pPr>
    <w:rPr>
      <w:kern w:val="1"/>
      <w:szCs w:val="20"/>
      <w:lang w:val="es-ES_tradnl"/>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TDC1">
    <w:name w:val="toc 1"/>
    <w:basedOn w:val="Ttulo1"/>
    <w:next w:val="Normal"/>
    <w:uiPriority w:val="39"/>
    <w:pPr>
      <w:numPr>
        <w:numId w:val="0"/>
      </w:numPr>
      <w:tabs>
        <w:tab w:val="right" w:leader="dot" w:pos="8494"/>
      </w:tabs>
      <w:spacing w:before="0" w:after="0" w:line="360" w:lineRule="auto"/>
      <w:outlineLvl w:val="9"/>
    </w:pPr>
    <w:rPr>
      <w:rFonts w:ascii="Times New Roman" w:hAnsi="Times New Roman" w:cs="Times New Roman"/>
      <w:bCs w:val="0"/>
      <w:sz w:val="20"/>
      <w:szCs w:val="20"/>
      <w:lang w:val="es-MX"/>
    </w:rPr>
  </w:style>
  <w:style w:type="paragraph" w:styleId="TDC2">
    <w:name w:val="toc 2"/>
    <w:basedOn w:val="Normal"/>
    <w:next w:val="Normal"/>
    <w:uiPriority w:val="39"/>
    <w:pPr>
      <w:tabs>
        <w:tab w:val="left" w:pos="1080"/>
        <w:tab w:val="right" w:leader="dot" w:pos="8494"/>
      </w:tabs>
      <w:spacing w:line="360" w:lineRule="auto"/>
      <w:ind w:left="600" w:hanging="480"/>
    </w:pPr>
    <w:rPr>
      <w:rFonts w:ascii="Times New Roman" w:hAnsi="Times New Roman" w:cs="Times New Roman"/>
      <w:lang w:val="es-UY" w:eastAsia="es-UY"/>
    </w:rPr>
  </w:style>
  <w:style w:type="paragraph" w:customStyle="1" w:styleId="Nombredireccin">
    <w:name w:val="Nombre dirección"/>
    <w:basedOn w:val="Normal"/>
    <w:next w:val="Normal"/>
    <w:pPr>
      <w:spacing w:before="220" w:line="240" w:lineRule="atLeast"/>
      <w:jc w:val="both"/>
    </w:pPr>
    <w:rPr>
      <w:kern w:val="1"/>
      <w:szCs w:val="20"/>
    </w:rPr>
  </w:style>
  <w:style w:type="paragraph" w:styleId="Subttulo">
    <w:name w:val="Subtitle"/>
    <w:basedOn w:val="Normal"/>
    <w:next w:val="Textoindependiente"/>
    <w:qFormat/>
    <w:pPr>
      <w:spacing w:line="360" w:lineRule="auto"/>
      <w:jc w:val="both"/>
    </w:pPr>
    <w:rPr>
      <w:rFonts w:ascii="Bookman Old Style" w:hAnsi="Bookman Old Style" w:cs="Bookman Old Style"/>
      <w:b/>
      <w:kern w:val="1"/>
      <w:szCs w:val="20"/>
    </w:rPr>
  </w:style>
  <w:style w:type="paragraph" w:customStyle="1" w:styleId="Textoindependiente21">
    <w:name w:val="Texto independiente 21"/>
    <w:basedOn w:val="Normal"/>
    <w:pPr>
      <w:spacing w:line="360" w:lineRule="auto"/>
    </w:pPr>
    <w:rPr>
      <w:rFonts w:ascii="Bookman Old Style" w:hAnsi="Bookman Old Style" w:cs="Bookman Old Style"/>
      <w:kern w:val="1"/>
      <w:szCs w:val="20"/>
    </w:rPr>
  </w:style>
  <w:style w:type="paragraph" w:styleId="Piedepgina">
    <w:name w:val="footer"/>
    <w:basedOn w:val="Normal"/>
    <w:pPr>
      <w:tabs>
        <w:tab w:val="center" w:pos="4419"/>
        <w:tab w:val="right" w:pos="8838"/>
      </w:tabs>
      <w:spacing w:line="360" w:lineRule="auto"/>
      <w:jc w:val="both"/>
    </w:pPr>
    <w:rPr>
      <w:kern w:val="1"/>
      <w:szCs w:val="20"/>
      <w:lang w:val="es-ES_tradnl"/>
    </w:rPr>
  </w:style>
  <w:style w:type="paragraph" w:styleId="Encabezado">
    <w:name w:val="header"/>
    <w:basedOn w:val="Normal"/>
    <w:pPr>
      <w:tabs>
        <w:tab w:val="center" w:pos="4419"/>
        <w:tab w:val="right" w:pos="8838"/>
      </w:tabs>
    </w:pPr>
  </w:style>
  <w:style w:type="paragraph" w:styleId="TDC3">
    <w:name w:val="toc 3"/>
    <w:basedOn w:val="Normal"/>
    <w:next w:val="Normal"/>
    <w:uiPriority w:val="39"/>
    <w:pPr>
      <w:ind w:left="480"/>
    </w:pPr>
  </w:style>
  <w:style w:type="paragraph" w:styleId="TDC4">
    <w:name w:val="toc 4"/>
    <w:basedOn w:val="Normal"/>
    <w:next w:val="Normal"/>
    <w:pPr>
      <w:ind w:left="720"/>
    </w:pPr>
  </w:style>
  <w:style w:type="paragraph" w:styleId="TDC5">
    <w:name w:val="toc 5"/>
    <w:basedOn w:val="Normal"/>
    <w:next w:val="Normal"/>
    <w:pPr>
      <w:ind w:left="960"/>
    </w:pPr>
  </w:style>
  <w:style w:type="paragraph" w:styleId="TDC6">
    <w:name w:val="toc 6"/>
    <w:basedOn w:val="Normal"/>
    <w:next w:val="Normal"/>
    <w:pPr>
      <w:ind w:left="1200"/>
    </w:pPr>
  </w:style>
  <w:style w:type="paragraph" w:styleId="TDC7">
    <w:name w:val="toc 7"/>
    <w:basedOn w:val="Normal"/>
    <w:next w:val="Normal"/>
    <w:pPr>
      <w:ind w:left="1440"/>
    </w:pPr>
  </w:style>
  <w:style w:type="paragraph" w:styleId="TDC8">
    <w:name w:val="toc 8"/>
    <w:basedOn w:val="Normal"/>
    <w:next w:val="Normal"/>
    <w:pPr>
      <w:ind w:left="1680"/>
    </w:pPr>
  </w:style>
  <w:style w:type="paragraph" w:styleId="TDC9">
    <w:name w:val="toc 9"/>
    <w:basedOn w:val="Normal"/>
    <w:next w:val="Normal"/>
    <w:pPr>
      <w:ind w:left="1920"/>
    </w:pPr>
  </w:style>
  <w:style w:type="paragraph" w:customStyle="1" w:styleId="Textoindependiente31">
    <w:name w:val="Texto independiente 31"/>
    <w:basedOn w:val="Normal"/>
    <w:pPr>
      <w:spacing w:line="360" w:lineRule="auto"/>
      <w:jc w:val="right"/>
    </w:pPr>
  </w:style>
  <w:style w:type="paragraph" w:styleId="Sangradetextonormal">
    <w:name w:val="Body Text Indent"/>
    <w:basedOn w:val="Normal"/>
    <w:pPr>
      <w:widowControl w:val="0"/>
      <w:ind w:left="1440"/>
    </w:pPr>
    <w:rPr>
      <w:szCs w:val="20"/>
      <w:lang w:val="es-ES_tradnl"/>
    </w:rPr>
  </w:style>
  <w:style w:type="paragraph" w:customStyle="1" w:styleId="Textonormal">
    <w:name w:val="Texto normal"/>
    <w:basedOn w:val="Textoindependiente"/>
    <w:pPr>
      <w:widowControl w:val="0"/>
      <w:tabs>
        <w:tab w:val="left" w:pos="-720"/>
      </w:tabs>
      <w:spacing w:after="0" w:line="480" w:lineRule="auto"/>
      <w:jc w:val="left"/>
    </w:pPr>
    <w:rPr>
      <w:rFonts w:ascii="Courier" w:hAnsi="Courier" w:cs="Courier"/>
      <w:spacing w:val="-3"/>
      <w:szCs w:val="24"/>
    </w:rPr>
  </w:style>
  <w:style w:type="paragraph" w:customStyle="1" w:styleId="ndicel10">
    <w:name w:val="Índicel 10"/>
    <w:basedOn w:val="ndice"/>
    <w:pPr>
      <w:tabs>
        <w:tab w:val="right" w:leader="dot" w:pos="7091"/>
      </w:tabs>
      <w:ind w:left="2547"/>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Normal"/>
  </w:style>
  <w:style w:type="paragraph" w:customStyle="1" w:styleId="Encabezadoizquierdo">
    <w:name w:val="Encabezado izquierdo"/>
    <w:basedOn w:val="Normal"/>
    <w:pPr>
      <w:suppressLineNumbers/>
      <w:tabs>
        <w:tab w:val="center" w:pos="4252"/>
        <w:tab w:val="right" w:pos="8504"/>
      </w:tabs>
    </w:pPr>
  </w:style>
  <w:style w:type="paragraph" w:styleId="Textodeglobo">
    <w:name w:val="Balloon Text"/>
    <w:basedOn w:val="Normal"/>
    <w:link w:val="TextodegloboCar"/>
    <w:uiPriority w:val="99"/>
    <w:semiHidden/>
    <w:unhideWhenUsed/>
    <w:rsid w:val="00E82CE1"/>
    <w:rPr>
      <w:rFonts w:ascii="Tahoma" w:hAnsi="Tahoma" w:cs="Tahoma"/>
      <w:sz w:val="16"/>
      <w:szCs w:val="16"/>
    </w:rPr>
  </w:style>
  <w:style w:type="character" w:customStyle="1" w:styleId="TextodegloboCar">
    <w:name w:val="Texto de globo Car"/>
    <w:link w:val="Textodeglobo"/>
    <w:uiPriority w:val="99"/>
    <w:semiHidden/>
    <w:rsid w:val="00E82CE1"/>
    <w:rPr>
      <w:rFonts w:ascii="Tahoma" w:hAnsi="Tahoma" w:cs="Tahoma"/>
      <w:sz w:val="16"/>
      <w:szCs w:val="16"/>
      <w:lang w:eastAsia="zh-CN"/>
    </w:rPr>
  </w:style>
  <w:style w:type="paragraph" w:styleId="Prrafodelista">
    <w:name w:val="List Paragraph"/>
    <w:basedOn w:val="Normal"/>
    <w:uiPriority w:val="34"/>
    <w:qFormat/>
    <w:rsid w:val="004F681C"/>
    <w:pPr>
      <w:ind w:left="720"/>
      <w:contextualSpacing/>
    </w:pPr>
  </w:style>
  <w:style w:type="character" w:customStyle="1" w:styleId="Ttulo3Car">
    <w:name w:val="Título 3 Car"/>
    <w:link w:val="Ttulo3"/>
    <w:rsid w:val="00835479"/>
    <w:rPr>
      <w:rFonts w:ascii="Arial" w:hAnsi="Arial" w:cs="Arial"/>
      <w:b/>
      <w:sz w:val="24"/>
      <w:szCs w:val="24"/>
      <w:lang w:val="es-ES" w:eastAsia="zh-CN"/>
    </w:rPr>
  </w:style>
  <w:style w:type="character" w:customStyle="1" w:styleId="TextoindependienteCar">
    <w:name w:val="Texto independiente Car"/>
    <w:link w:val="Textoindependiente"/>
    <w:rsid w:val="006556BE"/>
    <w:rPr>
      <w:rFonts w:ascii="Arial" w:hAnsi="Arial" w:cs="Arial"/>
      <w:kern w:val="1"/>
      <w:sz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AA3EB-A34F-4E0A-B5C9-09F961B9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3212</Words>
  <Characters>17670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PROYECTO DE INFORME</vt:lpstr>
    </vt:vector>
  </TitlesOfParts>
  <Company/>
  <LinksUpToDate>false</LinksUpToDate>
  <CharactersWithSpaces>20841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dc:title>
  <dc:creator>DEPTO3</dc:creator>
  <cp:lastModifiedBy>Tribunal1</cp:lastModifiedBy>
  <cp:revision>7</cp:revision>
  <cp:lastPrinted>2019-03-15T17:58:00Z</cp:lastPrinted>
  <dcterms:created xsi:type="dcterms:W3CDTF">2019-03-15T17:59:00Z</dcterms:created>
  <dcterms:modified xsi:type="dcterms:W3CDTF">2019-03-29T17:39:00Z</dcterms:modified>
</cp:coreProperties>
</file>