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74" w:rsidRPr="00C61614" w:rsidRDefault="003A6174" w:rsidP="00C62E4D">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 xml:space="preserve">RES. </w:t>
      </w:r>
      <w:r w:rsidR="001C6B93">
        <w:rPr>
          <w:rFonts w:cs="Arial"/>
          <w:b/>
          <w:sz w:val="28"/>
          <w:szCs w:val="28"/>
          <w:lang w:val="es-ES_tradnl"/>
        </w:rPr>
        <w:t>643</w:t>
      </w:r>
      <w:r>
        <w:rPr>
          <w:rFonts w:cs="Arial"/>
          <w:b/>
          <w:sz w:val="28"/>
          <w:szCs w:val="28"/>
          <w:lang w:val="es-ES_tradnl"/>
        </w:rPr>
        <w:t>/19</w:t>
      </w:r>
    </w:p>
    <w:p w:rsidR="003A6174" w:rsidRDefault="003A6174" w:rsidP="00C62E4D">
      <w:pPr>
        <w:keepNext/>
        <w:widowControl w:val="0"/>
        <w:tabs>
          <w:tab w:val="center" w:pos="4253"/>
        </w:tabs>
        <w:jc w:val="center"/>
        <w:rPr>
          <w:rFonts w:cs="Arial"/>
          <w:b/>
          <w:lang w:val="es-ES_tradnl"/>
        </w:rPr>
      </w:pPr>
    </w:p>
    <w:p w:rsidR="003A6174" w:rsidRDefault="003A6174" w:rsidP="00C62E4D">
      <w:pPr>
        <w:keepNext/>
        <w:widowControl w:val="0"/>
        <w:tabs>
          <w:tab w:val="center" w:pos="4253"/>
        </w:tabs>
        <w:jc w:val="center"/>
        <w:rPr>
          <w:rFonts w:ascii="Helvetica" w:hAnsi="Helvetica"/>
          <w:b/>
          <w:lang w:val="es-ES_tradnl"/>
        </w:rPr>
      </w:pPr>
      <w:r>
        <w:rPr>
          <w:rFonts w:ascii="Helvetica" w:hAnsi="Helvetica"/>
          <w:b/>
          <w:lang w:val="es-ES_tradnl"/>
        </w:rPr>
        <w:t>RESOLUCION ADOPTADA POR EL</w:t>
      </w:r>
    </w:p>
    <w:p w:rsidR="003A6174" w:rsidRDefault="003A6174" w:rsidP="00C62E4D">
      <w:pPr>
        <w:keepNext/>
        <w:widowControl w:val="0"/>
        <w:tabs>
          <w:tab w:val="left" w:pos="-720"/>
        </w:tabs>
        <w:jc w:val="center"/>
        <w:rPr>
          <w:rFonts w:ascii="Helvetica" w:hAnsi="Helvetica"/>
          <w:b/>
          <w:lang w:val="es-ES_tradnl"/>
        </w:rPr>
      </w:pPr>
    </w:p>
    <w:p w:rsidR="003A6174" w:rsidRDefault="003A6174" w:rsidP="00C62E4D">
      <w:pPr>
        <w:keepNext/>
        <w:widowControl w:val="0"/>
        <w:tabs>
          <w:tab w:val="center" w:pos="4253"/>
        </w:tabs>
        <w:jc w:val="center"/>
        <w:rPr>
          <w:rFonts w:ascii="Helvetica" w:hAnsi="Helvetica"/>
          <w:b/>
          <w:lang w:val="es-ES_tradnl"/>
        </w:rPr>
      </w:pPr>
      <w:r>
        <w:rPr>
          <w:rFonts w:ascii="Helvetica" w:hAnsi="Helvetica"/>
          <w:b/>
          <w:lang w:val="es-ES_tradnl"/>
        </w:rPr>
        <w:t>TRIBUNAL DE CUENTAS</w:t>
      </w:r>
    </w:p>
    <w:p w:rsidR="003A6174" w:rsidRDefault="003A6174" w:rsidP="00C62E4D">
      <w:pPr>
        <w:keepNext/>
        <w:widowControl w:val="0"/>
        <w:tabs>
          <w:tab w:val="left" w:pos="-720"/>
        </w:tabs>
        <w:jc w:val="center"/>
        <w:rPr>
          <w:rFonts w:ascii="Helvetica" w:hAnsi="Helvetica"/>
          <w:b/>
          <w:lang w:val="es-ES_tradnl"/>
        </w:rPr>
      </w:pPr>
    </w:p>
    <w:p w:rsidR="003A6174" w:rsidRDefault="003A6174" w:rsidP="00C62E4D">
      <w:pPr>
        <w:keepNext/>
        <w:widowControl w:val="0"/>
        <w:tabs>
          <w:tab w:val="center" w:pos="4253"/>
        </w:tabs>
        <w:jc w:val="center"/>
        <w:rPr>
          <w:rFonts w:ascii="Helvetica" w:hAnsi="Helvetica"/>
          <w:b/>
          <w:lang w:val="es-ES_tradnl"/>
        </w:rPr>
      </w:pPr>
      <w:r>
        <w:rPr>
          <w:rFonts w:ascii="Helvetica" w:hAnsi="Helvetica"/>
          <w:b/>
          <w:lang w:val="es-ES_tradnl"/>
        </w:rPr>
        <w:t>EN SESION DE FECHA 7 DE MARZO DE 2019</w:t>
      </w:r>
    </w:p>
    <w:p w:rsidR="003A6174" w:rsidRDefault="003A6174" w:rsidP="00C62E4D">
      <w:pPr>
        <w:keepNext/>
        <w:widowControl w:val="0"/>
        <w:tabs>
          <w:tab w:val="center" w:pos="4253"/>
        </w:tabs>
        <w:jc w:val="center"/>
        <w:rPr>
          <w:rFonts w:ascii="Helvetica" w:hAnsi="Helvetica"/>
          <w:b/>
          <w:lang w:val="es-ES_tradnl"/>
        </w:rPr>
      </w:pPr>
    </w:p>
    <w:p w:rsidR="00435D94" w:rsidRDefault="003A6174" w:rsidP="00C62E4D">
      <w:pPr>
        <w:keepNext/>
        <w:widowControl w:val="0"/>
        <w:tabs>
          <w:tab w:val="center" w:pos="4252"/>
        </w:tabs>
        <w:jc w:val="center"/>
        <w:rPr>
          <w:rFonts w:ascii="Helvetica" w:hAnsi="Helvetica"/>
          <w:b/>
        </w:rPr>
      </w:pPr>
      <w:r w:rsidRPr="00A06382">
        <w:rPr>
          <w:rFonts w:ascii="Helvetica" w:hAnsi="Helvetica"/>
          <w:b/>
        </w:rPr>
        <w:t>(E. E. Nº 201</w:t>
      </w:r>
      <w:r w:rsidR="00A06382" w:rsidRPr="00A06382">
        <w:rPr>
          <w:rFonts w:ascii="Helvetica" w:hAnsi="Helvetica"/>
          <w:b/>
        </w:rPr>
        <w:t>8</w:t>
      </w:r>
      <w:r w:rsidRPr="00A06382">
        <w:rPr>
          <w:rFonts w:ascii="Helvetica" w:hAnsi="Helvetica"/>
          <w:b/>
        </w:rPr>
        <w:t>-17-1-000</w:t>
      </w:r>
      <w:r w:rsidR="00A06382" w:rsidRPr="00A06382">
        <w:rPr>
          <w:rFonts w:ascii="Helvetica" w:hAnsi="Helvetica"/>
          <w:b/>
        </w:rPr>
        <w:t>2112</w:t>
      </w:r>
      <w:r w:rsidRPr="00A06382">
        <w:rPr>
          <w:rFonts w:ascii="Helvetica" w:hAnsi="Helvetica"/>
          <w:b/>
        </w:rPr>
        <w:t xml:space="preserve">, </w:t>
      </w:r>
      <w:proofErr w:type="spellStart"/>
      <w:r w:rsidRPr="00A06382">
        <w:rPr>
          <w:rFonts w:ascii="Helvetica" w:hAnsi="Helvetica"/>
          <w:b/>
        </w:rPr>
        <w:t>Ent</w:t>
      </w:r>
      <w:proofErr w:type="spellEnd"/>
      <w:r w:rsidRPr="00A06382">
        <w:rPr>
          <w:rFonts w:ascii="Helvetica" w:hAnsi="Helvetica"/>
          <w:b/>
        </w:rPr>
        <w:t xml:space="preserve">. N° </w:t>
      </w:r>
      <w:r w:rsidR="00A06382" w:rsidRPr="00A06382">
        <w:rPr>
          <w:rFonts w:ascii="Helvetica" w:hAnsi="Helvetica"/>
          <w:b/>
        </w:rPr>
        <w:t>1571/18</w:t>
      </w:r>
      <w:r w:rsidRPr="00A06382">
        <w:rPr>
          <w:rFonts w:ascii="Helvetica" w:hAnsi="Helvetica"/>
          <w:b/>
        </w:rPr>
        <w:t>)</w:t>
      </w:r>
    </w:p>
    <w:p w:rsidR="00194615" w:rsidRDefault="00194615" w:rsidP="00C62E4D">
      <w:pPr>
        <w:keepNext/>
        <w:widowControl w:val="0"/>
        <w:tabs>
          <w:tab w:val="center" w:pos="4252"/>
        </w:tabs>
        <w:jc w:val="center"/>
        <w:rPr>
          <w:rFonts w:ascii="Helvetica" w:hAnsi="Helvetica"/>
          <w:b/>
        </w:rPr>
      </w:pPr>
    </w:p>
    <w:p w:rsidR="00CB49A1" w:rsidRPr="00762B34" w:rsidRDefault="00CB49A1" w:rsidP="00C62E4D">
      <w:pPr>
        <w:keepNext/>
        <w:widowControl w:val="0"/>
        <w:tabs>
          <w:tab w:val="center" w:pos="4252"/>
        </w:tabs>
        <w:spacing w:line="360" w:lineRule="auto"/>
        <w:jc w:val="center"/>
        <w:rPr>
          <w:rFonts w:cs="Arial"/>
          <w:b/>
          <w:lang w:val="es-ES_tradnl"/>
        </w:rPr>
      </w:pPr>
    </w:p>
    <w:p w:rsidR="00435D94" w:rsidRDefault="00435D94" w:rsidP="00C62E4D">
      <w:pPr>
        <w:keepNext/>
        <w:widowControl w:val="0"/>
        <w:tabs>
          <w:tab w:val="left" w:pos="0"/>
          <w:tab w:val="right" w:pos="7938"/>
        </w:tabs>
        <w:spacing w:line="360" w:lineRule="auto"/>
        <w:ind w:firstLine="851"/>
        <w:jc w:val="both"/>
        <w:rPr>
          <w:bCs/>
        </w:rPr>
      </w:pPr>
      <w:r w:rsidRPr="0092423B">
        <w:rPr>
          <w:b/>
          <w:bCs/>
        </w:rPr>
        <w:t>VISTO:</w:t>
      </w:r>
      <w:r w:rsidRPr="003D5709">
        <w:rPr>
          <w:bCs/>
        </w:rPr>
        <w:t xml:space="preserve"> que este Tribunal ha examinado el Estado de Situación </w:t>
      </w:r>
      <w:r>
        <w:rPr>
          <w:bCs/>
        </w:rPr>
        <w:t>Financiera</w:t>
      </w:r>
      <w:r w:rsidR="003725EB">
        <w:rPr>
          <w:bCs/>
        </w:rPr>
        <w:t xml:space="preserve"> Ajustado por Inflación </w:t>
      </w:r>
      <w:r w:rsidRPr="003D5709">
        <w:rPr>
          <w:bCs/>
        </w:rPr>
        <w:t>al 31</w:t>
      </w:r>
      <w:r w:rsidR="003725EB">
        <w:rPr>
          <w:bCs/>
        </w:rPr>
        <w:t xml:space="preserve"> de diciembre de </w:t>
      </w:r>
      <w:r w:rsidRPr="003D5709">
        <w:rPr>
          <w:bCs/>
        </w:rPr>
        <w:t>201</w:t>
      </w:r>
      <w:r>
        <w:rPr>
          <w:bCs/>
        </w:rPr>
        <w:t>7</w:t>
      </w:r>
      <w:r w:rsidRPr="003D5709">
        <w:rPr>
          <w:bCs/>
        </w:rPr>
        <w:t xml:space="preserve"> y los correspondientes</w:t>
      </w:r>
      <w:r>
        <w:rPr>
          <w:bCs/>
        </w:rPr>
        <w:t>:</w:t>
      </w:r>
      <w:r w:rsidRPr="003D5709">
        <w:rPr>
          <w:bCs/>
        </w:rPr>
        <w:t xml:space="preserve"> </w:t>
      </w:r>
      <w:r>
        <w:rPr>
          <w:bCs/>
        </w:rPr>
        <w:t>Estado de Resultado</w:t>
      </w:r>
      <w:r w:rsidR="003725EB">
        <w:rPr>
          <w:bCs/>
        </w:rPr>
        <w:t xml:space="preserve"> Integral y </w:t>
      </w:r>
      <w:r>
        <w:t xml:space="preserve">Estado de Flujo de Efectivo </w:t>
      </w:r>
      <w:r w:rsidR="003725EB">
        <w:t xml:space="preserve">ajustados por inflación, </w:t>
      </w:r>
      <w:r>
        <w:t>por el ejercicio comprendido entre el 1° de enero de 2017 y el 31 de diciembre de 2017</w:t>
      </w:r>
      <w:r>
        <w:rPr>
          <w:bCs/>
        </w:rPr>
        <w:t>,</w:t>
      </w:r>
      <w:r w:rsidRPr="003D5709">
        <w:rPr>
          <w:bCs/>
        </w:rPr>
        <w:t xml:space="preserve"> </w:t>
      </w:r>
      <w:r>
        <w:t xml:space="preserve">Estado de Cambios en el Patrimonio correspondiente al ejercicio </w:t>
      </w:r>
      <w:r w:rsidR="003725EB">
        <w:t>f</w:t>
      </w:r>
      <w:r>
        <w:t>inalizado el 31 de diciembre de 2017</w:t>
      </w:r>
      <w:r w:rsidR="003725EB">
        <w:t>, las</w:t>
      </w:r>
      <w:r>
        <w:rPr>
          <w:bCs/>
        </w:rPr>
        <w:t xml:space="preserve"> </w:t>
      </w:r>
      <w:r w:rsidR="003725EB">
        <w:rPr>
          <w:bCs/>
        </w:rPr>
        <w:t>n</w:t>
      </w:r>
      <w:r>
        <w:rPr>
          <w:bCs/>
        </w:rPr>
        <w:t xml:space="preserve">otas </w:t>
      </w:r>
      <w:r w:rsidR="003725EB">
        <w:rPr>
          <w:bCs/>
        </w:rPr>
        <w:t xml:space="preserve">de la principales políticas contables y otras notas explicativas, los Estados de </w:t>
      </w:r>
      <w:r>
        <w:rPr>
          <w:bCs/>
        </w:rPr>
        <w:t>Ejecución Presupuestal</w:t>
      </w:r>
      <w:r w:rsidRPr="003D5709">
        <w:rPr>
          <w:bCs/>
        </w:rPr>
        <w:t xml:space="preserve"> </w:t>
      </w:r>
      <w:r w:rsidR="003725EB">
        <w:rPr>
          <w:bCs/>
        </w:rPr>
        <w:t xml:space="preserve">del Fondo Jubilatorio y las Explotaciones Forestales y los Anexos </w:t>
      </w:r>
      <w:r w:rsidRPr="003D5709">
        <w:rPr>
          <w:bCs/>
        </w:rPr>
        <w:t>por el ejercicio comprend</w:t>
      </w:r>
      <w:r>
        <w:rPr>
          <w:bCs/>
        </w:rPr>
        <w:t>ido entre el 1º de enero de 2017 y el 31 de diciembre de 2017</w:t>
      </w:r>
      <w:r w:rsidRPr="003D5709">
        <w:rPr>
          <w:bCs/>
        </w:rPr>
        <w:t>, formulados en pesos uruguayos por la C</w:t>
      </w:r>
      <w:r>
        <w:rPr>
          <w:bCs/>
        </w:rPr>
        <w:t xml:space="preserve">aja de Jubilaciones y Pensiones </w:t>
      </w:r>
      <w:r w:rsidR="0033490C">
        <w:rPr>
          <w:bCs/>
        </w:rPr>
        <w:t>Bancarias</w:t>
      </w:r>
      <w:r>
        <w:rPr>
          <w:bCs/>
        </w:rPr>
        <w:t>;</w:t>
      </w:r>
    </w:p>
    <w:p w:rsidR="007C6813" w:rsidRPr="003D5709" w:rsidRDefault="00435D94" w:rsidP="00C62E4D">
      <w:pPr>
        <w:keepNext/>
        <w:widowControl w:val="0"/>
        <w:tabs>
          <w:tab w:val="left" w:pos="0"/>
          <w:tab w:val="right" w:pos="7938"/>
        </w:tabs>
        <w:spacing w:line="360" w:lineRule="auto"/>
        <w:ind w:firstLine="851"/>
        <w:jc w:val="both"/>
        <w:rPr>
          <w:bCs/>
        </w:rPr>
      </w:pPr>
      <w:r w:rsidRPr="0092423B">
        <w:rPr>
          <w:b/>
          <w:bCs/>
        </w:rPr>
        <w:t>RESULTANDO:</w:t>
      </w:r>
      <w:r w:rsidRPr="003D5709">
        <w:rPr>
          <w:bCs/>
        </w:rPr>
        <w:t xml:space="preserve">  </w:t>
      </w:r>
      <w:r w:rsidRPr="003D5709">
        <w:rPr>
          <w:bCs/>
        </w:rPr>
        <w:tab/>
        <w:t>que el examen practicado fue realizado de acuerdo con los Principios Fundamentales de Auditoría (ISSAI 100 y 200) y las Directrices de Auditoría Financiera (ISSAI 1000 a 1810) de la Organización Internacional de Entidades Fisca</w:t>
      </w:r>
      <w:r>
        <w:rPr>
          <w:bCs/>
        </w:rPr>
        <w:t>lizadoras Superiores (INTOSAI);</w:t>
      </w:r>
    </w:p>
    <w:p w:rsidR="007C6813" w:rsidRPr="003D5709" w:rsidRDefault="00435D94" w:rsidP="00C62E4D">
      <w:pPr>
        <w:keepNext/>
        <w:widowControl w:val="0"/>
        <w:tabs>
          <w:tab w:val="left" w:pos="0"/>
          <w:tab w:val="right" w:pos="7938"/>
        </w:tabs>
        <w:spacing w:line="360" w:lineRule="auto"/>
        <w:ind w:firstLine="851"/>
        <w:jc w:val="both"/>
        <w:rPr>
          <w:bCs/>
        </w:rPr>
      </w:pPr>
      <w:r w:rsidRPr="0092423B">
        <w:rPr>
          <w:b/>
          <w:bCs/>
        </w:rPr>
        <w:t>CONSIDERANDO</w:t>
      </w:r>
      <w:r w:rsidRPr="006C667A">
        <w:rPr>
          <w:b/>
          <w:bCs/>
        </w:rPr>
        <w:t>:</w:t>
      </w:r>
      <w:r w:rsidRPr="003D5709">
        <w:rPr>
          <w:bCs/>
        </w:rPr>
        <w:t xml:space="preserve"> que las conclusiones y evidencias obtenidas son las que se expresan en el Informe de Auditoría, que incluyen Dictamen e Informe a la Administración;</w:t>
      </w:r>
    </w:p>
    <w:p w:rsidR="00435D94" w:rsidRDefault="00435D94" w:rsidP="00C62E4D">
      <w:pPr>
        <w:keepNext/>
        <w:widowControl w:val="0"/>
        <w:tabs>
          <w:tab w:val="left" w:pos="0"/>
          <w:tab w:val="right" w:pos="7938"/>
        </w:tabs>
        <w:spacing w:line="360" w:lineRule="auto"/>
        <w:ind w:firstLine="851"/>
        <w:jc w:val="both"/>
        <w:rPr>
          <w:bCs/>
        </w:rPr>
      </w:pPr>
      <w:r w:rsidRPr="0092423B">
        <w:rPr>
          <w:b/>
          <w:bCs/>
        </w:rPr>
        <w:t>ATENTO</w:t>
      </w:r>
      <w:r w:rsidRPr="009832C1">
        <w:rPr>
          <w:b/>
          <w:bCs/>
        </w:rPr>
        <w:t>:</w:t>
      </w:r>
      <w:r w:rsidRPr="003D5709">
        <w:rPr>
          <w:bCs/>
        </w:rPr>
        <w:t xml:space="preserve"> a lo establecido en</w:t>
      </w:r>
      <w:r>
        <w:rPr>
          <w:bCs/>
        </w:rPr>
        <w:t xml:space="preserve"> el A</w:t>
      </w:r>
      <w:r w:rsidRPr="003D5709">
        <w:rPr>
          <w:bCs/>
        </w:rPr>
        <w:t>rtículo 159 del TOCAF y a la</w:t>
      </w:r>
      <w:r>
        <w:rPr>
          <w:bCs/>
        </w:rPr>
        <w:t>s</w:t>
      </w:r>
      <w:r w:rsidRPr="003D5709">
        <w:rPr>
          <w:bCs/>
        </w:rPr>
        <w:t xml:space="preserve"> Ordenanza</w:t>
      </w:r>
      <w:r>
        <w:rPr>
          <w:bCs/>
        </w:rPr>
        <w:t xml:space="preserve">s N° 82 y 89 </w:t>
      </w:r>
      <w:r w:rsidRPr="003D5709">
        <w:rPr>
          <w:bCs/>
        </w:rPr>
        <w:t>de este Tribunal</w:t>
      </w:r>
      <w:r>
        <w:rPr>
          <w:bCs/>
        </w:rPr>
        <w:t>;</w:t>
      </w:r>
    </w:p>
    <w:p w:rsidR="00747142" w:rsidRDefault="00747142" w:rsidP="00C62E4D">
      <w:pPr>
        <w:keepNext/>
        <w:widowControl w:val="0"/>
        <w:spacing w:after="200" w:line="276" w:lineRule="auto"/>
        <w:rPr>
          <w:bCs/>
        </w:rPr>
      </w:pPr>
      <w:r>
        <w:rPr>
          <w:bCs/>
        </w:rPr>
        <w:br w:type="page"/>
      </w:r>
    </w:p>
    <w:p w:rsidR="007C6813" w:rsidRPr="0092423B" w:rsidRDefault="00435D94" w:rsidP="00C62E4D">
      <w:pPr>
        <w:keepNext/>
        <w:widowControl w:val="0"/>
        <w:tabs>
          <w:tab w:val="left" w:pos="0"/>
          <w:tab w:val="right" w:pos="7938"/>
        </w:tabs>
        <w:spacing w:line="360" w:lineRule="auto"/>
        <w:jc w:val="center"/>
        <w:rPr>
          <w:b/>
          <w:bCs/>
        </w:rPr>
      </w:pPr>
      <w:r>
        <w:rPr>
          <w:b/>
          <w:bCs/>
        </w:rPr>
        <w:lastRenderedPageBreak/>
        <w:t>E</w:t>
      </w:r>
      <w:r w:rsidRPr="0092423B">
        <w:rPr>
          <w:b/>
          <w:bCs/>
        </w:rPr>
        <w:t>L TRIBUNAL ACUERDA</w:t>
      </w:r>
    </w:p>
    <w:p w:rsidR="00435D94" w:rsidRDefault="00435D94" w:rsidP="00C62E4D">
      <w:pPr>
        <w:keepNext/>
        <w:widowControl w:val="0"/>
        <w:tabs>
          <w:tab w:val="left" w:pos="426"/>
          <w:tab w:val="right" w:pos="7938"/>
        </w:tabs>
        <w:spacing w:line="360" w:lineRule="auto"/>
        <w:jc w:val="both"/>
        <w:rPr>
          <w:bCs/>
        </w:rPr>
      </w:pPr>
      <w:r w:rsidRPr="00D91275">
        <w:rPr>
          <w:b/>
          <w:bCs/>
        </w:rPr>
        <w:t>1)</w:t>
      </w:r>
      <w:r>
        <w:rPr>
          <w:bCs/>
        </w:rPr>
        <w:t xml:space="preserve">  </w:t>
      </w:r>
      <w:r w:rsidRPr="003D5709">
        <w:rPr>
          <w:bCs/>
        </w:rPr>
        <w:t>Expedirse en los términos del Info</w:t>
      </w:r>
      <w:r>
        <w:rPr>
          <w:bCs/>
        </w:rPr>
        <w:t>rme de Auditoría que se adjunta;</w:t>
      </w:r>
    </w:p>
    <w:p w:rsidR="00435D94" w:rsidRDefault="00435D94" w:rsidP="00C62E4D">
      <w:pPr>
        <w:keepNext/>
        <w:widowControl w:val="0"/>
        <w:tabs>
          <w:tab w:val="left" w:pos="426"/>
          <w:tab w:val="right" w:pos="7938"/>
        </w:tabs>
        <w:spacing w:line="360" w:lineRule="auto"/>
        <w:ind w:left="284" w:hanging="284"/>
        <w:jc w:val="both"/>
        <w:rPr>
          <w:bCs/>
        </w:rPr>
      </w:pPr>
      <w:r w:rsidRPr="00D91275">
        <w:rPr>
          <w:b/>
          <w:bCs/>
        </w:rPr>
        <w:t>2)</w:t>
      </w:r>
      <w:r>
        <w:rPr>
          <w:bCs/>
        </w:rPr>
        <w:t xml:space="preserve"> </w:t>
      </w:r>
      <w:r w:rsidRPr="003D5709">
        <w:rPr>
          <w:bCs/>
        </w:rPr>
        <w:t>Comunicar esta Resolución a la C</w:t>
      </w:r>
      <w:r>
        <w:rPr>
          <w:bCs/>
        </w:rPr>
        <w:t xml:space="preserve">aja de Jubilaciones y Pensiones </w:t>
      </w:r>
      <w:r w:rsidR="007C6813">
        <w:rPr>
          <w:bCs/>
        </w:rPr>
        <w:t xml:space="preserve">Bancarias </w:t>
      </w:r>
      <w:r w:rsidRPr="0092423B">
        <w:rPr>
          <w:bCs/>
        </w:rPr>
        <w:t>y al Ministerio de Trabajo y Seguridad Socia</w:t>
      </w:r>
      <w:r w:rsidR="00253CDD">
        <w:rPr>
          <w:bCs/>
        </w:rPr>
        <w:t>l; y</w:t>
      </w:r>
    </w:p>
    <w:p w:rsidR="00435D94" w:rsidRDefault="00435D94" w:rsidP="00C62E4D">
      <w:pPr>
        <w:keepNext/>
        <w:widowControl w:val="0"/>
        <w:tabs>
          <w:tab w:val="left" w:pos="0"/>
          <w:tab w:val="right" w:pos="7938"/>
        </w:tabs>
        <w:spacing w:line="360" w:lineRule="auto"/>
        <w:jc w:val="both"/>
        <w:rPr>
          <w:bCs/>
        </w:rPr>
      </w:pPr>
      <w:r w:rsidRPr="00D91275">
        <w:rPr>
          <w:b/>
          <w:bCs/>
        </w:rPr>
        <w:t>3)</w:t>
      </w:r>
      <w:r>
        <w:rPr>
          <w:bCs/>
        </w:rPr>
        <w:t xml:space="preserve">  </w:t>
      </w:r>
      <w:r w:rsidRPr="003D5709">
        <w:rPr>
          <w:bCs/>
        </w:rPr>
        <w:t>Dar cuenta a la Asamblea General.</w:t>
      </w:r>
    </w:p>
    <w:p w:rsidR="00D4658D" w:rsidRDefault="00D4658D" w:rsidP="00C62E4D">
      <w:pPr>
        <w:keepNext/>
        <w:widowControl w:val="0"/>
        <w:tabs>
          <w:tab w:val="left" w:pos="0"/>
          <w:tab w:val="right" w:pos="7938"/>
        </w:tabs>
        <w:spacing w:line="360" w:lineRule="auto"/>
        <w:jc w:val="both"/>
        <w:rPr>
          <w:bCs/>
        </w:rPr>
      </w:pPr>
    </w:p>
    <w:p w:rsidR="00D4658D" w:rsidRPr="003D5709" w:rsidRDefault="00D4658D" w:rsidP="00C62E4D">
      <w:pPr>
        <w:keepNext/>
        <w:widowControl w:val="0"/>
        <w:tabs>
          <w:tab w:val="left" w:pos="0"/>
          <w:tab w:val="right" w:pos="7938"/>
        </w:tabs>
        <w:spacing w:line="360" w:lineRule="auto"/>
        <w:jc w:val="both"/>
        <w:rPr>
          <w:bCs/>
        </w:rPr>
      </w:pPr>
      <w:proofErr w:type="gramStart"/>
      <w:r>
        <w:rPr>
          <w:bCs/>
        </w:rPr>
        <w:t>ag</w:t>
      </w:r>
      <w:proofErr w:type="gramEnd"/>
    </w:p>
    <w:p w:rsidR="00F126E3" w:rsidRDefault="00F126E3"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Default="00C62E4D" w:rsidP="00C62E4D">
      <w:pPr>
        <w:keepNext/>
        <w:widowControl w:val="0"/>
      </w:pPr>
    </w:p>
    <w:p w:rsidR="00C62E4D" w:rsidRPr="002A39FC" w:rsidRDefault="00C62E4D" w:rsidP="00C62E4D">
      <w:pPr>
        <w:keepNext/>
        <w:widowControl w:val="0"/>
        <w:jc w:val="center"/>
        <w:rPr>
          <w:rFonts w:cs="Arial"/>
          <w:b/>
        </w:rPr>
      </w:pPr>
      <w:r>
        <w:rPr>
          <w:rFonts w:cs="Arial"/>
          <w:b/>
        </w:rPr>
        <w:t>DICTAMEN</w:t>
      </w:r>
    </w:p>
    <w:p w:rsidR="00C62E4D" w:rsidRDefault="00C62E4D" w:rsidP="00C62E4D">
      <w:pPr>
        <w:keepNext/>
        <w:widowControl w:val="0"/>
        <w:spacing w:line="260" w:lineRule="atLeast"/>
        <w:jc w:val="both"/>
        <w:rPr>
          <w:rFonts w:cs="Arial"/>
        </w:rPr>
      </w:pPr>
    </w:p>
    <w:p w:rsidR="00C62E4D" w:rsidRPr="002A39FC" w:rsidRDefault="00C62E4D" w:rsidP="00C62E4D">
      <w:pPr>
        <w:keepNext/>
        <w:widowControl w:val="0"/>
        <w:spacing w:line="360" w:lineRule="auto"/>
        <w:jc w:val="both"/>
        <w:rPr>
          <w:rFonts w:cs="Arial"/>
          <w:sz w:val="18"/>
          <w:szCs w:val="18"/>
        </w:rPr>
      </w:pPr>
      <w:r w:rsidRPr="002A39FC">
        <w:rPr>
          <w:rFonts w:cs="Arial"/>
          <w:b/>
        </w:rPr>
        <w:t xml:space="preserve">Opinión </w:t>
      </w:r>
      <w:r w:rsidR="00253CDD">
        <w:rPr>
          <w:rFonts w:cs="Arial"/>
          <w:b/>
        </w:rPr>
        <w:t>sin salvedades.</w:t>
      </w:r>
    </w:p>
    <w:p w:rsidR="00C62E4D" w:rsidRPr="002A39FC" w:rsidRDefault="00C62E4D" w:rsidP="00C62E4D">
      <w:pPr>
        <w:keepNext/>
        <w:widowControl w:val="0"/>
        <w:spacing w:line="360" w:lineRule="auto"/>
        <w:jc w:val="both"/>
        <w:rPr>
          <w:rFonts w:cs="Arial"/>
        </w:rPr>
      </w:pPr>
      <w:r w:rsidRPr="002A39FC">
        <w:rPr>
          <w:rFonts w:cs="Arial"/>
        </w:rPr>
        <w:t xml:space="preserve">El Tribunal de Cuentas ha auditado los estados financieros </w:t>
      </w:r>
      <w:r>
        <w:rPr>
          <w:rFonts w:cs="Arial"/>
        </w:rPr>
        <w:t xml:space="preserve">consolidados </w:t>
      </w:r>
      <w:r w:rsidRPr="002A39FC">
        <w:rPr>
          <w:rFonts w:cs="Arial"/>
        </w:rPr>
        <w:t>de</w:t>
      </w:r>
      <w:r>
        <w:rPr>
          <w:rFonts w:cs="Arial"/>
        </w:rPr>
        <w:t xml:space="preserve"> la Caja de Jubilaciones y Pensiones Bancarias,</w:t>
      </w:r>
      <w:r w:rsidRPr="002A39FC">
        <w:rPr>
          <w:rFonts w:cs="Arial"/>
        </w:rPr>
        <w:t xml:space="preserve"> los que comprenden el Estado de Situación Financiera </w:t>
      </w:r>
      <w:r>
        <w:rPr>
          <w:rFonts w:cs="Arial"/>
        </w:rPr>
        <w:t xml:space="preserve">Ajustado por Inflación </w:t>
      </w:r>
      <w:r w:rsidRPr="002A39FC">
        <w:rPr>
          <w:rFonts w:cs="Arial"/>
        </w:rPr>
        <w:t xml:space="preserve">al </w:t>
      </w:r>
      <w:r>
        <w:rPr>
          <w:rFonts w:cs="Arial"/>
        </w:rPr>
        <w:t>31 de diciembre de 2017</w:t>
      </w:r>
      <w:r w:rsidRPr="002A39FC">
        <w:rPr>
          <w:rFonts w:cs="Arial"/>
        </w:rPr>
        <w:t xml:space="preserve">, los correspondientes </w:t>
      </w:r>
      <w:r>
        <w:rPr>
          <w:rFonts w:cs="Arial"/>
        </w:rPr>
        <w:t>Estado de Resultado</w:t>
      </w:r>
      <w:r w:rsidRPr="002A39FC">
        <w:rPr>
          <w:rFonts w:cs="Arial"/>
        </w:rPr>
        <w:t xml:space="preserve"> Integral, de Cambios en el Patrimonio</w:t>
      </w:r>
      <w:r>
        <w:rPr>
          <w:rFonts w:cs="Arial"/>
        </w:rPr>
        <w:t xml:space="preserve"> y</w:t>
      </w:r>
      <w:r w:rsidRPr="002A39FC">
        <w:rPr>
          <w:rFonts w:cs="Arial"/>
        </w:rPr>
        <w:t xml:space="preserve"> de Flujo</w:t>
      </w:r>
      <w:r>
        <w:rPr>
          <w:rFonts w:cs="Arial"/>
        </w:rPr>
        <w:t xml:space="preserve"> de Efectivo ajustados por inflación, </w:t>
      </w:r>
      <w:r w:rsidRPr="002A39FC">
        <w:rPr>
          <w:rFonts w:cs="Arial"/>
        </w:rPr>
        <w:t xml:space="preserve">por </w:t>
      </w:r>
      <w:r>
        <w:rPr>
          <w:rFonts w:cs="Arial"/>
        </w:rPr>
        <w:t>el</w:t>
      </w:r>
      <w:r w:rsidRPr="002A39FC">
        <w:rPr>
          <w:rFonts w:cs="Arial"/>
        </w:rPr>
        <w:t xml:space="preserve"> ejercicio anual finalizado en esa fecha, las notas de</w:t>
      </w:r>
      <w:r>
        <w:rPr>
          <w:rFonts w:cs="Arial"/>
        </w:rPr>
        <w:t xml:space="preserve"> las principales</w:t>
      </w:r>
      <w:r w:rsidRPr="002A39FC">
        <w:rPr>
          <w:rFonts w:cs="Arial"/>
        </w:rPr>
        <w:t xml:space="preserve"> políticas contables y otras notas explicativas</w:t>
      </w:r>
      <w:r>
        <w:rPr>
          <w:rFonts w:cs="Arial"/>
        </w:rPr>
        <w:t>, los Estados de Ejecución Presupuestal</w:t>
      </w:r>
      <w:r w:rsidRPr="002A39FC">
        <w:rPr>
          <w:rFonts w:cs="Arial"/>
        </w:rPr>
        <w:t xml:space="preserve"> </w:t>
      </w:r>
      <w:r>
        <w:rPr>
          <w:rFonts w:cs="Arial"/>
        </w:rPr>
        <w:t xml:space="preserve">del Fondo Jubilatorio </w:t>
      </w:r>
      <w:r w:rsidRPr="002A39FC">
        <w:rPr>
          <w:rFonts w:cs="Arial"/>
        </w:rPr>
        <w:t xml:space="preserve">y </w:t>
      </w:r>
      <w:r>
        <w:rPr>
          <w:rFonts w:cs="Arial"/>
        </w:rPr>
        <w:t xml:space="preserve">las Explotaciones Forestales, y </w:t>
      </w:r>
      <w:r w:rsidR="00253CDD">
        <w:rPr>
          <w:rFonts w:cs="Arial"/>
        </w:rPr>
        <w:t>los Anexos.</w:t>
      </w:r>
    </w:p>
    <w:p w:rsidR="00C62E4D" w:rsidRDefault="00C62E4D" w:rsidP="00C62E4D">
      <w:pPr>
        <w:keepNext/>
        <w:widowControl w:val="0"/>
        <w:spacing w:line="360" w:lineRule="auto"/>
        <w:jc w:val="both"/>
        <w:rPr>
          <w:rFonts w:cs="Arial"/>
        </w:rPr>
      </w:pPr>
      <w:r w:rsidRPr="002A39FC">
        <w:rPr>
          <w:rFonts w:cs="Arial"/>
        </w:rPr>
        <w:t xml:space="preserve">En opinión del Tribunal de Cuentas los estados financieros </w:t>
      </w:r>
      <w:r>
        <w:rPr>
          <w:rFonts w:cs="Arial"/>
        </w:rPr>
        <w:t>consolidados</w:t>
      </w:r>
      <w:r w:rsidRPr="002A39FC">
        <w:rPr>
          <w:rFonts w:cs="Arial"/>
          <w:sz w:val="18"/>
          <w:szCs w:val="18"/>
        </w:rPr>
        <w:t xml:space="preserve"> </w:t>
      </w:r>
      <w:r w:rsidRPr="002A39FC">
        <w:rPr>
          <w:rFonts w:cs="Arial"/>
        </w:rPr>
        <w:t xml:space="preserve">referidos precedentemente presentan razonablemente, en todos sus aspectos significativos, la situación financiera </w:t>
      </w:r>
      <w:r>
        <w:rPr>
          <w:rFonts w:cs="Arial"/>
        </w:rPr>
        <w:t>de la Caja de Jubilaciones y Pensiones Bancarias</w:t>
      </w:r>
      <w:r w:rsidRPr="002A39FC">
        <w:rPr>
          <w:rFonts w:cs="Arial"/>
        </w:rPr>
        <w:t xml:space="preserve"> al </w:t>
      </w:r>
      <w:r>
        <w:rPr>
          <w:rFonts w:cs="Arial"/>
        </w:rPr>
        <w:t>31 de diciembre de 2017</w:t>
      </w:r>
      <w:r w:rsidRPr="002A39FC">
        <w:rPr>
          <w:rFonts w:cs="Arial"/>
        </w:rPr>
        <w:t xml:space="preserve">, los resultados de sus operaciones y los flujos de efectivo correspondientes al ejercicio anual terminado en esa fecha, de acuerdo </w:t>
      </w:r>
      <w:r>
        <w:rPr>
          <w:rFonts w:cs="Arial"/>
        </w:rPr>
        <w:t>a los criterios establecidos en las Ordenanzas 82 y 89 del Tribunal de Cuentas y la normativa vigente en materia de ejecució</w:t>
      </w:r>
      <w:r w:rsidR="00253CDD">
        <w:rPr>
          <w:rFonts w:cs="Arial"/>
        </w:rPr>
        <w:t>n presupuestal.</w:t>
      </w:r>
    </w:p>
    <w:p w:rsidR="00C62E4D" w:rsidRPr="002A39FC" w:rsidRDefault="00C62E4D" w:rsidP="00C62E4D">
      <w:pPr>
        <w:keepNext/>
        <w:widowControl w:val="0"/>
        <w:spacing w:line="360" w:lineRule="auto"/>
        <w:jc w:val="both"/>
        <w:rPr>
          <w:rFonts w:cs="Arial"/>
          <w:b/>
          <w:highlight w:val="yellow"/>
        </w:rPr>
      </w:pPr>
    </w:p>
    <w:p w:rsidR="00C62E4D" w:rsidRPr="002A39FC" w:rsidRDefault="00C62E4D" w:rsidP="00C62E4D">
      <w:pPr>
        <w:keepNext/>
        <w:widowControl w:val="0"/>
        <w:spacing w:line="360" w:lineRule="auto"/>
        <w:jc w:val="both"/>
        <w:rPr>
          <w:rFonts w:cs="Arial"/>
          <w:b/>
        </w:rPr>
      </w:pPr>
      <w:r w:rsidRPr="002A39FC">
        <w:rPr>
          <w:rFonts w:cs="Arial"/>
          <w:b/>
        </w:rPr>
        <w:t>Opinión respecto al cumplimiento de la normativa legal aplicable</w:t>
      </w:r>
      <w:r w:rsidR="00253CDD">
        <w:rPr>
          <w:rFonts w:cs="Arial"/>
          <w:b/>
        </w:rPr>
        <w:t>.</w:t>
      </w:r>
    </w:p>
    <w:p w:rsidR="00C62E4D" w:rsidRPr="002A39FC" w:rsidRDefault="00C62E4D" w:rsidP="00C62E4D">
      <w:pPr>
        <w:keepNext/>
        <w:widowControl w:val="0"/>
        <w:spacing w:line="360" w:lineRule="auto"/>
        <w:jc w:val="both"/>
        <w:rPr>
          <w:rFonts w:cs="Arial"/>
        </w:rPr>
      </w:pPr>
      <w:r w:rsidRPr="002A39FC">
        <w:rPr>
          <w:rFonts w:cs="Arial"/>
        </w:rPr>
        <w:t xml:space="preserve">En el curso de la auditoría no se han constatado incumplimientos a las </w:t>
      </w:r>
      <w:r>
        <w:rPr>
          <w:rFonts w:cs="Arial"/>
        </w:rPr>
        <w:t>disposiciones legales y reglamentarias vigentes, relacionadas con los estados financieros</w:t>
      </w:r>
      <w:r w:rsidRPr="002A39FC">
        <w:rPr>
          <w:rFonts w:cs="Arial"/>
        </w:rPr>
        <w:t>.</w:t>
      </w:r>
    </w:p>
    <w:p w:rsidR="00C62E4D" w:rsidRPr="002A39FC" w:rsidRDefault="00C62E4D" w:rsidP="00C62E4D">
      <w:pPr>
        <w:keepNext/>
        <w:widowControl w:val="0"/>
        <w:spacing w:line="360" w:lineRule="auto"/>
        <w:jc w:val="both"/>
        <w:rPr>
          <w:rFonts w:cs="Arial"/>
        </w:rPr>
      </w:pPr>
    </w:p>
    <w:p w:rsidR="00C62E4D" w:rsidRPr="002A39FC" w:rsidRDefault="00C62E4D" w:rsidP="00C62E4D">
      <w:pPr>
        <w:keepNext/>
        <w:widowControl w:val="0"/>
        <w:spacing w:line="360" w:lineRule="auto"/>
        <w:jc w:val="both"/>
        <w:rPr>
          <w:rFonts w:cs="Arial"/>
          <w:b/>
        </w:rPr>
      </w:pPr>
      <w:r w:rsidRPr="002A39FC">
        <w:rPr>
          <w:rFonts w:cs="Arial"/>
          <w:b/>
        </w:rPr>
        <w:t>Bases para  la Opinión</w:t>
      </w:r>
      <w:r>
        <w:rPr>
          <w:rFonts w:cs="Arial"/>
          <w:b/>
        </w:rPr>
        <w:t xml:space="preserve"> sin salvedades</w:t>
      </w:r>
      <w:r w:rsidR="00253CDD">
        <w:rPr>
          <w:rFonts w:cs="Arial"/>
          <w:b/>
        </w:rPr>
        <w:t>.</w:t>
      </w:r>
    </w:p>
    <w:p w:rsidR="00C62E4D" w:rsidRDefault="00C62E4D" w:rsidP="00C62E4D">
      <w:pPr>
        <w:keepNext/>
        <w:widowControl w:val="0"/>
        <w:spacing w:line="360" w:lineRule="auto"/>
        <w:jc w:val="both"/>
        <w:rPr>
          <w:rFonts w:cs="Arial"/>
        </w:rPr>
      </w:pPr>
      <w:r w:rsidRPr="002A39FC">
        <w:rPr>
          <w:rFonts w:cs="Arial"/>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w:t>
      </w:r>
      <w:r w:rsidRPr="002A39FC">
        <w:rPr>
          <w:rFonts w:cs="Arial"/>
          <w:i/>
        </w:rPr>
        <w:t>Responsabilidad del Tribunal de Cuentas por la auditoría de los estados financieros</w:t>
      </w:r>
      <w:r w:rsidRPr="002A39FC">
        <w:rPr>
          <w:rFonts w:cs="Arial"/>
        </w:rPr>
        <w:t>. Este Tribunal es independiente de</w:t>
      </w:r>
      <w:r>
        <w:rPr>
          <w:rFonts w:cs="Arial"/>
        </w:rPr>
        <w:t xml:space="preserve"> la Caja de Jubilaciones y Pensiones Bancarias </w:t>
      </w:r>
      <w:r w:rsidRPr="002A39FC">
        <w:rPr>
          <w:rFonts w:cs="Arial"/>
        </w:rPr>
        <w:t>y ha cumplido con las disposiciones de su Código de Ética, elaborado en concordancia con el Código de Ética de la INTOSAI. Se considera que la evidencia de auditoría obtenida es suficiente y adecuada para proporcionar una base razon</w:t>
      </w:r>
      <w:r>
        <w:rPr>
          <w:rFonts w:cs="Arial"/>
        </w:rPr>
        <w:t>able para sustentar la opinión.</w:t>
      </w:r>
    </w:p>
    <w:p w:rsidR="00C62E4D" w:rsidRPr="002A39FC" w:rsidRDefault="00C62E4D" w:rsidP="00C62E4D">
      <w:pPr>
        <w:keepNext/>
        <w:widowControl w:val="0"/>
        <w:spacing w:line="360" w:lineRule="auto"/>
        <w:jc w:val="both"/>
        <w:rPr>
          <w:rFonts w:cs="Arial"/>
        </w:rPr>
      </w:pPr>
    </w:p>
    <w:p w:rsidR="00C62E4D" w:rsidRDefault="00C62E4D" w:rsidP="00C62E4D">
      <w:pPr>
        <w:keepNext/>
        <w:widowControl w:val="0"/>
        <w:spacing w:line="360" w:lineRule="auto"/>
        <w:jc w:val="both"/>
        <w:rPr>
          <w:rFonts w:cs="Arial"/>
          <w:b/>
        </w:rPr>
      </w:pPr>
      <w:r w:rsidRPr="002A39FC">
        <w:rPr>
          <w:rFonts w:cs="Arial"/>
          <w:b/>
        </w:rPr>
        <w:t xml:space="preserve">Responsabilidad del </w:t>
      </w:r>
      <w:r>
        <w:rPr>
          <w:rFonts w:cs="Arial"/>
          <w:b/>
        </w:rPr>
        <w:t>Consejo Honorario</w:t>
      </w:r>
      <w:r w:rsidRPr="002A39FC">
        <w:rPr>
          <w:rFonts w:cs="Arial"/>
          <w:b/>
        </w:rPr>
        <w:t xml:space="preserve"> en relación</w:t>
      </w:r>
      <w:r w:rsidR="00253CDD">
        <w:rPr>
          <w:rFonts w:cs="Arial"/>
          <w:b/>
        </w:rPr>
        <w:t xml:space="preserve"> con los estados financieros.</w:t>
      </w:r>
    </w:p>
    <w:p w:rsidR="00C62E4D" w:rsidRPr="002A39FC" w:rsidRDefault="00C62E4D" w:rsidP="00C62E4D">
      <w:pPr>
        <w:keepNext/>
        <w:widowControl w:val="0"/>
        <w:spacing w:line="360" w:lineRule="auto"/>
        <w:jc w:val="both"/>
        <w:rPr>
          <w:rFonts w:cs="Arial"/>
        </w:rPr>
      </w:pPr>
      <w:r w:rsidRPr="002A39FC">
        <w:rPr>
          <w:rFonts w:cs="Arial"/>
        </w:rPr>
        <w:t xml:space="preserve">El </w:t>
      </w:r>
      <w:r>
        <w:rPr>
          <w:rFonts w:cs="Arial"/>
        </w:rPr>
        <w:t>Consejo Honorario de la Caja de Jubilaciones y Pensiones Bancarias</w:t>
      </w:r>
      <w:r w:rsidRPr="002A39FC">
        <w:rPr>
          <w:rFonts w:cs="Arial"/>
        </w:rPr>
        <w:t xml:space="preserve"> es responsable por la preparación y presentación razonable de los estados financieros de acuerdo </w:t>
      </w:r>
      <w:r>
        <w:rPr>
          <w:rFonts w:cs="Arial"/>
        </w:rPr>
        <w:t>a los criterios establecidos en las Ordenanzas 82 y 89 del Tribunal de Cuentas y la normativa vigente en materia de ejecución presupuestal,</w:t>
      </w:r>
      <w:r w:rsidRPr="002A39FC">
        <w:rPr>
          <w:rFonts w:cs="Arial"/>
        </w:rPr>
        <w:t xml:space="preserve"> y del control interno que la administración de la entidad consideró necesario para permitir la preparación de estados financieros libres de errores significativos ya sea debido a fraude o error.</w:t>
      </w:r>
    </w:p>
    <w:p w:rsidR="00A95BD6" w:rsidRDefault="00C62E4D" w:rsidP="00C62E4D">
      <w:pPr>
        <w:keepNext/>
        <w:widowControl w:val="0"/>
        <w:spacing w:line="360" w:lineRule="auto"/>
        <w:jc w:val="both"/>
        <w:rPr>
          <w:rFonts w:cs="Arial"/>
        </w:rPr>
      </w:pPr>
      <w:r w:rsidRPr="002A39FC">
        <w:rPr>
          <w:rFonts w:cs="Arial"/>
        </w:rPr>
        <w:t xml:space="preserve">El </w:t>
      </w:r>
      <w:r>
        <w:rPr>
          <w:rFonts w:cs="Arial"/>
        </w:rPr>
        <w:t>Consejo Honorario</w:t>
      </w:r>
      <w:r w:rsidRPr="002A39FC">
        <w:rPr>
          <w:rFonts w:cs="Arial"/>
        </w:rPr>
        <w:t xml:space="preserve"> es responsable de supervisar el proceso de preparación de los estados financieros de </w:t>
      </w:r>
      <w:r>
        <w:rPr>
          <w:rFonts w:cs="Arial"/>
        </w:rPr>
        <w:t>la Caja de Jubilaciones y Pensiones Bancarias</w:t>
      </w:r>
      <w:r w:rsidRPr="002A39FC">
        <w:rPr>
          <w:rFonts w:cs="Arial"/>
        </w:rPr>
        <w:t>.</w:t>
      </w:r>
    </w:p>
    <w:p w:rsidR="00C62E4D" w:rsidRPr="002A39FC" w:rsidRDefault="00292EE5" w:rsidP="00C62E4D">
      <w:pPr>
        <w:keepNext/>
        <w:widowControl w:val="0"/>
        <w:spacing w:line="360" w:lineRule="auto"/>
        <w:jc w:val="both"/>
        <w:rPr>
          <w:rFonts w:cs="Arial"/>
          <w:b/>
        </w:rPr>
      </w:pPr>
      <w:r w:rsidRPr="002A39FC">
        <w:rPr>
          <w:rFonts w:cs="Arial"/>
          <w:b/>
        </w:rPr>
        <w:t xml:space="preserve"> </w:t>
      </w:r>
    </w:p>
    <w:p w:rsidR="00C62E4D" w:rsidRPr="002A39FC" w:rsidRDefault="00C62E4D" w:rsidP="00C62E4D">
      <w:pPr>
        <w:keepNext/>
        <w:widowControl w:val="0"/>
        <w:spacing w:line="360" w:lineRule="auto"/>
        <w:jc w:val="both"/>
        <w:rPr>
          <w:rFonts w:cs="Arial"/>
          <w:b/>
        </w:rPr>
      </w:pPr>
      <w:r w:rsidRPr="002A39FC">
        <w:rPr>
          <w:rFonts w:cs="Arial"/>
          <w:b/>
        </w:rPr>
        <w:t>Responsabilidad del Tribunal de Cuentas por la audit</w:t>
      </w:r>
      <w:r>
        <w:rPr>
          <w:rFonts w:cs="Arial"/>
          <w:b/>
        </w:rPr>
        <w:t>oría de los estados financieros.</w:t>
      </w:r>
    </w:p>
    <w:p w:rsidR="00C62E4D" w:rsidRPr="002A39FC" w:rsidRDefault="00C62E4D" w:rsidP="00C62E4D">
      <w:pPr>
        <w:keepNext/>
        <w:widowControl w:val="0"/>
        <w:spacing w:line="360" w:lineRule="auto"/>
        <w:jc w:val="both"/>
        <w:rPr>
          <w:rFonts w:cs="Arial"/>
        </w:rPr>
      </w:pPr>
      <w:r w:rsidRPr="002A39FC">
        <w:rPr>
          <w:rFonts w:cs="Arial"/>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C62E4D" w:rsidRPr="002A39FC" w:rsidRDefault="00C62E4D" w:rsidP="00C62E4D">
      <w:pPr>
        <w:keepNext/>
        <w:widowControl w:val="0"/>
        <w:spacing w:line="360" w:lineRule="auto"/>
        <w:jc w:val="both"/>
        <w:rPr>
          <w:rFonts w:cs="Arial"/>
        </w:rPr>
      </w:pPr>
      <w:r w:rsidRPr="002A39FC">
        <w:rPr>
          <w:rFonts w:cs="Arial"/>
        </w:rPr>
        <w:t xml:space="preserve">Como parte de una auditoría de acuerdo con las ISSAI referidas en la sección </w:t>
      </w:r>
      <w:r w:rsidRPr="002A39FC">
        <w:rPr>
          <w:rFonts w:cs="Arial"/>
          <w:i/>
        </w:rPr>
        <w:t>Bases para la Opinión</w:t>
      </w:r>
      <w:r w:rsidRPr="002A39FC">
        <w:rPr>
          <w:rFonts w:cs="Arial"/>
        </w:rPr>
        <w:t>, el Tribunal de Cuentas aplica su juicio profesional y mantiene el escepticismo profesional durante el proceso de auditoría. Asimismo:</w:t>
      </w:r>
    </w:p>
    <w:p w:rsidR="00C62E4D" w:rsidRPr="002A39FC" w:rsidRDefault="00C62E4D" w:rsidP="00C62E4D">
      <w:pPr>
        <w:keepNext/>
        <w:widowControl w:val="0"/>
        <w:numPr>
          <w:ilvl w:val="0"/>
          <w:numId w:val="1"/>
        </w:numPr>
        <w:spacing w:line="360" w:lineRule="auto"/>
        <w:ind w:left="0"/>
        <w:contextualSpacing/>
        <w:jc w:val="both"/>
        <w:rPr>
          <w:rFonts w:cs="Arial"/>
        </w:rPr>
      </w:pPr>
      <w:r w:rsidRPr="002A39FC">
        <w:rPr>
          <w:rFonts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253CDD">
        <w:rPr>
          <w:rFonts w:cs="Arial"/>
        </w:rPr>
        <w:t>artamientos de control interno.</w:t>
      </w:r>
    </w:p>
    <w:p w:rsidR="00C62E4D" w:rsidRPr="002A39FC" w:rsidRDefault="00C62E4D" w:rsidP="00C62E4D">
      <w:pPr>
        <w:keepNext/>
        <w:widowControl w:val="0"/>
        <w:numPr>
          <w:ilvl w:val="0"/>
          <w:numId w:val="1"/>
        </w:numPr>
        <w:spacing w:line="360" w:lineRule="auto"/>
        <w:ind w:left="0"/>
        <w:contextualSpacing/>
        <w:jc w:val="both"/>
        <w:rPr>
          <w:rFonts w:cs="Arial"/>
        </w:rPr>
      </w:pPr>
      <w:r w:rsidRPr="002A39FC">
        <w:rPr>
          <w:rFonts w:cs="Arial"/>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C62E4D" w:rsidRPr="002A39FC" w:rsidRDefault="00C62E4D" w:rsidP="00C62E4D">
      <w:pPr>
        <w:keepNext/>
        <w:widowControl w:val="0"/>
        <w:numPr>
          <w:ilvl w:val="0"/>
          <w:numId w:val="1"/>
        </w:numPr>
        <w:spacing w:line="360" w:lineRule="auto"/>
        <w:ind w:left="0"/>
        <w:contextualSpacing/>
        <w:jc w:val="both"/>
        <w:rPr>
          <w:rFonts w:cs="Arial"/>
        </w:rPr>
      </w:pPr>
      <w:r w:rsidRPr="002A39FC">
        <w:rPr>
          <w:rFonts w:cs="Arial"/>
        </w:rPr>
        <w:t>Evalúa lo adecuado de las políticas contables adoptadas, la razonabilidad de las estimaciones contables y las revelaciones relacionadas realizadas por la Dirección.</w:t>
      </w:r>
    </w:p>
    <w:p w:rsidR="00C62E4D" w:rsidRPr="002A39FC" w:rsidRDefault="00C62E4D" w:rsidP="00253CDD">
      <w:pPr>
        <w:keepNext/>
        <w:widowControl w:val="0"/>
        <w:numPr>
          <w:ilvl w:val="0"/>
          <w:numId w:val="1"/>
        </w:numPr>
        <w:spacing w:line="360" w:lineRule="auto"/>
        <w:ind w:left="0"/>
        <w:contextualSpacing/>
        <w:jc w:val="both"/>
        <w:rPr>
          <w:rFonts w:cs="Arial"/>
        </w:rPr>
      </w:pPr>
      <w:r w:rsidRPr="002A39FC">
        <w:rPr>
          <w:rFonts w:cs="Arial"/>
        </w:rPr>
        <w:t>Evalúa la presentación general, la estructura y contenido de los estados financieros, incluyendo las revelaciones y si los esta</w:t>
      </w:r>
      <w:r>
        <w:rPr>
          <w:rFonts w:cs="Arial"/>
        </w:rPr>
        <w:t>dos financieros representan las t</w:t>
      </w:r>
      <w:r w:rsidRPr="002A39FC">
        <w:rPr>
          <w:rFonts w:cs="Arial"/>
        </w:rPr>
        <w:t>ransacciones y eventos subyacentes de un modo que se logre una representación fiel de los mismos.</w:t>
      </w:r>
    </w:p>
    <w:p w:rsidR="00C62E4D" w:rsidRDefault="00C62E4D" w:rsidP="00C62E4D">
      <w:pPr>
        <w:keepNext/>
        <w:widowControl w:val="0"/>
        <w:spacing w:line="360" w:lineRule="auto"/>
        <w:jc w:val="both"/>
        <w:rPr>
          <w:rFonts w:cs="Arial"/>
        </w:rPr>
      </w:pPr>
      <w:r w:rsidRPr="002A39FC">
        <w:rPr>
          <w:rFonts w:cs="Arial"/>
        </w:rPr>
        <w:t xml:space="preserve">El Tribunal de Cuentas se comunicó con el </w:t>
      </w:r>
      <w:r>
        <w:rPr>
          <w:rFonts w:cs="Arial"/>
        </w:rPr>
        <w:t>Consejo Honorario</w:t>
      </w:r>
      <w:r w:rsidRPr="002A39FC">
        <w:rPr>
          <w:rFonts w:cs="Arial"/>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253CDD">
        <w:rPr>
          <w:rFonts w:cs="Arial"/>
        </w:rPr>
        <w:t>el transcurso de la auditoría.</w:t>
      </w:r>
    </w:p>
    <w:p w:rsidR="00C62E4D" w:rsidRDefault="00C62E4D" w:rsidP="00C62E4D">
      <w:pPr>
        <w:keepNext/>
        <w:widowControl w:val="0"/>
        <w:spacing w:line="360" w:lineRule="auto"/>
        <w:jc w:val="right"/>
        <w:rPr>
          <w:rFonts w:cs="Arial"/>
        </w:rPr>
      </w:pPr>
      <w:r w:rsidRPr="002A39FC">
        <w:rPr>
          <w:rFonts w:cs="Arial"/>
        </w:rPr>
        <w:t xml:space="preserve">Montevideo, </w:t>
      </w:r>
      <w:r w:rsidR="00253CDD">
        <w:rPr>
          <w:rFonts w:cs="Arial"/>
        </w:rPr>
        <w:t>17 de diciembre de 2018</w:t>
      </w:r>
    </w:p>
    <w:p w:rsidR="00C62E4D" w:rsidRDefault="00C62E4D" w:rsidP="00C62E4D">
      <w:pPr>
        <w:keepNext/>
        <w:widowControl w:val="0"/>
        <w:spacing w:line="360" w:lineRule="auto"/>
        <w:rPr>
          <w:rFonts w:cs="Arial"/>
        </w:rPr>
      </w:pPr>
      <w:proofErr w:type="spellStart"/>
      <w:proofErr w:type="gramStart"/>
      <w:r>
        <w:rPr>
          <w:rFonts w:cs="Arial"/>
        </w:rPr>
        <w:t>ag</w:t>
      </w:r>
      <w:proofErr w:type="spellEnd"/>
      <w:proofErr w:type="gramEnd"/>
    </w:p>
    <w:p w:rsidR="00C62E4D" w:rsidRPr="00AF3CBE" w:rsidRDefault="00C62E4D" w:rsidP="00C62E4D">
      <w:pPr>
        <w:keepNext/>
        <w:widowControl w:val="0"/>
        <w:spacing w:line="360" w:lineRule="auto"/>
        <w:jc w:val="center"/>
        <w:rPr>
          <w:rFonts w:cs="Arial"/>
          <w:b/>
          <w:bCs/>
        </w:rPr>
      </w:pPr>
      <w:r w:rsidRPr="00AF3CBE">
        <w:rPr>
          <w:rFonts w:cs="Arial"/>
          <w:b/>
          <w:bCs/>
        </w:rPr>
        <w:t>INFORME A LA ADMINISTRACIÓN</w:t>
      </w:r>
    </w:p>
    <w:p w:rsidR="00C62E4D" w:rsidRPr="00AF3CBE" w:rsidRDefault="00C62E4D" w:rsidP="00C62E4D">
      <w:pPr>
        <w:keepNext/>
        <w:widowControl w:val="0"/>
        <w:spacing w:line="360" w:lineRule="auto"/>
        <w:jc w:val="both"/>
        <w:rPr>
          <w:rFonts w:cs="Arial"/>
        </w:rPr>
      </w:pPr>
    </w:p>
    <w:p w:rsidR="00C62E4D" w:rsidRPr="00AF3CBE" w:rsidRDefault="00C62E4D" w:rsidP="00C62E4D">
      <w:pPr>
        <w:keepNext/>
        <w:widowControl w:val="0"/>
        <w:spacing w:line="360" w:lineRule="auto"/>
        <w:jc w:val="both"/>
        <w:rPr>
          <w:rFonts w:cs="Arial"/>
        </w:rPr>
      </w:pPr>
      <w:r w:rsidRPr="00AF3CBE">
        <w:rPr>
          <w:rFonts w:cs="Arial"/>
        </w:rPr>
        <w:t>El Tribunal de Cuentas ha examinado los estados financieros consolidados de la Caja de Jubilaciones y Pensiones Bancarias</w:t>
      </w:r>
      <w:r w:rsidRPr="00AF3CBE">
        <w:rPr>
          <w:rFonts w:cs="Arial"/>
          <w:spacing w:val="-12"/>
        </w:rPr>
        <w:t>, por el ejercicio finalizado el 31 de diciembre de 2017 y ha emitido su</w:t>
      </w:r>
      <w:r w:rsidRPr="00AF3CBE">
        <w:rPr>
          <w:rFonts w:cs="Arial"/>
        </w:rPr>
        <w:t xml:space="preserve"> Dictamen.</w:t>
      </w:r>
    </w:p>
    <w:p w:rsidR="00C62E4D" w:rsidRPr="00AF3CBE" w:rsidRDefault="00C62E4D" w:rsidP="00C62E4D">
      <w:pPr>
        <w:keepNext/>
        <w:widowControl w:val="0"/>
        <w:spacing w:line="360" w:lineRule="auto"/>
        <w:jc w:val="both"/>
        <w:rPr>
          <w:rFonts w:cs="Arial"/>
        </w:rPr>
      </w:pPr>
      <w:r w:rsidRPr="00AF3CBE">
        <w:rPr>
          <w:rFonts w:cs="Aria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C62E4D" w:rsidRPr="00AF3CBE" w:rsidRDefault="00C62E4D" w:rsidP="00C62E4D">
      <w:pPr>
        <w:keepNext/>
        <w:widowControl w:val="0"/>
        <w:spacing w:line="360" w:lineRule="auto"/>
        <w:jc w:val="both"/>
        <w:rPr>
          <w:rFonts w:cs="Arial"/>
        </w:rPr>
      </w:pPr>
      <w:r w:rsidRPr="00AF3CBE">
        <w:rPr>
          <w:rFonts w:cs="Arial"/>
        </w:rPr>
        <w:t xml:space="preserve">También se agregan las principales recomendaciones que </w:t>
      </w:r>
      <w:proofErr w:type="gramStart"/>
      <w:r w:rsidRPr="00AF3CBE">
        <w:rPr>
          <w:rFonts w:cs="Arial"/>
        </w:rPr>
        <w:t>deberá</w:t>
      </w:r>
      <w:proofErr w:type="gramEnd"/>
      <w:r w:rsidRPr="00AF3CBE">
        <w:rPr>
          <w:rFonts w:cs="Arial"/>
        </w:rPr>
        <w:t xml:space="preserve"> atender el Organismo y una evaluación del cumplimiento de las recomendaciones presentadas en el informe de auditoría del ejercicio anterior.</w:t>
      </w:r>
    </w:p>
    <w:p w:rsidR="00C62E4D" w:rsidRPr="00AF3CBE" w:rsidRDefault="00C62E4D" w:rsidP="00C62E4D">
      <w:pPr>
        <w:keepNext/>
        <w:widowControl w:val="0"/>
        <w:spacing w:line="360" w:lineRule="auto"/>
        <w:jc w:val="both"/>
        <w:rPr>
          <w:rFonts w:cs="Arial"/>
        </w:rPr>
      </w:pPr>
    </w:p>
    <w:p w:rsidR="00C62E4D" w:rsidRPr="00AF3CBE" w:rsidRDefault="00C62E4D" w:rsidP="00C62E4D">
      <w:pPr>
        <w:keepNext/>
        <w:widowControl w:val="0"/>
        <w:spacing w:line="360" w:lineRule="auto"/>
        <w:jc w:val="both"/>
        <w:rPr>
          <w:rFonts w:cs="Arial"/>
          <w:b/>
        </w:rPr>
      </w:pPr>
      <w:r w:rsidRPr="00AF3CBE">
        <w:rPr>
          <w:rFonts w:cs="Arial"/>
          <w:b/>
        </w:rPr>
        <w:t>Presentación de los Estados.</w:t>
      </w:r>
    </w:p>
    <w:p w:rsidR="00C62E4D" w:rsidRPr="00AF3CBE" w:rsidRDefault="00C62E4D" w:rsidP="00C62E4D">
      <w:pPr>
        <w:keepNext/>
        <w:widowControl w:val="0"/>
        <w:spacing w:line="360" w:lineRule="auto"/>
        <w:jc w:val="both"/>
        <w:rPr>
          <w:rFonts w:cs="Arial"/>
          <w:spacing w:val="-3"/>
          <w:lang w:val="es-ES_tradnl"/>
        </w:rPr>
      </w:pPr>
      <w:r w:rsidRPr="00AF3CBE">
        <w:rPr>
          <w:rFonts w:cs="Arial"/>
          <w:bCs/>
        </w:rPr>
        <w:t xml:space="preserve">Los estados financieros consolidados de </w:t>
      </w:r>
      <w:r w:rsidRPr="00AF3CBE">
        <w:rPr>
          <w:rFonts w:cs="Arial"/>
        </w:rPr>
        <w:t xml:space="preserve">la Caja de Jubilaciones y Pensiones Bancarias </w:t>
      </w:r>
      <w:r w:rsidRPr="00AF3CBE">
        <w:rPr>
          <w:rFonts w:cs="Arial"/>
          <w:bCs/>
        </w:rPr>
        <w:t xml:space="preserve">correspondientes al ejercicio finalizado el </w:t>
      </w:r>
      <w:r w:rsidRPr="00AF3CBE">
        <w:rPr>
          <w:rFonts w:cs="Arial"/>
          <w:spacing w:val="-12"/>
        </w:rPr>
        <w:t>31 de diciembre de 2017</w:t>
      </w:r>
      <w:r w:rsidRPr="00AF3CBE">
        <w:rPr>
          <w:rFonts w:cs="Arial"/>
          <w:bCs/>
        </w:rPr>
        <w:t xml:space="preserve">, fueron aprobados por Resolución del Consejo Honorario N° 716/2018-3/302-1-17 </w:t>
      </w:r>
      <w:r w:rsidRPr="00AF3CBE">
        <w:rPr>
          <w:rFonts w:cs="Arial"/>
          <w:spacing w:val="-3"/>
          <w:lang w:val="es-ES_tradnl"/>
        </w:rPr>
        <w:t>de fecha 21 de marzo de 2018 y remitidos para su examen a este Tribunal con 22 de marzo de 2018.</w:t>
      </w:r>
    </w:p>
    <w:p w:rsidR="00C62E4D" w:rsidRDefault="00C62E4D" w:rsidP="00C62E4D">
      <w:pPr>
        <w:keepNext/>
        <w:widowControl w:val="0"/>
        <w:spacing w:line="360" w:lineRule="auto"/>
        <w:jc w:val="both"/>
        <w:rPr>
          <w:rFonts w:cs="Arial"/>
        </w:rPr>
      </w:pPr>
      <w:r w:rsidRPr="00AF3CBE">
        <w:rPr>
          <w:rFonts w:cs="Arial"/>
          <w:spacing w:val="-3"/>
          <w:lang w:val="es-ES_tradnl"/>
        </w:rPr>
        <w:t xml:space="preserve">Dichos estados se presentan de acuerdo a </w:t>
      </w:r>
      <w:r w:rsidRPr="00AF3CBE">
        <w:rPr>
          <w:rFonts w:cs="Arial"/>
        </w:rPr>
        <w:t xml:space="preserve">los criterios establecidos en las Ordenanzas </w:t>
      </w:r>
      <w:r>
        <w:rPr>
          <w:rFonts w:cs="Arial"/>
        </w:rPr>
        <w:t xml:space="preserve">Nos. </w:t>
      </w:r>
      <w:r w:rsidRPr="00AF3CBE">
        <w:rPr>
          <w:rFonts w:cs="Arial"/>
        </w:rPr>
        <w:t>82 y 89 del Tribunal de Cuentas y la normativa vigente en materia de ejecución presupuestal</w:t>
      </w:r>
      <w:r>
        <w:rPr>
          <w:rFonts w:cs="Arial"/>
        </w:rPr>
        <w:t xml:space="preserve">, </w:t>
      </w:r>
      <w:r w:rsidRPr="00B87CFC">
        <w:rPr>
          <w:rFonts w:cs="Arial"/>
        </w:rPr>
        <w:t>con excepción de</w:t>
      </w:r>
      <w:r>
        <w:rPr>
          <w:rFonts w:cs="Arial"/>
        </w:rPr>
        <w:t xml:space="preserve"> lo siguiente:</w:t>
      </w:r>
    </w:p>
    <w:p w:rsidR="00C62E4D" w:rsidRPr="00B87CFC" w:rsidRDefault="00C62E4D" w:rsidP="00C62E4D">
      <w:pPr>
        <w:pStyle w:val="Prrafodelista"/>
        <w:keepNext/>
        <w:widowControl w:val="0"/>
        <w:numPr>
          <w:ilvl w:val="0"/>
          <w:numId w:val="5"/>
        </w:numPr>
        <w:spacing w:after="0" w:line="360" w:lineRule="auto"/>
        <w:jc w:val="both"/>
        <w:rPr>
          <w:rFonts w:ascii="Arial" w:eastAsia="Times New Roman" w:hAnsi="Arial" w:cs="Arial"/>
          <w:spacing w:val="-3"/>
          <w:sz w:val="24"/>
          <w:szCs w:val="24"/>
          <w:lang w:val="es-ES_tradnl" w:eastAsia="es-ES"/>
        </w:rPr>
      </w:pPr>
      <w:r>
        <w:rPr>
          <w:rFonts w:ascii="Arial" w:eastAsia="Times New Roman" w:hAnsi="Arial" w:cs="Arial"/>
          <w:spacing w:val="-3"/>
          <w:sz w:val="24"/>
          <w:szCs w:val="24"/>
          <w:lang w:eastAsia="es-ES"/>
        </w:rPr>
        <w:t>L</w:t>
      </w:r>
      <w:r w:rsidRPr="00B87CFC">
        <w:rPr>
          <w:rFonts w:ascii="Arial" w:eastAsia="Times New Roman" w:hAnsi="Arial" w:cs="Arial"/>
          <w:spacing w:val="-3"/>
          <w:sz w:val="24"/>
          <w:szCs w:val="24"/>
          <w:lang w:val="es-ES_tradnl" w:eastAsia="es-ES"/>
        </w:rPr>
        <w:t>a información actuarial referente al numeral 2.6 de la Ordenanza 82, no se expone estrictamente de acuerdo a lo requerido, lo que será modificado en los próximos estados financieros, según l</w:t>
      </w:r>
      <w:r w:rsidR="00253CDD">
        <w:rPr>
          <w:rFonts w:ascii="Arial" w:eastAsia="Times New Roman" w:hAnsi="Arial" w:cs="Arial"/>
          <w:spacing w:val="-3"/>
          <w:sz w:val="24"/>
          <w:szCs w:val="24"/>
          <w:lang w:val="es-ES_tradnl" w:eastAsia="es-ES"/>
        </w:rPr>
        <w:t>o manifestado por el Organismo.</w:t>
      </w:r>
    </w:p>
    <w:p w:rsidR="00C62E4D" w:rsidRDefault="00C62E4D" w:rsidP="00C62E4D">
      <w:pPr>
        <w:pStyle w:val="Prrafodelista"/>
        <w:keepNext/>
        <w:widowControl w:val="0"/>
        <w:numPr>
          <w:ilvl w:val="0"/>
          <w:numId w:val="5"/>
        </w:numPr>
        <w:spacing w:line="360" w:lineRule="auto"/>
        <w:jc w:val="both"/>
        <w:rPr>
          <w:rFonts w:ascii="Arial" w:eastAsia="Times New Roman" w:hAnsi="Arial" w:cs="Arial"/>
          <w:sz w:val="24"/>
          <w:szCs w:val="24"/>
          <w:lang w:eastAsia="ar-SA"/>
        </w:rPr>
      </w:pPr>
      <w:r w:rsidRPr="00B87CFC">
        <w:rPr>
          <w:rFonts w:ascii="Arial" w:eastAsia="Times New Roman" w:hAnsi="Arial" w:cs="Arial"/>
          <w:sz w:val="24"/>
          <w:szCs w:val="24"/>
          <w:lang w:eastAsia="ar-SA"/>
        </w:rPr>
        <w:t>Las actividades expuestas en el Estado de Flujo de Efectivo como flujo de fondos proveniente de actividades de financiación, no corresponden a la clasificación efectuada por la NIC 7 para este tipo de actividades</w:t>
      </w:r>
      <w:r>
        <w:rPr>
          <w:rFonts w:ascii="Arial" w:eastAsia="Times New Roman" w:hAnsi="Arial" w:cs="Arial"/>
          <w:sz w:val="24"/>
          <w:szCs w:val="24"/>
          <w:lang w:eastAsia="ar-SA"/>
        </w:rPr>
        <w:t>.</w:t>
      </w:r>
    </w:p>
    <w:p w:rsidR="00253CDD" w:rsidRPr="00B87CFC" w:rsidRDefault="00253CDD" w:rsidP="00253CDD">
      <w:pPr>
        <w:pStyle w:val="Prrafodelista"/>
        <w:keepNext/>
        <w:widowControl w:val="0"/>
        <w:spacing w:line="360" w:lineRule="auto"/>
        <w:jc w:val="both"/>
        <w:rPr>
          <w:rFonts w:ascii="Arial" w:eastAsia="Times New Roman" w:hAnsi="Arial" w:cs="Arial"/>
          <w:sz w:val="24"/>
          <w:szCs w:val="24"/>
          <w:lang w:eastAsia="ar-SA"/>
        </w:rPr>
      </w:pPr>
    </w:p>
    <w:p w:rsidR="00C62E4D" w:rsidRPr="00B87CFC" w:rsidRDefault="00C62E4D" w:rsidP="00C62E4D">
      <w:pPr>
        <w:pStyle w:val="Prrafodelista"/>
        <w:keepNext/>
        <w:widowControl w:val="0"/>
        <w:numPr>
          <w:ilvl w:val="0"/>
          <w:numId w:val="5"/>
        </w:numPr>
        <w:spacing w:line="360" w:lineRule="auto"/>
        <w:jc w:val="both"/>
        <w:rPr>
          <w:rFonts w:ascii="Arial" w:eastAsia="Times New Roman" w:hAnsi="Arial" w:cs="Arial"/>
          <w:sz w:val="24"/>
          <w:szCs w:val="24"/>
          <w:lang w:eastAsia="ar-SA"/>
        </w:rPr>
      </w:pPr>
      <w:r w:rsidRPr="00B87CFC">
        <w:rPr>
          <w:rFonts w:ascii="Arial" w:eastAsia="Times New Roman" w:hAnsi="Arial" w:cs="Arial"/>
          <w:sz w:val="24"/>
          <w:szCs w:val="24"/>
          <w:lang w:eastAsia="ar-SA"/>
        </w:rPr>
        <w:t xml:space="preserve">La Nota 5 a los Estados Financieros no revela suficiente información respecto a los principales deudores del Fondo Jubilatorio y de las </w:t>
      </w:r>
      <w:r>
        <w:rPr>
          <w:rFonts w:ascii="Arial" w:eastAsia="Times New Roman" w:hAnsi="Arial" w:cs="Arial"/>
          <w:sz w:val="24"/>
          <w:szCs w:val="24"/>
          <w:lang w:eastAsia="ar-SA"/>
        </w:rPr>
        <w:t>Explotaciones Forestales. Para e</w:t>
      </w:r>
      <w:r w:rsidRPr="00B87CFC">
        <w:rPr>
          <w:rFonts w:ascii="Arial" w:eastAsia="Times New Roman" w:hAnsi="Arial" w:cs="Arial"/>
          <w:sz w:val="24"/>
          <w:szCs w:val="24"/>
          <w:lang w:eastAsia="ar-SA"/>
        </w:rPr>
        <w:t>stas últimas no se revelan las líneas de crédito otorgadas a los principales compradores.</w:t>
      </w:r>
    </w:p>
    <w:p w:rsidR="00C62E4D" w:rsidRPr="00AF3CBE" w:rsidRDefault="00C62E4D" w:rsidP="00C62E4D">
      <w:pPr>
        <w:keepNext/>
        <w:widowControl w:val="0"/>
        <w:spacing w:line="360" w:lineRule="auto"/>
        <w:jc w:val="both"/>
        <w:rPr>
          <w:rFonts w:cs="Arial"/>
          <w:b/>
        </w:rPr>
      </w:pPr>
      <w:r w:rsidRPr="00AF3CBE">
        <w:rPr>
          <w:rFonts w:cs="Arial"/>
          <w:b/>
        </w:rPr>
        <w:t>Evaluación del control interno.</w:t>
      </w:r>
    </w:p>
    <w:p w:rsidR="00C62E4D" w:rsidRPr="00AF3CBE" w:rsidRDefault="00C62E4D" w:rsidP="00C62E4D">
      <w:pPr>
        <w:keepNext/>
        <w:widowControl w:val="0"/>
        <w:spacing w:line="360" w:lineRule="auto"/>
        <w:jc w:val="both"/>
        <w:rPr>
          <w:rFonts w:cs="Arial"/>
          <w:bCs/>
        </w:rPr>
      </w:pPr>
      <w:r w:rsidRPr="00AF3CBE">
        <w:rPr>
          <w:rFonts w:cs="Arial"/>
          <w:bCs/>
        </w:rPr>
        <w:t>El examen de los aspectos de control interno relevantes para la preparación y presentación razonable de los estados financieros, permitió constatar las siguientes debilidades en relaci</w:t>
      </w:r>
      <w:r>
        <w:rPr>
          <w:rFonts w:cs="Arial"/>
          <w:bCs/>
        </w:rPr>
        <w:t>ón a las actividades de control e</w:t>
      </w:r>
      <w:r w:rsidRPr="00AF3CBE">
        <w:rPr>
          <w:rFonts w:cs="Arial"/>
          <w:bCs/>
        </w:rPr>
        <w:t xml:space="preserve"> información financiera:</w:t>
      </w:r>
    </w:p>
    <w:p w:rsidR="00C62E4D" w:rsidRDefault="00C62E4D" w:rsidP="00C62E4D">
      <w:pPr>
        <w:pStyle w:val="Continuarlista1"/>
        <w:keepNext/>
        <w:widowControl w:val="0"/>
        <w:numPr>
          <w:ilvl w:val="0"/>
          <w:numId w:val="6"/>
        </w:numPr>
        <w:suppressAutoHyphens w:val="0"/>
        <w:spacing w:after="0" w:line="360" w:lineRule="auto"/>
        <w:jc w:val="both"/>
        <w:rPr>
          <w:rFonts w:ascii="Arial" w:hAnsi="Arial" w:cs="Arial"/>
        </w:rPr>
      </w:pPr>
      <w:r w:rsidRPr="00AF3CBE">
        <w:rPr>
          <w:rFonts w:ascii="Arial" w:hAnsi="Arial" w:cs="Arial"/>
        </w:rPr>
        <w:t xml:space="preserve">Al no existir como procedimiento establecido el recuento físico periódico de </w:t>
      </w:r>
      <w:r>
        <w:rPr>
          <w:rFonts w:ascii="Arial" w:hAnsi="Arial" w:cs="Arial"/>
        </w:rPr>
        <w:t xml:space="preserve">ciertos </w:t>
      </w:r>
      <w:r w:rsidRPr="00AF3CBE">
        <w:rPr>
          <w:rFonts w:ascii="Arial" w:hAnsi="Arial" w:cs="Arial"/>
        </w:rPr>
        <w:t>bienes de uso</w:t>
      </w:r>
      <w:r>
        <w:rPr>
          <w:rFonts w:ascii="Arial" w:hAnsi="Arial" w:cs="Arial"/>
        </w:rPr>
        <w:t xml:space="preserve"> como muebles y útiles y equipos de computación, </w:t>
      </w:r>
      <w:r w:rsidRPr="00AF3CBE">
        <w:rPr>
          <w:rFonts w:ascii="Arial" w:hAnsi="Arial" w:cs="Arial"/>
        </w:rPr>
        <w:t>la administración de los Centros Forestales se encuentra expuesta al riesgo de no detectar a tiempo faltantes</w:t>
      </w:r>
      <w:r>
        <w:rPr>
          <w:rFonts w:ascii="Arial" w:hAnsi="Arial" w:cs="Arial"/>
        </w:rPr>
        <w:t>, roturas o daños en los mismos</w:t>
      </w:r>
      <w:r w:rsidRPr="00AF3CBE">
        <w:rPr>
          <w:rFonts w:ascii="Arial" w:hAnsi="Arial" w:cs="Arial"/>
        </w:rPr>
        <w:t>.</w:t>
      </w:r>
    </w:p>
    <w:p w:rsidR="00C62E4D" w:rsidRPr="00B87CFC" w:rsidRDefault="00C62E4D" w:rsidP="00C62E4D">
      <w:pPr>
        <w:pStyle w:val="Prrafodelista"/>
        <w:keepNext/>
        <w:widowControl w:val="0"/>
        <w:numPr>
          <w:ilvl w:val="0"/>
          <w:numId w:val="6"/>
        </w:numPr>
        <w:spacing w:after="0" w:line="360" w:lineRule="auto"/>
        <w:jc w:val="both"/>
        <w:rPr>
          <w:rFonts w:ascii="Arial" w:eastAsia="Times New Roman" w:hAnsi="Arial" w:cs="Arial"/>
          <w:b/>
          <w:sz w:val="24"/>
          <w:szCs w:val="24"/>
          <w:lang w:val="es-ES" w:eastAsia="es-ES"/>
        </w:rPr>
      </w:pPr>
      <w:r w:rsidRPr="00B87CFC">
        <w:rPr>
          <w:rFonts w:ascii="Arial" w:hAnsi="Arial" w:cs="Arial"/>
          <w:sz w:val="24"/>
          <w:szCs w:val="24"/>
        </w:rPr>
        <w:t>Las pólizas de seguros vigentes a la fecha de cierre del ejercicio no cubren adecuadamente el valor del edificio sede de la CJPB.</w:t>
      </w:r>
    </w:p>
    <w:p w:rsidR="00C62E4D" w:rsidRDefault="00C62E4D" w:rsidP="00C62E4D">
      <w:pPr>
        <w:pStyle w:val="Prrafodelista"/>
        <w:keepNext/>
        <w:widowControl w:val="0"/>
        <w:numPr>
          <w:ilvl w:val="0"/>
          <w:numId w:val="6"/>
        </w:numPr>
        <w:spacing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En la contabilidad de los Centros Forestales, la amortización de los bienes de uso se calcula mensualmente, sobre el valor bruto del bien ajustado por la variación mensual del IPC. En tanto, en la contabilidad del Fondo Jubilatorio, la amortización se calcula anualmente, sobre el valor bruto del bien ajustado </w:t>
      </w:r>
      <w:r w:rsidR="00253CDD">
        <w:rPr>
          <w:rFonts w:ascii="Arial" w:eastAsia="Times New Roman" w:hAnsi="Arial" w:cs="Arial"/>
          <w:sz w:val="24"/>
          <w:szCs w:val="24"/>
          <w:lang w:eastAsia="ar-SA"/>
        </w:rPr>
        <w:t>por la variación anual del IPC.</w:t>
      </w:r>
    </w:p>
    <w:p w:rsidR="00C62E4D" w:rsidRDefault="00C62E4D" w:rsidP="00C62E4D">
      <w:pPr>
        <w:pStyle w:val="Prrafodelista"/>
        <w:keepNext/>
        <w:widowControl w:val="0"/>
        <w:numPr>
          <w:ilvl w:val="0"/>
          <w:numId w:val="6"/>
        </w:numPr>
        <w:spacing w:line="360" w:lineRule="auto"/>
        <w:jc w:val="both"/>
        <w:rPr>
          <w:rFonts w:ascii="Arial" w:eastAsia="Times New Roman" w:hAnsi="Arial" w:cs="Arial"/>
          <w:sz w:val="24"/>
          <w:szCs w:val="24"/>
          <w:lang w:eastAsia="ar-SA"/>
        </w:rPr>
      </w:pPr>
      <w:r>
        <w:rPr>
          <w:rFonts w:ascii="Arial" w:eastAsia="Times New Roman" w:hAnsi="Arial" w:cs="Arial"/>
          <w:sz w:val="24"/>
          <w:szCs w:val="24"/>
          <w:lang w:eastAsia="ar-SA"/>
        </w:rPr>
        <w:t>Se detectó que los cargos a resultados por concepto de amortización que resultan de aplicar uno u otro mecanismo no coinciden, ya que el ajuste obtenido es distinto cuando se calcula acumulando las variaciones mensuales del índice, o calculando extremo sobre extremo la variación anual del mismo.</w:t>
      </w:r>
    </w:p>
    <w:p w:rsidR="00C62E4D" w:rsidRDefault="00C62E4D" w:rsidP="00C62E4D">
      <w:pPr>
        <w:pStyle w:val="Prrafodelista"/>
        <w:keepNext/>
        <w:widowControl w:val="0"/>
        <w:spacing w:line="360" w:lineRule="auto"/>
        <w:ind w:left="1440"/>
        <w:jc w:val="both"/>
        <w:rPr>
          <w:rFonts w:ascii="Arial" w:hAnsi="Arial" w:cs="Arial"/>
        </w:rPr>
      </w:pPr>
    </w:p>
    <w:p w:rsidR="00C62E4D" w:rsidRDefault="00C62E4D" w:rsidP="00C62E4D">
      <w:pPr>
        <w:pStyle w:val="Prrafodelista"/>
        <w:keepNext/>
        <w:widowControl w:val="0"/>
        <w:spacing w:line="360" w:lineRule="auto"/>
        <w:ind w:left="1440"/>
        <w:jc w:val="both"/>
        <w:rPr>
          <w:rFonts w:ascii="Arial" w:hAnsi="Arial" w:cs="Arial"/>
        </w:rPr>
      </w:pPr>
    </w:p>
    <w:p w:rsidR="00C62E4D" w:rsidRPr="00AF3CBE" w:rsidRDefault="00C62E4D" w:rsidP="00C62E4D">
      <w:pPr>
        <w:pStyle w:val="Prrafodelista"/>
        <w:keepNext/>
        <w:widowControl w:val="0"/>
        <w:spacing w:line="360" w:lineRule="auto"/>
        <w:ind w:left="1440"/>
        <w:jc w:val="both"/>
        <w:rPr>
          <w:rFonts w:ascii="Arial" w:hAnsi="Arial" w:cs="Arial"/>
        </w:rPr>
      </w:pPr>
    </w:p>
    <w:p w:rsidR="00C62E4D" w:rsidRPr="00AF3CBE" w:rsidRDefault="00C62E4D" w:rsidP="00C62E4D">
      <w:pPr>
        <w:keepNext/>
        <w:widowControl w:val="0"/>
        <w:spacing w:line="360" w:lineRule="auto"/>
        <w:jc w:val="both"/>
        <w:rPr>
          <w:rFonts w:cs="Arial"/>
          <w:b/>
        </w:rPr>
      </w:pPr>
      <w:r w:rsidRPr="00AF3CBE">
        <w:rPr>
          <w:rFonts w:cs="Arial"/>
          <w:b/>
        </w:rPr>
        <w:t>Recomendaciones</w:t>
      </w:r>
      <w:r>
        <w:rPr>
          <w:rFonts w:cs="Arial"/>
          <w:b/>
        </w:rPr>
        <w:t>.</w:t>
      </w:r>
    </w:p>
    <w:p w:rsidR="00C62E4D" w:rsidRPr="00AF3CBE" w:rsidRDefault="00C62E4D" w:rsidP="00C62E4D">
      <w:pPr>
        <w:keepNext/>
        <w:widowControl w:val="0"/>
        <w:spacing w:line="360" w:lineRule="auto"/>
        <w:ind w:left="720"/>
        <w:jc w:val="both"/>
        <w:rPr>
          <w:rFonts w:cs="Arial"/>
          <w:b/>
        </w:rPr>
      </w:pPr>
    </w:p>
    <w:p w:rsidR="00C62E4D" w:rsidRPr="00AF3CBE" w:rsidRDefault="00C62E4D" w:rsidP="00C62E4D">
      <w:pPr>
        <w:keepNext/>
        <w:widowControl w:val="0"/>
        <w:spacing w:line="360" w:lineRule="auto"/>
        <w:jc w:val="both"/>
        <w:rPr>
          <w:rFonts w:cs="Arial"/>
          <w:b/>
          <w:bCs/>
        </w:rPr>
      </w:pPr>
      <w:r w:rsidRPr="00AF3CBE">
        <w:rPr>
          <w:rFonts w:cs="Arial"/>
          <w:b/>
          <w:bCs/>
        </w:rPr>
        <w:t xml:space="preserve">1) </w:t>
      </w:r>
      <w:r w:rsidRPr="00AF3CBE">
        <w:rPr>
          <w:rFonts w:cs="Arial"/>
          <w:b/>
          <w:bCs/>
        </w:rPr>
        <w:tab/>
        <w:t>Recomendaciones de ejercicios anteriores</w:t>
      </w:r>
      <w:r>
        <w:rPr>
          <w:rFonts w:cs="Arial"/>
          <w:b/>
          <w:bCs/>
        </w:rPr>
        <w:t>.</w:t>
      </w:r>
    </w:p>
    <w:p w:rsidR="00C62E4D" w:rsidRPr="00AF3CBE" w:rsidRDefault="00C62E4D" w:rsidP="00C62E4D">
      <w:pPr>
        <w:keepNext/>
        <w:widowControl w:val="0"/>
        <w:spacing w:line="360" w:lineRule="auto"/>
        <w:ind w:firstLine="708"/>
        <w:jc w:val="both"/>
        <w:rPr>
          <w:rFonts w:cs="Arial"/>
          <w:b/>
          <w:bCs/>
        </w:rPr>
      </w:pPr>
      <w:r>
        <w:rPr>
          <w:rFonts w:cs="Arial"/>
          <w:b/>
          <w:bCs/>
        </w:rPr>
        <w:t>1.1) Cumplidas.</w:t>
      </w:r>
    </w:p>
    <w:p w:rsidR="00C62E4D" w:rsidRPr="00B87CFC" w:rsidRDefault="00C62E4D" w:rsidP="00C62E4D">
      <w:pPr>
        <w:pStyle w:val="Prrafodelista"/>
        <w:keepNext/>
        <w:widowControl w:val="0"/>
        <w:numPr>
          <w:ilvl w:val="0"/>
          <w:numId w:val="7"/>
        </w:numPr>
        <w:spacing w:after="0" w:line="360" w:lineRule="auto"/>
        <w:jc w:val="both"/>
        <w:rPr>
          <w:rFonts w:ascii="Arial" w:eastAsia="Times New Roman" w:hAnsi="Arial" w:cs="Arial"/>
          <w:bCs/>
          <w:sz w:val="24"/>
          <w:szCs w:val="24"/>
          <w:lang w:val="es-ES" w:eastAsia="es-ES"/>
        </w:rPr>
      </w:pPr>
      <w:r w:rsidRPr="00B87CFC">
        <w:rPr>
          <w:rFonts w:ascii="Arial" w:eastAsia="Times New Roman" w:hAnsi="Arial" w:cs="Arial"/>
          <w:bCs/>
          <w:sz w:val="24"/>
          <w:szCs w:val="24"/>
          <w:lang w:eastAsia="es-ES"/>
        </w:rPr>
        <w:t>“Corregir el valor contable de los padrones rurales de Paysandú”. El valor contable de los padrones rurales de Paysandú surge del Informe de Tasación elaborado por la firma TASAR Valoraciones y Consultoría, con fecha 27/12/2017. Se verificó la corrección de la valuación de los padrones que había dado lugar a esta recomendación.</w:t>
      </w:r>
    </w:p>
    <w:p w:rsidR="00C62E4D" w:rsidRPr="00AF3CBE" w:rsidRDefault="00C62E4D" w:rsidP="00C62E4D">
      <w:pPr>
        <w:keepNext/>
        <w:widowControl w:val="0"/>
        <w:spacing w:line="360" w:lineRule="auto"/>
        <w:ind w:firstLine="708"/>
        <w:jc w:val="both"/>
        <w:rPr>
          <w:rFonts w:cs="Arial"/>
          <w:b/>
          <w:bCs/>
        </w:rPr>
      </w:pPr>
      <w:r w:rsidRPr="00AF3CBE">
        <w:rPr>
          <w:rFonts w:cs="Arial"/>
          <w:b/>
          <w:bCs/>
        </w:rPr>
        <w:t>1.2) No cumplidas</w:t>
      </w:r>
      <w:r>
        <w:rPr>
          <w:rFonts w:cs="Arial"/>
          <w:b/>
          <w:bCs/>
        </w:rPr>
        <w:t>.</w:t>
      </w:r>
    </w:p>
    <w:p w:rsidR="00C62E4D" w:rsidRPr="00AF3CBE" w:rsidRDefault="00C62E4D" w:rsidP="00C62E4D">
      <w:pPr>
        <w:keepNext/>
        <w:widowControl w:val="0"/>
        <w:tabs>
          <w:tab w:val="num" w:pos="360"/>
        </w:tabs>
        <w:spacing w:line="360" w:lineRule="auto"/>
        <w:ind w:left="708" w:right="-2"/>
        <w:jc w:val="both"/>
        <w:rPr>
          <w:rFonts w:cs="Arial"/>
        </w:rPr>
      </w:pPr>
      <w:r>
        <w:rPr>
          <w:rFonts w:cs="Arial"/>
        </w:rPr>
        <w:t>La Caja de Jubilaciones y Pensiones Bancarias</w:t>
      </w:r>
      <w:r w:rsidRPr="00AF3CBE">
        <w:rPr>
          <w:rFonts w:cs="Arial"/>
        </w:rPr>
        <w:t xml:space="preserve"> no ha implementado medidas correc</w:t>
      </w:r>
      <w:r>
        <w:rPr>
          <w:rFonts w:cs="Arial"/>
        </w:rPr>
        <w:t xml:space="preserve">tivas suficientes respecto a los siguientes </w:t>
      </w:r>
      <w:r w:rsidRPr="00AF3CBE">
        <w:rPr>
          <w:rFonts w:cs="Arial"/>
        </w:rPr>
        <w:t>aspectos:</w:t>
      </w:r>
    </w:p>
    <w:p w:rsidR="00C62E4D" w:rsidRDefault="00C62E4D" w:rsidP="00C62E4D">
      <w:pPr>
        <w:pStyle w:val="Prrafodelista"/>
        <w:keepNext/>
        <w:widowControl w:val="0"/>
        <w:numPr>
          <w:ilvl w:val="0"/>
          <w:numId w:val="2"/>
        </w:numPr>
        <w:spacing w:line="360" w:lineRule="auto"/>
        <w:jc w:val="both"/>
        <w:rPr>
          <w:rFonts w:ascii="Arial" w:eastAsia="Times New Roman" w:hAnsi="Arial" w:cs="Arial"/>
          <w:sz w:val="24"/>
          <w:szCs w:val="24"/>
          <w:lang w:val="es-ES" w:eastAsia="es-ES"/>
        </w:rPr>
      </w:pPr>
      <w:r w:rsidRPr="00463978">
        <w:rPr>
          <w:rFonts w:ascii="Arial" w:eastAsia="Times New Roman" w:hAnsi="Arial" w:cs="Arial"/>
          <w:sz w:val="24"/>
          <w:szCs w:val="24"/>
          <w:lang w:val="es-ES" w:eastAsia="es-ES"/>
        </w:rPr>
        <w:t>“Ampliar la información revelada sobre las Explotaciones Forestales en lo relacionado a los productos exportados, montos y mercados con los que se vincula, así como la actividad ganadera desarrollada en dichos Centros”, no hubieron cambios relevantes en ese sentido en la información presentada en las Notas a los Estados Financieros.</w:t>
      </w:r>
    </w:p>
    <w:p w:rsidR="00C62E4D" w:rsidRPr="00463978" w:rsidRDefault="00C62E4D" w:rsidP="00C62E4D">
      <w:pPr>
        <w:pStyle w:val="Prrafodelista"/>
        <w:keepNext/>
        <w:widowControl w:val="0"/>
        <w:spacing w:line="360" w:lineRule="auto"/>
        <w:ind w:left="1425"/>
        <w:jc w:val="both"/>
        <w:rPr>
          <w:rFonts w:ascii="Arial" w:eastAsia="Times New Roman" w:hAnsi="Arial" w:cs="Arial"/>
          <w:sz w:val="24"/>
          <w:szCs w:val="24"/>
          <w:lang w:val="es-ES" w:eastAsia="es-ES"/>
        </w:rPr>
      </w:pPr>
    </w:p>
    <w:p w:rsidR="00C62E4D" w:rsidRPr="00F0228E" w:rsidRDefault="00C62E4D" w:rsidP="00C62E4D">
      <w:pPr>
        <w:pStyle w:val="Prrafodelista"/>
        <w:keepNext/>
        <w:widowControl w:val="0"/>
        <w:numPr>
          <w:ilvl w:val="0"/>
          <w:numId w:val="2"/>
        </w:numPr>
        <w:spacing w:line="360" w:lineRule="auto"/>
        <w:jc w:val="both"/>
        <w:rPr>
          <w:rFonts w:ascii="Arial" w:eastAsia="Times New Roman" w:hAnsi="Arial" w:cs="Arial"/>
          <w:sz w:val="24"/>
          <w:szCs w:val="24"/>
          <w:lang w:val="es-ES" w:eastAsia="es-ES"/>
        </w:rPr>
      </w:pPr>
      <w:r w:rsidRPr="00F0228E">
        <w:rPr>
          <w:rFonts w:ascii="Arial" w:eastAsia="Times New Roman" w:hAnsi="Arial" w:cs="Arial"/>
          <w:sz w:val="24"/>
          <w:szCs w:val="24"/>
          <w:lang w:val="es-ES" w:eastAsia="es-ES"/>
        </w:rPr>
        <w:t>“Explicitar la jerarquización del valor razonable para todos los activos y pasivos a los cuales se les aplica esta técnica de valoración”, en el Balance del ejercicio 2017 se incluyó la Nota 2.15 “Mediciones al Valor Razonable” en la cual se explica la utilización de las mediciones a este valor para determinado tipo de activos y pasivos, y se explica la jerarquización del valor razonable de acuerdo a lo establecido en la NIIF 13. No obstante, la información incluida es genérica y no se revela un cuadro de jerarquización de los valores razonables utilizados para la medición de los activos y pasivos específicos del Balance. Por lo tanto la recomendación se considera parcialmente cumplida.</w:t>
      </w:r>
    </w:p>
    <w:p w:rsidR="00C62E4D" w:rsidRDefault="00C62E4D" w:rsidP="00C62E4D">
      <w:pPr>
        <w:pStyle w:val="Prrafodelista"/>
        <w:keepNext/>
        <w:widowControl w:val="0"/>
        <w:numPr>
          <w:ilvl w:val="0"/>
          <w:numId w:val="2"/>
        </w:numPr>
        <w:spacing w:line="360" w:lineRule="auto"/>
        <w:jc w:val="both"/>
        <w:rPr>
          <w:rFonts w:ascii="Arial" w:eastAsia="Times New Roman" w:hAnsi="Arial" w:cs="Arial"/>
          <w:sz w:val="24"/>
          <w:szCs w:val="24"/>
          <w:lang w:val="es-ES" w:eastAsia="es-ES"/>
        </w:rPr>
      </w:pPr>
      <w:r w:rsidRPr="00F0228E">
        <w:rPr>
          <w:rFonts w:ascii="Arial" w:eastAsia="Times New Roman" w:hAnsi="Arial" w:cs="Arial"/>
          <w:sz w:val="24"/>
          <w:szCs w:val="24"/>
          <w:lang w:val="es-ES" w:eastAsia="es-ES"/>
        </w:rPr>
        <w:t>“Realizar arqueos de caja y valores a fecha de balance y contratar un seguro de caución para las personas que manejan fondos”, se verificó que la caja que funcionaba en el área de Tesorería del Fondo Jubilatorio fue eliminada. En tanto, en los Centros Forestales se vieron las actas de arqueos a la fecha de balance con las firmas correspondientes, pero el personal que maneja los fondos no cuenta con seguro de caución de fidelidad. Por lo tanto, la recomendación se considera parcialmente cumplida</w:t>
      </w:r>
      <w:r>
        <w:rPr>
          <w:rFonts w:ascii="Arial" w:eastAsia="Times New Roman" w:hAnsi="Arial" w:cs="Arial"/>
          <w:sz w:val="24"/>
          <w:szCs w:val="24"/>
          <w:lang w:val="es-ES" w:eastAsia="es-ES"/>
        </w:rPr>
        <w:t>, ya que sería</w:t>
      </w:r>
      <w:r w:rsidRPr="00C4302E">
        <w:rPr>
          <w:rFonts w:ascii="Arial" w:eastAsia="Times New Roman" w:hAnsi="Arial" w:cs="Arial"/>
          <w:sz w:val="24"/>
          <w:szCs w:val="24"/>
          <w:lang w:val="es-ES" w:eastAsia="es-ES"/>
        </w:rPr>
        <w:t xml:space="preserve"> conveniente contar con dicho seguro siempre que el costo del mismo sea razonable comparado con el importe del efectivo manejado.</w:t>
      </w:r>
    </w:p>
    <w:p w:rsidR="00253CDD" w:rsidRPr="00C4302E" w:rsidRDefault="00253CDD" w:rsidP="00253CDD">
      <w:pPr>
        <w:pStyle w:val="Prrafodelista"/>
        <w:keepNext/>
        <w:widowControl w:val="0"/>
        <w:spacing w:line="360" w:lineRule="auto"/>
        <w:ind w:left="1425"/>
        <w:jc w:val="both"/>
        <w:rPr>
          <w:rFonts w:ascii="Arial" w:eastAsia="Times New Roman" w:hAnsi="Arial" w:cs="Arial"/>
          <w:sz w:val="24"/>
          <w:szCs w:val="24"/>
          <w:lang w:val="es-ES" w:eastAsia="es-ES"/>
        </w:rPr>
      </w:pPr>
    </w:p>
    <w:p w:rsidR="00C62E4D" w:rsidRPr="00AF3CBE" w:rsidRDefault="00C62E4D" w:rsidP="00C62E4D">
      <w:pPr>
        <w:keepNext/>
        <w:widowControl w:val="0"/>
        <w:spacing w:line="360" w:lineRule="auto"/>
        <w:jc w:val="both"/>
        <w:rPr>
          <w:rFonts w:cs="Arial"/>
          <w:b/>
          <w:bCs/>
        </w:rPr>
      </w:pPr>
      <w:r w:rsidRPr="00AF3CBE">
        <w:rPr>
          <w:rFonts w:cs="Arial"/>
          <w:b/>
          <w:bCs/>
        </w:rPr>
        <w:t xml:space="preserve">2) </w:t>
      </w:r>
      <w:r w:rsidRPr="00AF3CBE">
        <w:rPr>
          <w:rFonts w:cs="Arial"/>
          <w:b/>
          <w:bCs/>
        </w:rPr>
        <w:tab/>
        <w:t>Recomendaciones del presente ejercicio.</w:t>
      </w:r>
    </w:p>
    <w:p w:rsidR="00C62E4D" w:rsidRDefault="00C62E4D" w:rsidP="00C62E4D">
      <w:pPr>
        <w:keepNext/>
        <w:widowControl w:val="0"/>
        <w:tabs>
          <w:tab w:val="num" w:pos="360"/>
        </w:tabs>
        <w:spacing w:line="360" w:lineRule="auto"/>
        <w:ind w:right="-2"/>
        <w:jc w:val="both"/>
        <w:rPr>
          <w:rFonts w:cs="Arial"/>
        </w:rPr>
      </w:pPr>
      <w:r w:rsidRPr="00AF3CBE">
        <w:rPr>
          <w:rFonts w:cs="Arial"/>
        </w:rPr>
        <w:t>Se reiteran las recomendaciones no cumplidas de ejercicios anteriores, a las que se agregan las siguientes:</w:t>
      </w:r>
    </w:p>
    <w:p w:rsidR="00253CDD" w:rsidRDefault="00253CDD" w:rsidP="00C62E4D">
      <w:pPr>
        <w:keepNext/>
        <w:widowControl w:val="0"/>
        <w:tabs>
          <w:tab w:val="num" w:pos="360"/>
        </w:tabs>
        <w:spacing w:line="360" w:lineRule="auto"/>
        <w:ind w:right="-2"/>
        <w:jc w:val="both"/>
        <w:rPr>
          <w:rFonts w:cs="Arial"/>
          <w:snapToGrid w:val="0"/>
        </w:rPr>
      </w:pPr>
    </w:p>
    <w:p w:rsidR="00C62E4D" w:rsidRDefault="00C62E4D" w:rsidP="00C62E4D">
      <w:pPr>
        <w:pStyle w:val="Prrafodelista"/>
        <w:keepNext/>
        <w:widowControl w:val="0"/>
        <w:numPr>
          <w:ilvl w:val="0"/>
          <w:numId w:val="3"/>
        </w:numPr>
        <w:spacing w:line="360" w:lineRule="auto"/>
        <w:jc w:val="both"/>
        <w:rPr>
          <w:rFonts w:ascii="Arial" w:eastAsia="Times New Roman" w:hAnsi="Arial" w:cs="Arial"/>
          <w:snapToGrid w:val="0"/>
          <w:sz w:val="24"/>
          <w:szCs w:val="24"/>
          <w:lang w:val="es-ES" w:eastAsia="es-ES"/>
        </w:rPr>
      </w:pPr>
      <w:r>
        <w:rPr>
          <w:rFonts w:ascii="Arial" w:eastAsia="Times New Roman" w:hAnsi="Arial" w:cs="Arial"/>
          <w:snapToGrid w:val="0"/>
          <w:sz w:val="24"/>
          <w:szCs w:val="24"/>
          <w:lang w:val="es-ES" w:eastAsia="es-ES"/>
        </w:rPr>
        <w:t xml:space="preserve">Se deberá corregir la exposición </w:t>
      </w:r>
      <w:r w:rsidRPr="00B86E25">
        <w:rPr>
          <w:rFonts w:ascii="Arial" w:eastAsia="Times New Roman" w:hAnsi="Arial" w:cs="Arial"/>
          <w:snapToGrid w:val="0"/>
          <w:sz w:val="24"/>
          <w:szCs w:val="24"/>
          <w:lang w:val="es-ES" w:eastAsia="es-ES"/>
        </w:rPr>
        <w:t xml:space="preserve">en el Estado de Flujo de Efectivo </w:t>
      </w:r>
      <w:r>
        <w:rPr>
          <w:rFonts w:ascii="Arial" w:eastAsia="Times New Roman" w:hAnsi="Arial" w:cs="Arial"/>
          <w:snapToGrid w:val="0"/>
          <w:sz w:val="24"/>
          <w:szCs w:val="24"/>
          <w:lang w:val="es-ES" w:eastAsia="es-ES"/>
        </w:rPr>
        <w:t>para adecuarla a la</w:t>
      </w:r>
      <w:r w:rsidRPr="00B86E25">
        <w:rPr>
          <w:rFonts w:ascii="Arial" w:eastAsia="Times New Roman" w:hAnsi="Arial" w:cs="Arial"/>
          <w:snapToGrid w:val="0"/>
          <w:sz w:val="24"/>
          <w:szCs w:val="24"/>
          <w:lang w:val="es-ES" w:eastAsia="es-ES"/>
        </w:rPr>
        <w:t xml:space="preserve"> clasificación efectuada por la NIC 7</w:t>
      </w:r>
      <w:r>
        <w:rPr>
          <w:rFonts w:ascii="Arial" w:eastAsia="Times New Roman" w:hAnsi="Arial" w:cs="Arial"/>
          <w:snapToGrid w:val="0"/>
          <w:sz w:val="24"/>
          <w:szCs w:val="24"/>
          <w:lang w:val="es-ES" w:eastAsia="es-ES"/>
        </w:rPr>
        <w:t>.</w:t>
      </w:r>
    </w:p>
    <w:p w:rsidR="00C62E4D" w:rsidRPr="00013BA1" w:rsidRDefault="00C62E4D" w:rsidP="00C62E4D">
      <w:pPr>
        <w:pStyle w:val="Prrafodelista"/>
        <w:keepNext/>
        <w:widowControl w:val="0"/>
        <w:spacing w:line="360" w:lineRule="auto"/>
        <w:ind w:left="1440"/>
        <w:jc w:val="both"/>
        <w:rPr>
          <w:rFonts w:ascii="Arial" w:eastAsia="Times New Roman" w:hAnsi="Arial" w:cs="Arial"/>
          <w:snapToGrid w:val="0"/>
          <w:sz w:val="24"/>
          <w:szCs w:val="24"/>
          <w:lang w:val="es-ES" w:eastAsia="es-ES"/>
        </w:rPr>
      </w:pPr>
    </w:p>
    <w:p w:rsidR="00C62E4D" w:rsidRDefault="00C62E4D" w:rsidP="00C62E4D">
      <w:pPr>
        <w:pStyle w:val="Prrafodelista"/>
        <w:keepNext/>
        <w:widowControl w:val="0"/>
        <w:spacing w:after="0" w:line="360" w:lineRule="auto"/>
        <w:ind w:left="1440"/>
        <w:jc w:val="both"/>
        <w:rPr>
          <w:rFonts w:ascii="Arial" w:eastAsia="Times New Roman" w:hAnsi="Arial" w:cs="Arial"/>
          <w:sz w:val="24"/>
          <w:szCs w:val="24"/>
          <w:lang w:eastAsia="ar-SA"/>
        </w:rPr>
      </w:pPr>
      <w:r w:rsidRPr="00013BA1">
        <w:rPr>
          <w:rFonts w:ascii="Arial" w:eastAsia="Times New Roman" w:hAnsi="Arial" w:cs="Arial"/>
          <w:sz w:val="24"/>
          <w:szCs w:val="24"/>
          <w:lang w:eastAsia="ar-SA"/>
        </w:rPr>
        <w:t>Se deberá ampliar la información expuesta en las notas a los Estados Financieros respecto a los créditos del Fondo Jubilatorio y las Explotaciones Forestales, así como sobre los principales deudores y las líneas de crédito otorgadas.</w:t>
      </w:r>
    </w:p>
    <w:p w:rsidR="00C62E4D" w:rsidRPr="00013BA1" w:rsidRDefault="00C62E4D" w:rsidP="00C62E4D">
      <w:pPr>
        <w:pStyle w:val="Prrafodelista"/>
        <w:keepNext/>
        <w:widowControl w:val="0"/>
        <w:spacing w:after="0" w:line="360" w:lineRule="auto"/>
        <w:ind w:left="1440"/>
        <w:jc w:val="both"/>
        <w:rPr>
          <w:rFonts w:ascii="Arial" w:eastAsia="Times New Roman" w:hAnsi="Arial" w:cs="Arial"/>
          <w:sz w:val="24"/>
          <w:szCs w:val="24"/>
          <w:lang w:eastAsia="ar-SA"/>
        </w:rPr>
      </w:pPr>
    </w:p>
    <w:p w:rsidR="00C62E4D" w:rsidRDefault="00C62E4D" w:rsidP="00C62E4D">
      <w:pPr>
        <w:pStyle w:val="Continuarlista1"/>
        <w:keepNext/>
        <w:widowControl w:val="0"/>
        <w:numPr>
          <w:ilvl w:val="0"/>
          <w:numId w:val="3"/>
        </w:numPr>
        <w:suppressAutoHyphens w:val="0"/>
        <w:spacing w:after="0" w:line="360" w:lineRule="auto"/>
        <w:jc w:val="both"/>
        <w:rPr>
          <w:rFonts w:ascii="Arial" w:hAnsi="Arial" w:cs="Arial"/>
        </w:rPr>
      </w:pPr>
      <w:r>
        <w:rPr>
          <w:rFonts w:ascii="Arial" w:hAnsi="Arial" w:cs="Arial"/>
        </w:rPr>
        <w:t xml:space="preserve">Se deberá implementar </w:t>
      </w:r>
      <w:r w:rsidRPr="00AF3CBE">
        <w:rPr>
          <w:rFonts w:ascii="Arial" w:hAnsi="Arial" w:cs="Arial"/>
        </w:rPr>
        <w:t xml:space="preserve">como procedimiento </w:t>
      </w:r>
      <w:r>
        <w:rPr>
          <w:rFonts w:ascii="Arial" w:hAnsi="Arial" w:cs="Arial"/>
        </w:rPr>
        <w:t>habitual</w:t>
      </w:r>
      <w:r w:rsidRPr="00AF3CBE">
        <w:rPr>
          <w:rFonts w:ascii="Arial" w:hAnsi="Arial" w:cs="Arial"/>
        </w:rPr>
        <w:t xml:space="preserve"> el recuento físico de </w:t>
      </w:r>
      <w:r>
        <w:rPr>
          <w:rFonts w:ascii="Arial" w:hAnsi="Arial" w:cs="Arial"/>
        </w:rPr>
        <w:t xml:space="preserve">aquellos </w:t>
      </w:r>
      <w:r w:rsidRPr="00AF3CBE">
        <w:rPr>
          <w:rFonts w:ascii="Arial" w:hAnsi="Arial" w:cs="Arial"/>
        </w:rPr>
        <w:t>bienes de uso</w:t>
      </w:r>
      <w:r>
        <w:rPr>
          <w:rFonts w:ascii="Arial" w:hAnsi="Arial" w:cs="Arial"/>
        </w:rPr>
        <w:t xml:space="preserve"> que puedan estar expuestos al riesgo de faltantes, roturas o daños, como los muebles y útiles y los equipos de computación</w:t>
      </w:r>
      <w:r w:rsidRPr="00AF3CBE">
        <w:rPr>
          <w:rFonts w:ascii="Arial" w:hAnsi="Arial" w:cs="Arial"/>
        </w:rPr>
        <w:t>.</w:t>
      </w:r>
    </w:p>
    <w:p w:rsidR="00C62E4D" w:rsidRPr="00AF3CBE" w:rsidRDefault="00C62E4D" w:rsidP="00C62E4D">
      <w:pPr>
        <w:pStyle w:val="Continuarlista1"/>
        <w:keepNext/>
        <w:widowControl w:val="0"/>
        <w:numPr>
          <w:ilvl w:val="0"/>
          <w:numId w:val="0"/>
        </w:numPr>
        <w:suppressAutoHyphens w:val="0"/>
        <w:spacing w:after="0" w:line="360" w:lineRule="auto"/>
        <w:ind w:left="1440"/>
        <w:jc w:val="both"/>
        <w:rPr>
          <w:rFonts w:ascii="Arial" w:hAnsi="Arial" w:cs="Arial"/>
        </w:rPr>
      </w:pPr>
    </w:p>
    <w:p w:rsidR="00C62E4D" w:rsidRPr="00013BA1" w:rsidRDefault="00C62E4D" w:rsidP="00C62E4D">
      <w:pPr>
        <w:keepNext/>
        <w:widowControl w:val="0"/>
        <w:numPr>
          <w:ilvl w:val="0"/>
          <w:numId w:val="3"/>
        </w:numPr>
        <w:spacing w:line="360" w:lineRule="auto"/>
        <w:jc w:val="both"/>
        <w:rPr>
          <w:rFonts w:cs="Arial"/>
          <w:b/>
        </w:rPr>
      </w:pPr>
      <w:r>
        <w:rPr>
          <w:rFonts w:cs="Arial"/>
        </w:rPr>
        <w:t>Se deberán revisar l</w:t>
      </w:r>
      <w:r w:rsidRPr="00AF3CBE">
        <w:rPr>
          <w:rFonts w:cs="Arial"/>
        </w:rPr>
        <w:t xml:space="preserve">as pólizas de seguros </w:t>
      </w:r>
      <w:r>
        <w:rPr>
          <w:rFonts w:cs="Arial"/>
        </w:rPr>
        <w:t>contratadas a efectos de que el valor en riesgo del edificio sede de la CJPB esté adecuadamente cubierto.</w:t>
      </w:r>
    </w:p>
    <w:p w:rsidR="00C62E4D" w:rsidRPr="00013BA1" w:rsidRDefault="00C62E4D" w:rsidP="00C62E4D">
      <w:pPr>
        <w:pStyle w:val="Continuarlista1"/>
        <w:keepNext/>
        <w:widowControl w:val="0"/>
        <w:numPr>
          <w:ilvl w:val="0"/>
          <w:numId w:val="0"/>
        </w:numPr>
        <w:suppressAutoHyphens w:val="0"/>
        <w:spacing w:after="0" w:line="360" w:lineRule="auto"/>
        <w:ind w:left="1440"/>
        <w:jc w:val="both"/>
        <w:rPr>
          <w:rFonts w:ascii="Arial" w:hAnsi="Arial" w:cs="Arial"/>
          <w:lang w:eastAsia="es-ES"/>
        </w:rPr>
      </w:pPr>
    </w:p>
    <w:p w:rsidR="00C62E4D" w:rsidRPr="00C5636F" w:rsidRDefault="00C62E4D" w:rsidP="00C62E4D">
      <w:pPr>
        <w:keepNext/>
        <w:widowControl w:val="0"/>
        <w:numPr>
          <w:ilvl w:val="0"/>
          <w:numId w:val="3"/>
        </w:numPr>
        <w:spacing w:line="360" w:lineRule="auto"/>
        <w:jc w:val="both"/>
        <w:rPr>
          <w:rFonts w:cs="Arial"/>
          <w:snapToGrid w:val="0"/>
        </w:rPr>
      </w:pPr>
      <w:r w:rsidRPr="00C5636F">
        <w:rPr>
          <w:rFonts w:cs="Arial"/>
          <w:snapToGrid w:val="0"/>
        </w:rPr>
        <w:t>Se deberá</w:t>
      </w:r>
      <w:r>
        <w:rPr>
          <w:rFonts w:cs="Arial"/>
          <w:snapToGrid w:val="0"/>
        </w:rPr>
        <w:t xml:space="preserve"> establecer una forma de cálculo de la amortización que permita asegurar que todos los bienes de uso de la CJPB se amortizan en base a los mismos criterios.</w:t>
      </w:r>
    </w:p>
    <w:p w:rsidR="00C62E4D" w:rsidRDefault="00C62E4D" w:rsidP="00C62E4D">
      <w:pPr>
        <w:keepNext/>
        <w:widowControl w:val="0"/>
        <w:spacing w:line="360" w:lineRule="auto"/>
        <w:jc w:val="right"/>
        <w:rPr>
          <w:rFonts w:cs="Arial"/>
          <w:snapToGrid w:val="0"/>
        </w:rPr>
      </w:pPr>
      <w:r w:rsidRPr="00004875">
        <w:rPr>
          <w:rFonts w:cs="Arial"/>
          <w:snapToGrid w:val="0"/>
        </w:rPr>
        <w:t xml:space="preserve">Montevideo, </w:t>
      </w:r>
      <w:r>
        <w:rPr>
          <w:rFonts w:cs="Arial"/>
          <w:snapToGrid w:val="0"/>
        </w:rPr>
        <w:t>1</w:t>
      </w:r>
      <w:r w:rsidR="00253CDD">
        <w:rPr>
          <w:rFonts w:cs="Arial"/>
          <w:snapToGrid w:val="0"/>
        </w:rPr>
        <w:t>7 de diciembre de 2018</w:t>
      </w:r>
    </w:p>
    <w:p w:rsidR="00C62E4D" w:rsidRPr="00C62E4D" w:rsidRDefault="00C62E4D" w:rsidP="00C62E4D">
      <w:pPr>
        <w:keepNext/>
        <w:widowControl w:val="0"/>
        <w:spacing w:line="360" w:lineRule="auto"/>
        <w:rPr>
          <w:rFonts w:cs="Arial"/>
          <w:snapToGrid w:val="0"/>
        </w:rPr>
      </w:pPr>
      <w:proofErr w:type="spellStart"/>
      <w:proofErr w:type="gramStart"/>
      <w:r>
        <w:rPr>
          <w:rFonts w:cs="Arial"/>
          <w:snapToGrid w:val="0"/>
        </w:rPr>
        <w:t>ag</w:t>
      </w:r>
      <w:proofErr w:type="spellEnd"/>
      <w:proofErr w:type="gramEnd"/>
    </w:p>
    <w:sectPr w:rsidR="00C62E4D" w:rsidRPr="00C62E4D" w:rsidSect="009005A3">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D1EE68A"/>
    <w:name w:val="WW8Num6"/>
    <w:lvl w:ilvl="0">
      <w:start w:val="2"/>
      <w:numFmt w:val="decimal"/>
      <w:pStyle w:val="Continuarlista1"/>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
    <w:nsid w:val="0BF30F4D"/>
    <w:multiLevelType w:val="hybridMultilevel"/>
    <w:tmpl w:val="5622D43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0CC52289"/>
    <w:multiLevelType w:val="hybridMultilevel"/>
    <w:tmpl w:val="5AB8B01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14565893"/>
    <w:multiLevelType w:val="hybridMultilevel"/>
    <w:tmpl w:val="CD8E609E"/>
    <w:lvl w:ilvl="0" w:tplc="380A0005">
      <w:start w:val="1"/>
      <w:numFmt w:val="bullet"/>
      <w:lvlText w:val=""/>
      <w:lvlJc w:val="left"/>
      <w:pPr>
        <w:ind w:left="1425" w:hanging="360"/>
      </w:pPr>
      <w:rPr>
        <w:rFonts w:ascii="Wingdings" w:hAnsi="Wingdings" w:hint="default"/>
      </w:rPr>
    </w:lvl>
    <w:lvl w:ilvl="1" w:tplc="380A0003" w:tentative="1">
      <w:start w:val="1"/>
      <w:numFmt w:val="bullet"/>
      <w:lvlText w:val="o"/>
      <w:lvlJc w:val="left"/>
      <w:pPr>
        <w:ind w:left="2145" w:hanging="360"/>
      </w:pPr>
      <w:rPr>
        <w:rFonts w:ascii="Courier New" w:hAnsi="Courier New" w:cs="Courier New" w:hint="default"/>
      </w:rPr>
    </w:lvl>
    <w:lvl w:ilvl="2" w:tplc="380A0005" w:tentative="1">
      <w:start w:val="1"/>
      <w:numFmt w:val="bullet"/>
      <w:lvlText w:val=""/>
      <w:lvlJc w:val="left"/>
      <w:pPr>
        <w:ind w:left="2865" w:hanging="360"/>
      </w:pPr>
      <w:rPr>
        <w:rFonts w:ascii="Wingdings" w:hAnsi="Wingdings" w:hint="default"/>
      </w:rPr>
    </w:lvl>
    <w:lvl w:ilvl="3" w:tplc="380A0001" w:tentative="1">
      <w:start w:val="1"/>
      <w:numFmt w:val="bullet"/>
      <w:lvlText w:val=""/>
      <w:lvlJc w:val="left"/>
      <w:pPr>
        <w:ind w:left="3585" w:hanging="360"/>
      </w:pPr>
      <w:rPr>
        <w:rFonts w:ascii="Symbol" w:hAnsi="Symbol" w:hint="default"/>
      </w:rPr>
    </w:lvl>
    <w:lvl w:ilvl="4" w:tplc="380A0003" w:tentative="1">
      <w:start w:val="1"/>
      <w:numFmt w:val="bullet"/>
      <w:lvlText w:val="o"/>
      <w:lvlJc w:val="left"/>
      <w:pPr>
        <w:ind w:left="4305" w:hanging="360"/>
      </w:pPr>
      <w:rPr>
        <w:rFonts w:ascii="Courier New" w:hAnsi="Courier New" w:cs="Courier New" w:hint="default"/>
      </w:rPr>
    </w:lvl>
    <w:lvl w:ilvl="5" w:tplc="380A0005" w:tentative="1">
      <w:start w:val="1"/>
      <w:numFmt w:val="bullet"/>
      <w:lvlText w:val=""/>
      <w:lvlJc w:val="left"/>
      <w:pPr>
        <w:ind w:left="5025" w:hanging="360"/>
      </w:pPr>
      <w:rPr>
        <w:rFonts w:ascii="Wingdings" w:hAnsi="Wingdings" w:hint="default"/>
      </w:rPr>
    </w:lvl>
    <w:lvl w:ilvl="6" w:tplc="380A0001" w:tentative="1">
      <w:start w:val="1"/>
      <w:numFmt w:val="bullet"/>
      <w:lvlText w:val=""/>
      <w:lvlJc w:val="left"/>
      <w:pPr>
        <w:ind w:left="5745" w:hanging="360"/>
      </w:pPr>
      <w:rPr>
        <w:rFonts w:ascii="Symbol" w:hAnsi="Symbol" w:hint="default"/>
      </w:rPr>
    </w:lvl>
    <w:lvl w:ilvl="7" w:tplc="380A0003" w:tentative="1">
      <w:start w:val="1"/>
      <w:numFmt w:val="bullet"/>
      <w:lvlText w:val="o"/>
      <w:lvlJc w:val="left"/>
      <w:pPr>
        <w:ind w:left="6465" w:hanging="360"/>
      </w:pPr>
      <w:rPr>
        <w:rFonts w:ascii="Courier New" w:hAnsi="Courier New" w:cs="Courier New" w:hint="default"/>
      </w:rPr>
    </w:lvl>
    <w:lvl w:ilvl="8" w:tplc="380A0005" w:tentative="1">
      <w:start w:val="1"/>
      <w:numFmt w:val="bullet"/>
      <w:lvlText w:val=""/>
      <w:lvlJc w:val="left"/>
      <w:pPr>
        <w:ind w:left="7185" w:hanging="360"/>
      </w:pPr>
      <w:rPr>
        <w:rFonts w:ascii="Wingdings" w:hAnsi="Wingdings" w:hint="default"/>
      </w:rPr>
    </w:lvl>
  </w:abstractNum>
  <w:abstractNum w:abstractNumId="5">
    <w:nsid w:val="3B765F9A"/>
    <w:multiLevelType w:val="hybridMultilevel"/>
    <w:tmpl w:val="CA3C1E8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D94"/>
    <w:rsid w:val="00194615"/>
    <w:rsid w:val="001C6B93"/>
    <w:rsid w:val="00253CDD"/>
    <w:rsid w:val="00292EE5"/>
    <w:rsid w:val="0033490C"/>
    <w:rsid w:val="003725EB"/>
    <w:rsid w:val="003A6174"/>
    <w:rsid w:val="00435D94"/>
    <w:rsid w:val="0044370C"/>
    <w:rsid w:val="00447808"/>
    <w:rsid w:val="00747142"/>
    <w:rsid w:val="007C6813"/>
    <w:rsid w:val="008B008D"/>
    <w:rsid w:val="009005A3"/>
    <w:rsid w:val="00A06382"/>
    <w:rsid w:val="00A95BD6"/>
    <w:rsid w:val="00C62E4D"/>
    <w:rsid w:val="00CB49A1"/>
    <w:rsid w:val="00D4658D"/>
    <w:rsid w:val="00E925A4"/>
    <w:rsid w:val="00F12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94"/>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E4D"/>
    <w:pPr>
      <w:spacing w:after="200" w:line="276" w:lineRule="auto"/>
      <w:ind w:left="720"/>
      <w:contextualSpacing/>
    </w:pPr>
    <w:rPr>
      <w:rFonts w:asciiTheme="minorHAnsi" w:eastAsiaTheme="minorEastAsia" w:hAnsiTheme="minorHAnsi" w:cstheme="minorBidi"/>
      <w:sz w:val="22"/>
      <w:szCs w:val="22"/>
      <w:lang w:val="es-UY" w:eastAsia="es-UY"/>
    </w:rPr>
  </w:style>
  <w:style w:type="paragraph" w:customStyle="1" w:styleId="Continuarlista1">
    <w:name w:val="Continuar lista1"/>
    <w:basedOn w:val="Normal"/>
    <w:rsid w:val="00C62E4D"/>
    <w:pPr>
      <w:numPr>
        <w:numId w:val="4"/>
      </w:numPr>
      <w:suppressAutoHyphens/>
      <w:spacing w:after="120"/>
    </w:pPr>
    <w:rPr>
      <w:rFonts w:ascii="Times New Roman" w:hAnsi="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94"/>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2E4D"/>
    <w:pPr>
      <w:spacing w:after="200" w:line="276" w:lineRule="auto"/>
      <w:ind w:left="720"/>
      <w:contextualSpacing/>
    </w:pPr>
    <w:rPr>
      <w:rFonts w:asciiTheme="minorHAnsi" w:eastAsiaTheme="minorEastAsia" w:hAnsiTheme="minorHAnsi" w:cstheme="minorBidi"/>
      <w:sz w:val="22"/>
      <w:szCs w:val="22"/>
      <w:lang w:val="es-UY" w:eastAsia="es-UY"/>
    </w:rPr>
  </w:style>
  <w:style w:type="paragraph" w:customStyle="1" w:styleId="Continuarlista1">
    <w:name w:val="Continuar lista1"/>
    <w:basedOn w:val="Normal"/>
    <w:rsid w:val="00C62E4D"/>
    <w:pPr>
      <w:numPr>
        <w:numId w:val="4"/>
      </w:numPr>
      <w:suppressAutoHyphens/>
      <w:spacing w:after="120"/>
    </w:pPr>
    <w:rPr>
      <w:rFonts w:ascii="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2150</Words>
  <Characters>11829</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19</cp:revision>
  <cp:lastPrinted>2019-03-11T17:33:00Z</cp:lastPrinted>
  <dcterms:created xsi:type="dcterms:W3CDTF">2019-03-11T16:07:00Z</dcterms:created>
  <dcterms:modified xsi:type="dcterms:W3CDTF">2019-03-27T17:14:00Z</dcterms:modified>
</cp:coreProperties>
</file>