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17" w:rsidRPr="003F3A3F" w:rsidRDefault="00C31517" w:rsidP="00C31517">
      <w:pPr>
        <w:tabs>
          <w:tab w:val="center" w:pos="4253"/>
        </w:tabs>
        <w:suppressAutoHyphens/>
        <w:spacing w:line="360" w:lineRule="auto"/>
        <w:jc w:val="right"/>
        <w:rPr>
          <w:b/>
          <w:sz w:val="28"/>
          <w:szCs w:val="28"/>
          <w:lang w:val="es-ES_tradnl"/>
        </w:rPr>
      </w:pPr>
      <w:r w:rsidRPr="003F3A3F">
        <w:rPr>
          <w:b/>
          <w:sz w:val="28"/>
          <w:szCs w:val="28"/>
          <w:lang w:val="es-ES_tradnl"/>
        </w:rPr>
        <w:t xml:space="preserve">RES. </w:t>
      </w:r>
      <w:r>
        <w:rPr>
          <w:b/>
          <w:sz w:val="28"/>
          <w:szCs w:val="28"/>
          <w:lang w:val="es-ES_tradnl"/>
        </w:rPr>
        <w:t>634</w:t>
      </w:r>
      <w:r w:rsidRPr="003F3A3F">
        <w:rPr>
          <w:b/>
          <w:sz w:val="28"/>
          <w:szCs w:val="28"/>
          <w:lang w:val="es-ES_tradnl"/>
        </w:rPr>
        <w:t>/19</w:t>
      </w:r>
    </w:p>
    <w:p w:rsidR="00C31517" w:rsidRPr="000F48AC" w:rsidRDefault="00C31517" w:rsidP="00C31517">
      <w:pPr>
        <w:tabs>
          <w:tab w:val="center" w:pos="4253"/>
        </w:tabs>
        <w:suppressAutoHyphens/>
        <w:spacing w:line="480" w:lineRule="auto"/>
        <w:jc w:val="center"/>
        <w:rPr>
          <w:b/>
          <w:lang w:val="es-ES_tradnl"/>
        </w:rPr>
      </w:pPr>
      <w:r w:rsidRPr="000F48AC">
        <w:rPr>
          <w:b/>
          <w:lang w:val="es-ES_tradnl"/>
        </w:rPr>
        <w:t>RESOLUCION ADOPTADA POR EL</w:t>
      </w:r>
    </w:p>
    <w:p w:rsidR="00C31517" w:rsidRPr="000F48AC" w:rsidRDefault="00C31517" w:rsidP="00C31517">
      <w:pPr>
        <w:tabs>
          <w:tab w:val="center" w:pos="4253"/>
        </w:tabs>
        <w:suppressAutoHyphens/>
        <w:spacing w:line="480" w:lineRule="auto"/>
        <w:jc w:val="center"/>
        <w:rPr>
          <w:b/>
          <w:lang w:val="es-ES_tradnl"/>
        </w:rPr>
      </w:pPr>
      <w:r w:rsidRPr="000F48AC">
        <w:rPr>
          <w:b/>
          <w:lang w:val="es-ES_tradnl"/>
        </w:rPr>
        <w:t>TRIBUNAL DE CUENTAS</w:t>
      </w:r>
    </w:p>
    <w:p w:rsidR="00C31517" w:rsidRPr="000F48AC" w:rsidRDefault="00C31517" w:rsidP="00C31517">
      <w:pPr>
        <w:tabs>
          <w:tab w:val="center" w:pos="4253"/>
        </w:tabs>
        <w:suppressAutoHyphens/>
        <w:spacing w:line="480" w:lineRule="auto"/>
        <w:jc w:val="center"/>
        <w:rPr>
          <w:b/>
          <w:lang w:val="es-ES_tradnl"/>
        </w:rPr>
      </w:pPr>
      <w:r w:rsidRPr="000F48AC">
        <w:rPr>
          <w:b/>
          <w:lang w:val="es-ES_tradnl"/>
        </w:rPr>
        <w:t xml:space="preserve">EN SESION DE FECHA </w:t>
      </w:r>
      <w:r w:rsidRPr="001816B6">
        <w:rPr>
          <w:b/>
          <w:lang w:val="es-ES_tradnl"/>
        </w:rPr>
        <w:t>7</w:t>
      </w:r>
      <w:r w:rsidRPr="0058790E">
        <w:rPr>
          <w:b/>
          <w:lang w:val="es-ES_tradnl"/>
        </w:rPr>
        <w:t xml:space="preserve"> </w:t>
      </w:r>
      <w:r w:rsidRPr="000F48AC">
        <w:rPr>
          <w:b/>
          <w:lang w:val="es-ES_tradnl"/>
        </w:rPr>
        <w:t xml:space="preserve">DE </w:t>
      </w:r>
      <w:r>
        <w:rPr>
          <w:b/>
          <w:lang w:val="es-ES_tradnl"/>
        </w:rPr>
        <w:t>MARZO DE 2019</w:t>
      </w:r>
    </w:p>
    <w:p w:rsidR="00C31517" w:rsidRDefault="00C31517" w:rsidP="00C31517">
      <w:pPr>
        <w:tabs>
          <w:tab w:val="center" w:pos="4253"/>
        </w:tabs>
        <w:suppressAutoHyphens/>
        <w:spacing w:line="360" w:lineRule="auto"/>
        <w:jc w:val="center"/>
        <w:rPr>
          <w:b/>
        </w:rPr>
      </w:pPr>
      <w:r w:rsidRPr="00BB4DEC">
        <w:rPr>
          <w:b/>
        </w:rPr>
        <w:t>(E.</w:t>
      </w:r>
      <w:r>
        <w:rPr>
          <w:b/>
        </w:rPr>
        <w:t xml:space="preserve"> E. Nº 2019-17-1-0000264, </w:t>
      </w:r>
      <w:proofErr w:type="spellStart"/>
      <w:r>
        <w:rPr>
          <w:b/>
        </w:rPr>
        <w:t>Ent</w:t>
      </w:r>
      <w:proofErr w:type="spellEnd"/>
      <w:r>
        <w:rPr>
          <w:b/>
        </w:rPr>
        <w:t>. N° 0180/19</w:t>
      </w:r>
      <w:r w:rsidRPr="00BB4DEC">
        <w:rPr>
          <w:b/>
        </w:rPr>
        <w:t>)</w:t>
      </w:r>
    </w:p>
    <w:p w:rsidR="00C31517" w:rsidRPr="00BB4DEC" w:rsidRDefault="00C31517" w:rsidP="00C31517">
      <w:pPr>
        <w:tabs>
          <w:tab w:val="center" w:pos="4253"/>
        </w:tabs>
        <w:suppressAutoHyphens/>
        <w:spacing w:line="360" w:lineRule="auto"/>
        <w:jc w:val="center"/>
        <w:rPr>
          <w:b/>
        </w:rPr>
      </w:pPr>
    </w:p>
    <w:p w:rsidR="00345808" w:rsidRDefault="00345808" w:rsidP="00C31517">
      <w:pPr>
        <w:spacing w:line="360" w:lineRule="auto"/>
        <w:ind w:firstLine="851"/>
        <w:jc w:val="both"/>
        <w:rPr>
          <w:b/>
          <w:bCs/>
          <w:smallCaps/>
          <w:snapToGrid w:val="0"/>
          <w:lang w:val="es-MX"/>
        </w:rPr>
      </w:pPr>
      <w:r w:rsidRPr="00345808">
        <w:rPr>
          <w:b/>
          <w:snapToGrid w:val="0"/>
          <w:lang w:val="es-MX"/>
        </w:rPr>
        <w:t>VISTO:</w:t>
      </w:r>
      <w:r>
        <w:rPr>
          <w:snapToGrid w:val="0"/>
          <w:lang w:val="es-MX"/>
        </w:rPr>
        <w:t xml:space="preserve"> las actuaciones remitidas por la Administración Nacional de Puertos relacionadas con la </w:t>
      </w:r>
      <w:r w:rsidRPr="00411B04">
        <w:rPr>
          <w:snapToGrid w:val="0"/>
          <w:lang w:val="es-MX"/>
        </w:rPr>
        <w:t>Licitación Abreviada Nº 107</w:t>
      </w:r>
      <w:r>
        <w:rPr>
          <w:snapToGrid w:val="0"/>
          <w:lang w:val="es-MX"/>
        </w:rPr>
        <w:t>/18, para la cesión de uso y explotación de tres locales de la terminal de pasajeros del puerto de Colonia, con destino a servicios gastronómicos;</w:t>
      </w:r>
    </w:p>
    <w:p w:rsidR="00345808" w:rsidRDefault="00710205" w:rsidP="00C31517">
      <w:pPr>
        <w:spacing w:line="360" w:lineRule="auto"/>
        <w:ind w:firstLine="851"/>
        <w:jc w:val="both"/>
        <w:rPr>
          <w:b/>
          <w:bCs/>
          <w:smallCaps/>
          <w:snapToGrid w:val="0"/>
          <w:lang w:val="es-MX"/>
        </w:rPr>
      </w:pPr>
      <w:r>
        <w:rPr>
          <w:b/>
          <w:snapToGrid w:val="0"/>
          <w:lang w:val="es-MX"/>
        </w:rPr>
        <w:t xml:space="preserve">RESULTANDO: </w:t>
      </w:r>
      <w:r w:rsidR="00345808" w:rsidRPr="00345808">
        <w:rPr>
          <w:b/>
          <w:snapToGrid w:val="0"/>
          <w:lang w:val="es-MX"/>
        </w:rPr>
        <w:t>1)</w:t>
      </w:r>
      <w:r w:rsidR="00345808">
        <w:rPr>
          <w:snapToGrid w:val="0"/>
          <w:lang w:val="es-MX"/>
        </w:rPr>
        <w:t xml:space="preserve"> que por Resolución N° 359/2018 de fecha 14.09.18, la Gerencia General dispuso aprobar el Pliego de Condiciones Particulares que rige el presente llamado; </w:t>
      </w:r>
    </w:p>
    <w:p w:rsidR="00904AC7" w:rsidRDefault="00345808" w:rsidP="00904AC7">
      <w:pPr>
        <w:spacing w:line="360" w:lineRule="auto"/>
        <w:ind w:firstLine="2694"/>
        <w:jc w:val="both"/>
        <w:rPr>
          <w:b/>
          <w:bCs/>
          <w:smallCaps/>
          <w:snapToGrid w:val="0"/>
          <w:lang w:val="es-MX"/>
        </w:rPr>
      </w:pPr>
      <w:r w:rsidRPr="00345808">
        <w:rPr>
          <w:b/>
          <w:snapToGrid w:val="0"/>
          <w:lang w:val="es-MX"/>
        </w:rPr>
        <w:t>2)</w:t>
      </w:r>
      <w:r w:rsidRPr="00411B04">
        <w:rPr>
          <w:snapToGrid w:val="0"/>
          <w:lang w:val="es-MX"/>
        </w:rPr>
        <w:t xml:space="preserve"> </w:t>
      </w:r>
      <w:r>
        <w:rPr>
          <w:snapToGrid w:val="0"/>
          <w:lang w:val="es-MX"/>
        </w:rPr>
        <w:t xml:space="preserve">que cumplido el requisito legal de publicidad con antelación suficiente, con fecha 25.10.18 se celebró el acto de apertura de ofertas, al que se presentó únicamente </w:t>
      </w:r>
      <w:proofErr w:type="spellStart"/>
      <w:r>
        <w:rPr>
          <w:snapToGrid w:val="0"/>
          <w:lang w:val="es-MX"/>
        </w:rPr>
        <w:t>Buquebar</w:t>
      </w:r>
      <w:proofErr w:type="spellEnd"/>
      <w:r>
        <w:rPr>
          <w:snapToGrid w:val="0"/>
          <w:lang w:val="es-MX"/>
        </w:rPr>
        <w:t xml:space="preserve"> S.R.L;</w:t>
      </w:r>
    </w:p>
    <w:p w:rsidR="00904AC7" w:rsidRDefault="00345808" w:rsidP="00904AC7">
      <w:pPr>
        <w:spacing w:line="360" w:lineRule="auto"/>
        <w:ind w:firstLine="2694"/>
        <w:jc w:val="both"/>
        <w:rPr>
          <w:b/>
          <w:bCs/>
          <w:smallCaps/>
          <w:snapToGrid w:val="0"/>
          <w:lang w:val="es-MX"/>
        </w:rPr>
      </w:pPr>
      <w:r w:rsidRPr="00345808">
        <w:rPr>
          <w:b/>
          <w:snapToGrid w:val="0"/>
          <w:lang w:val="es-MX"/>
        </w:rPr>
        <w:t>3)</w:t>
      </w:r>
      <w:r>
        <w:rPr>
          <w:snapToGrid w:val="0"/>
          <w:lang w:val="es-MX"/>
        </w:rPr>
        <w:t xml:space="preserve"> que con fecha 21.12.18, la Comisión Asesora de Adjudicaciones informó que se verificó el cumplimiento de los requisitos formales, así como de los requerimientos relativos a los servicios gastronómicos, experiencia y antecedentes solicitados en el Pliego de Condiciones Particulares, respecto de la única oferta presentada;</w:t>
      </w:r>
    </w:p>
    <w:p w:rsidR="00904AC7" w:rsidRDefault="00345808" w:rsidP="00904AC7">
      <w:pPr>
        <w:spacing w:line="360" w:lineRule="auto"/>
        <w:ind w:firstLine="2694"/>
        <w:jc w:val="both"/>
        <w:rPr>
          <w:b/>
          <w:bCs/>
          <w:smallCaps/>
          <w:snapToGrid w:val="0"/>
          <w:lang w:val="es-MX"/>
        </w:rPr>
      </w:pPr>
      <w:r w:rsidRPr="00345808">
        <w:rPr>
          <w:b/>
          <w:snapToGrid w:val="0"/>
          <w:lang w:val="es-MX"/>
        </w:rPr>
        <w:t>4)</w:t>
      </w:r>
      <w:r>
        <w:rPr>
          <w:snapToGrid w:val="0"/>
          <w:lang w:val="es-MX"/>
        </w:rPr>
        <w:t xml:space="preserve"> que conforme el referido estudio, la propuesta de </w:t>
      </w:r>
      <w:proofErr w:type="spellStart"/>
      <w:r>
        <w:rPr>
          <w:snapToGrid w:val="0"/>
          <w:lang w:val="es-MX"/>
        </w:rPr>
        <w:t>Buquebar</w:t>
      </w:r>
      <w:proofErr w:type="spellEnd"/>
      <w:r>
        <w:rPr>
          <w:snapToGrid w:val="0"/>
          <w:lang w:val="es-MX"/>
        </w:rPr>
        <w:t xml:space="preserve"> S.R.L fue considerada admisible y, habiendo ofertado un canon de U$S 6.855, fue recomendada la adjudicación en su favor;</w:t>
      </w:r>
    </w:p>
    <w:p w:rsidR="00345808" w:rsidRPr="00904AC7" w:rsidRDefault="00345808" w:rsidP="00904AC7">
      <w:pPr>
        <w:spacing w:line="360" w:lineRule="auto"/>
        <w:ind w:firstLine="2694"/>
        <w:jc w:val="both"/>
        <w:rPr>
          <w:b/>
          <w:bCs/>
          <w:smallCaps/>
          <w:snapToGrid w:val="0"/>
          <w:lang w:val="es-MX"/>
        </w:rPr>
      </w:pPr>
      <w:r>
        <w:rPr>
          <w:b/>
          <w:snapToGrid w:val="0"/>
          <w:lang w:val="es-MX"/>
        </w:rPr>
        <w:t>5</w:t>
      </w:r>
      <w:r w:rsidRPr="00345808">
        <w:rPr>
          <w:b/>
          <w:snapToGrid w:val="0"/>
          <w:lang w:val="es-MX"/>
        </w:rPr>
        <w:t>)</w:t>
      </w:r>
      <w:r>
        <w:rPr>
          <w:snapToGrid w:val="0"/>
          <w:lang w:val="es-MX"/>
        </w:rPr>
        <w:t xml:space="preserve"> que por Resolución N° 14/3.961 de fecha 09.01.19, el Directorio dispuso adjudicar -</w:t>
      </w:r>
      <w:r>
        <w:rPr>
          <w:lang w:val="es-MX"/>
        </w:rPr>
        <w:t xml:space="preserve">supeditado a la intervención preventiva del Tribunal de Cuentas- la licitación de referencia a </w:t>
      </w:r>
      <w:proofErr w:type="spellStart"/>
      <w:r>
        <w:rPr>
          <w:lang w:val="es-MX"/>
        </w:rPr>
        <w:t>Buquebar</w:t>
      </w:r>
      <w:proofErr w:type="spellEnd"/>
      <w:r>
        <w:rPr>
          <w:lang w:val="es-MX"/>
        </w:rPr>
        <w:t xml:space="preserve"> S.R.L por un canon mensual de U$S 6.855 por el plazo de dos años contados a partir de la firma </w:t>
      </w:r>
      <w:r>
        <w:rPr>
          <w:lang w:val="es-MX"/>
        </w:rPr>
        <w:lastRenderedPageBreak/>
        <w:t>del contrato, que se renovará automáticamente por períodos de un año y hasta un máximo de tres años;</w:t>
      </w:r>
    </w:p>
    <w:p w:rsidR="00345808" w:rsidRDefault="00904AC7" w:rsidP="00904AC7">
      <w:pPr>
        <w:spacing w:line="360" w:lineRule="auto"/>
        <w:ind w:firstLine="851"/>
        <w:jc w:val="both"/>
      </w:pPr>
      <w:r>
        <w:rPr>
          <w:b/>
          <w:lang w:val="es-MX"/>
        </w:rPr>
        <w:t xml:space="preserve">CONSIDERANDO: </w:t>
      </w:r>
      <w:r w:rsidR="00345808" w:rsidRPr="00345808">
        <w:rPr>
          <w:b/>
          <w:lang w:val="es-MX"/>
        </w:rPr>
        <w:t>1)</w:t>
      </w:r>
      <w:r w:rsidR="00345808">
        <w:rPr>
          <w:lang w:val="es-MX"/>
        </w:rPr>
        <w:t xml:space="preserve"> </w:t>
      </w:r>
      <w:r w:rsidR="00345808">
        <w:t>que el artículo 26 del Pliego de Condiciones Particulares prevé una garantía a ser abonada por los eventuales oferentes que soliciten prórroga de la apertura de ofertas, mediante la acreditación de un depósito en garantía por la suma de U$S 5.000 en efectivo o valores públicos,  disponiendo, asimismo, que la misma será incrementada en igual monto original por cada prórroga solicitada y que será ejecutada por ANP si,  concedida la prórroga, el peticionante luego no presentare su oferta de acuerdo a los requisitos establecidos en el Pliego, siendo devuelta una vez que la Unidad Licitaciones compruebe el cumplimiento de los requisitos exigidos en el artículo 22, de acuerdo al acta de apertura y al levantamiento de las observaciones si las hubiere;</w:t>
      </w:r>
    </w:p>
    <w:p w:rsidR="00345808" w:rsidRDefault="00904AC7" w:rsidP="00904AC7">
      <w:pPr>
        <w:spacing w:line="360" w:lineRule="auto"/>
        <w:ind w:firstLine="2977"/>
        <w:jc w:val="both"/>
      </w:pPr>
      <w:r>
        <w:t xml:space="preserve"> </w:t>
      </w:r>
      <w:r w:rsidR="00345808" w:rsidRPr="00345808">
        <w:rPr>
          <w:b/>
        </w:rPr>
        <w:t>2)</w:t>
      </w:r>
      <w:r w:rsidR="00345808">
        <w:t xml:space="preserve"> que la solicitud de prórroga prevista en los Pliegos Únicos de Bases y Condiciones Generales responde a una facultad discrecional de la Administración en procura de “dar a los posibles oferentes tiempo adicional para la preparación de sus ofertas” (artículo 4 del Decreto </w:t>
      </w:r>
      <w:r>
        <w:t xml:space="preserve">    </w:t>
      </w:r>
      <w:r w:rsidR="00345808">
        <w:t xml:space="preserve">Nº 131/014), habiéndose previsto el tipo de garantías que se pueden exigir a los oferentes y adjudicatarios, según lo dispuesto por el artículo 64 del TOCAF, que indica los tipos y modalidades para su constitución, no estableciéndose en ningún caso, la posibilidad de constituir una garantía por pedido de prórroga; </w:t>
      </w:r>
    </w:p>
    <w:p w:rsidR="00904AC7" w:rsidRDefault="00904AC7" w:rsidP="00904AC7">
      <w:pPr>
        <w:spacing w:line="360" w:lineRule="auto"/>
        <w:ind w:firstLine="2977"/>
        <w:jc w:val="both"/>
      </w:pPr>
      <w:r>
        <w:t xml:space="preserve"> </w:t>
      </w:r>
      <w:r w:rsidR="00345808" w:rsidRPr="00345808">
        <w:rPr>
          <w:b/>
        </w:rPr>
        <w:t>3)</w:t>
      </w:r>
      <w:r w:rsidR="00345808">
        <w:t xml:space="preserve"> que por otra parte, el artículo 27.1 del Pliego de Condiciones Particulares dispuso que en la apertura “… En el caso de haberse observado defectos formales en la presentación de la documentación requerida por el pliego, los oferentes tendrán un plazo de dos (2) días para su</w:t>
      </w:r>
      <w:r w:rsidR="00C44D8F">
        <w:t>bsanarlos”, mientras que en el a</w:t>
      </w:r>
      <w:r w:rsidR="00345808">
        <w:t xml:space="preserve">rtículo 27.2 se previó que luego del acto de apertura de ofertas, si se observaren defectos formales en la documentación presentada, cuyo análisis no correspondía ser efectuado en el acto de apertura, o que fue controlado en dicha instancia pero el defecto no fue advertido, se notificará a </w:t>
      </w:r>
      <w:r w:rsidR="00345808">
        <w:lastRenderedPageBreak/>
        <w:t xml:space="preserve">los oferentes de los mismos y podrán subsanarlos dentro de los dos días siguientes al acto de notificación; </w:t>
      </w:r>
    </w:p>
    <w:p w:rsidR="00C26F6C" w:rsidRDefault="00904AC7" w:rsidP="00C26F6C">
      <w:pPr>
        <w:spacing w:line="360" w:lineRule="auto"/>
        <w:ind w:firstLine="2977"/>
        <w:jc w:val="both"/>
      </w:pPr>
      <w:r>
        <w:t xml:space="preserve"> </w:t>
      </w:r>
      <w:r w:rsidR="00345808" w:rsidRPr="00345808">
        <w:rPr>
          <w:b/>
        </w:rPr>
        <w:t>4)</w:t>
      </w:r>
      <w:r w:rsidR="00345808">
        <w:t xml:space="preserve"> que dichas normas coliden con lo preceptuado por el artículo 65 inciso 7º del TOCAF que establece que la Administración puede otorgar a los proponentes un plazo máximo de dos días hábiles para salvar los defectos, carencias formales o errores evidentes o de escasa importancia, siendo una facultad a ser ejercida por única vez en caso de entenderlo procedente, y no en dos oportunidades como prevén las disposiciones referidas en el Considerando anterior; </w:t>
      </w:r>
    </w:p>
    <w:p w:rsidR="00345808" w:rsidRPr="00345808" w:rsidRDefault="00C26F6C" w:rsidP="00C26F6C">
      <w:pPr>
        <w:spacing w:line="360" w:lineRule="auto"/>
        <w:ind w:firstLine="2977"/>
        <w:jc w:val="both"/>
      </w:pPr>
      <w:r>
        <w:t xml:space="preserve"> </w:t>
      </w:r>
      <w:r w:rsidR="00345808">
        <w:rPr>
          <w:b/>
        </w:rPr>
        <w:t>5</w:t>
      </w:r>
      <w:r w:rsidR="00345808" w:rsidRPr="00345808">
        <w:rPr>
          <w:b/>
        </w:rPr>
        <w:t>)</w:t>
      </w:r>
      <w:r w:rsidR="00345808">
        <w:t xml:space="preserve"> que el artículo 27.4 del Pliego de Condiciones Particulares, en su inciso 2º bajo el acápite “discrepancias”, dispone que toda cláusula imprecisa, ambigua y contradictoria, se interpretará en el sentido más favorable para la ANP, lo que otorga un sentido interpretativo favorable a la Administración respecto de las cláusulas que contienen las ofertas, </w:t>
      </w:r>
      <w:r w:rsidR="00C44D8F">
        <w:t>constituyendo</w:t>
      </w:r>
      <w:r w:rsidR="00345808">
        <w:t xml:space="preserve"> una prerrogativa para una de las partes del contrato; </w:t>
      </w:r>
    </w:p>
    <w:p w:rsidR="00345808" w:rsidRDefault="00345808" w:rsidP="00C26F6C">
      <w:pPr>
        <w:pStyle w:val="Sangradetextonormal"/>
        <w:ind w:firstLine="851"/>
        <w:rPr>
          <w:lang w:val="es-UY"/>
        </w:rPr>
      </w:pPr>
      <w:r>
        <w:rPr>
          <w:b/>
          <w:lang w:val="es-UY"/>
        </w:rPr>
        <w:t>ATENTO:</w:t>
      </w:r>
      <w:r>
        <w:rPr>
          <w:lang w:val="es-UY"/>
        </w:rPr>
        <w:t xml:space="preserve"> a lo expuesto y a lo dispuesto por el artículo 211, literal E) de la Constitución de la República;</w:t>
      </w:r>
    </w:p>
    <w:p w:rsidR="00345808" w:rsidRDefault="00345808" w:rsidP="00C31517">
      <w:pPr>
        <w:pStyle w:val="Sangradetextonormal"/>
        <w:jc w:val="center"/>
        <w:rPr>
          <w:lang w:val="es-UY"/>
        </w:rPr>
      </w:pPr>
      <w:r>
        <w:rPr>
          <w:b/>
          <w:lang w:val="es-UY"/>
        </w:rPr>
        <w:t>EL TRIBUNAL ACUERDA</w:t>
      </w:r>
    </w:p>
    <w:p w:rsidR="00345808" w:rsidRDefault="00710205" w:rsidP="00C31517">
      <w:pPr>
        <w:pStyle w:val="Sangradetextonormal"/>
      </w:pPr>
      <w:r>
        <w:rPr>
          <w:b/>
          <w:lang w:val="es-UY"/>
        </w:rPr>
        <w:t>1)</w:t>
      </w:r>
      <w:r w:rsidR="00345808">
        <w:rPr>
          <w:lang w:val="es-UY"/>
        </w:rPr>
        <w:t xml:space="preserve"> Cometer al Contador Delegado </w:t>
      </w:r>
      <w:r w:rsidR="00345808">
        <w:t>el control de la efectiva versión de lo recaudado, por un concepto de canon mensual de U$S 6.855;</w:t>
      </w:r>
    </w:p>
    <w:p w:rsidR="00C44D8F" w:rsidRPr="00C44D8F" w:rsidRDefault="00710205" w:rsidP="00C31517">
      <w:pPr>
        <w:pStyle w:val="Sangradetextonormal"/>
        <w:rPr>
          <w:b/>
        </w:rPr>
      </w:pPr>
      <w:r>
        <w:rPr>
          <w:b/>
        </w:rPr>
        <w:t>2)</w:t>
      </w:r>
      <w:r w:rsidR="00C44D8F">
        <w:rPr>
          <w:b/>
        </w:rPr>
        <w:t xml:space="preserve"> </w:t>
      </w:r>
      <w:r w:rsidR="00C44D8F">
        <w:t>Téngase presente lo expresado en los Considerandos;</w:t>
      </w:r>
      <w:bookmarkStart w:id="0" w:name="_GoBack"/>
      <w:bookmarkEnd w:id="0"/>
    </w:p>
    <w:p w:rsidR="00345808" w:rsidRDefault="00C44D8F" w:rsidP="00C31517">
      <w:pPr>
        <w:pStyle w:val="Sangradetextonormal"/>
      </w:pPr>
      <w:r>
        <w:rPr>
          <w:b/>
        </w:rPr>
        <w:t>3</w:t>
      </w:r>
      <w:r w:rsidR="00710205">
        <w:rPr>
          <w:b/>
        </w:rPr>
        <w:t>)</w:t>
      </w:r>
      <w:r w:rsidR="00345808">
        <w:t xml:space="preserve"> Comunicar al Contador Delegado;</w:t>
      </w:r>
    </w:p>
    <w:p w:rsidR="00345808" w:rsidRDefault="00C44D8F" w:rsidP="00C31517">
      <w:pPr>
        <w:pStyle w:val="Sangradetextonormal"/>
        <w:rPr>
          <w:lang w:val="es-UY"/>
        </w:rPr>
      </w:pPr>
      <w:r>
        <w:rPr>
          <w:b/>
        </w:rPr>
        <w:t>4</w:t>
      </w:r>
      <w:r w:rsidR="00710205">
        <w:rPr>
          <w:b/>
        </w:rPr>
        <w:t>)</w:t>
      </w:r>
      <w:r w:rsidR="00345808">
        <w:t xml:space="preserve"> </w:t>
      </w:r>
      <w:r w:rsidR="00710205">
        <w:rPr>
          <w:lang w:val="es-UY"/>
        </w:rPr>
        <w:t>Devolver las actuaciones.</w:t>
      </w:r>
    </w:p>
    <w:p w:rsidR="00710205" w:rsidRDefault="00710205" w:rsidP="00C31517">
      <w:pPr>
        <w:pStyle w:val="Sangradetextonormal"/>
        <w:rPr>
          <w:lang w:val="es-UY"/>
        </w:rPr>
      </w:pPr>
    </w:p>
    <w:p w:rsidR="00710205" w:rsidRDefault="00710205" w:rsidP="00C31517">
      <w:pPr>
        <w:pStyle w:val="Sangradetextonormal"/>
        <w:rPr>
          <w:lang w:val="es-UY"/>
        </w:rPr>
      </w:pPr>
    </w:p>
    <w:p w:rsidR="00710205" w:rsidRPr="00710205" w:rsidRDefault="00710205" w:rsidP="00C31517">
      <w:pPr>
        <w:pStyle w:val="Sangradetextonormal"/>
        <w:rPr>
          <w:lang w:val="es-UY"/>
        </w:rPr>
      </w:pPr>
      <w:proofErr w:type="gramStart"/>
      <w:r>
        <w:rPr>
          <w:lang w:val="es-UY"/>
        </w:rPr>
        <w:t>lm</w:t>
      </w:r>
      <w:proofErr w:type="gramEnd"/>
    </w:p>
    <w:sectPr w:rsidR="00710205" w:rsidRPr="00710205" w:rsidSect="0071020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08"/>
    <w:rsid w:val="00345808"/>
    <w:rsid w:val="00710205"/>
    <w:rsid w:val="00904AC7"/>
    <w:rsid w:val="00960DF5"/>
    <w:rsid w:val="00C26F6C"/>
    <w:rsid w:val="00C31517"/>
    <w:rsid w:val="00C44D8F"/>
    <w:rsid w:val="00D357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08"/>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345808"/>
    <w:pPr>
      <w:keepNext/>
      <w:spacing w:line="360" w:lineRule="auto"/>
      <w:jc w:val="both"/>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808"/>
    <w:rPr>
      <w:rFonts w:ascii="Arial" w:eastAsia="Times New Roman" w:hAnsi="Arial" w:cs="Arial"/>
      <w:b/>
      <w:bCs/>
      <w:sz w:val="24"/>
      <w:szCs w:val="24"/>
      <w:lang w:val="es-MX" w:eastAsia="es-ES"/>
    </w:rPr>
  </w:style>
  <w:style w:type="paragraph" w:styleId="Textoindependiente">
    <w:name w:val="Body Text"/>
    <w:basedOn w:val="Normal"/>
    <w:link w:val="TextoindependienteCar"/>
    <w:semiHidden/>
    <w:rsid w:val="00345808"/>
    <w:pPr>
      <w:spacing w:line="360" w:lineRule="auto"/>
      <w:jc w:val="both"/>
    </w:pPr>
    <w:rPr>
      <w:b/>
      <w:bCs/>
      <w:lang w:val="es-MX"/>
    </w:rPr>
  </w:style>
  <w:style w:type="character" w:customStyle="1" w:styleId="TextoindependienteCar">
    <w:name w:val="Texto independiente Car"/>
    <w:basedOn w:val="Fuentedeprrafopredeter"/>
    <w:link w:val="Textoindependiente"/>
    <w:semiHidden/>
    <w:rsid w:val="00345808"/>
    <w:rPr>
      <w:rFonts w:ascii="Arial" w:eastAsia="Times New Roman" w:hAnsi="Arial" w:cs="Arial"/>
      <w:b/>
      <w:bCs/>
      <w:sz w:val="24"/>
      <w:szCs w:val="24"/>
      <w:lang w:val="es-MX" w:eastAsia="es-ES"/>
    </w:rPr>
  </w:style>
  <w:style w:type="paragraph" w:styleId="Ttulo">
    <w:name w:val="Title"/>
    <w:basedOn w:val="Normal"/>
    <w:link w:val="TtuloCar"/>
    <w:qFormat/>
    <w:rsid w:val="00345808"/>
    <w:pPr>
      <w:spacing w:line="360" w:lineRule="auto"/>
      <w:ind w:firstLine="708"/>
      <w:jc w:val="center"/>
    </w:pPr>
    <w:rPr>
      <w:b/>
      <w:bCs/>
      <w:u w:val="single"/>
      <w:lang w:val="es-MX"/>
    </w:rPr>
  </w:style>
  <w:style w:type="character" w:customStyle="1" w:styleId="TtuloCar">
    <w:name w:val="Título Car"/>
    <w:basedOn w:val="Fuentedeprrafopredeter"/>
    <w:link w:val="Ttulo"/>
    <w:rsid w:val="00345808"/>
    <w:rPr>
      <w:rFonts w:ascii="Arial" w:eastAsia="Times New Roman" w:hAnsi="Arial" w:cs="Arial"/>
      <w:b/>
      <w:bCs/>
      <w:sz w:val="24"/>
      <w:szCs w:val="24"/>
      <w:u w:val="single"/>
      <w:lang w:val="es-MX" w:eastAsia="es-ES"/>
    </w:rPr>
  </w:style>
  <w:style w:type="paragraph" w:styleId="Sangradetextonormal">
    <w:name w:val="Body Text Indent"/>
    <w:basedOn w:val="Normal"/>
    <w:link w:val="SangradetextonormalCar"/>
    <w:semiHidden/>
    <w:rsid w:val="00345808"/>
    <w:pPr>
      <w:spacing w:line="360" w:lineRule="auto"/>
      <w:jc w:val="both"/>
    </w:pPr>
    <w:rPr>
      <w:lang w:val="es-MX"/>
    </w:rPr>
  </w:style>
  <w:style w:type="character" w:customStyle="1" w:styleId="SangradetextonormalCar">
    <w:name w:val="Sangría de texto normal Car"/>
    <w:basedOn w:val="Fuentedeprrafopredeter"/>
    <w:link w:val="Sangradetextonormal"/>
    <w:semiHidden/>
    <w:rsid w:val="00345808"/>
    <w:rPr>
      <w:rFonts w:ascii="Arial" w:eastAsia="Times New Roman" w:hAnsi="Arial" w:cs="Arial"/>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08"/>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345808"/>
    <w:pPr>
      <w:keepNext/>
      <w:spacing w:line="360" w:lineRule="auto"/>
      <w:jc w:val="both"/>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808"/>
    <w:rPr>
      <w:rFonts w:ascii="Arial" w:eastAsia="Times New Roman" w:hAnsi="Arial" w:cs="Arial"/>
      <w:b/>
      <w:bCs/>
      <w:sz w:val="24"/>
      <w:szCs w:val="24"/>
      <w:lang w:val="es-MX" w:eastAsia="es-ES"/>
    </w:rPr>
  </w:style>
  <w:style w:type="paragraph" w:styleId="Textoindependiente">
    <w:name w:val="Body Text"/>
    <w:basedOn w:val="Normal"/>
    <w:link w:val="TextoindependienteCar"/>
    <w:semiHidden/>
    <w:rsid w:val="00345808"/>
    <w:pPr>
      <w:spacing w:line="360" w:lineRule="auto"/>
      <w:jc w:val="both"/>
    </w:pPr>
    <w:rPr>
      <w:b/>
      <w:bCs/>
      <w:lang w:val="es-MX"/>
    </w:rPr>
  </w:style>
  <w:style w:type="character" w:customStyle="1" w:styleId="TextoindependienteCar">
    <w:name w:val="Texto independiente Car"/>
    <w:basedOn w:val="Fuentedeprrafopredeter"/>
    <w:link w:val="Textoindependiente"/>
    <w:semiHidden/>
    <w:rsid w:val="00345808"/>
    <w:rPr>
      <w:rFonts w:ascii="Arial" w:eastAsia="Times New Roman" w:hAnsi="Arial" w:cs="Arial"/>
      <w:b/>
      <w:bCs/>
      <w:sz w:val="24"/>
      <w:szCs w:val="24"/>
      <w:lang w:val="es-MX" w:eastAsia="es-ES"/>
    </w:rPr>
  </w:style>
  <w:style w:type="paragraph" w:styleId="Ttulo">
    <w:name w:val="Title"/>
    <w:basedOn w:val="Normal"/>
    <w:link w:val="TtuloCar"/>
    <w:qFormat/>
    <w:rsid w:val="00345808"/>
    <w:pPr>
      <w:spacing w:line="360" w:lineRule="auto"/>
      <w:ind w:firstLine="708"/>
      <w:jc w:val="center"/>
    </w:pPr>
    <w:rPr>
      <w:b/>
      <w:bCs/>
      <w:u w:val="single"/>
      <w:lang w:val="es-MX"/>
    </w:rPr>
  </w:style>
  <w:style w:type="character" w:customStyle="1" w:styleId="TtuloCar">
    <w:name w:val="Título Car"/>
    <w:basedOn w:val="Fuentedeprrafopredeter"/>
    <w:link w:val="Ttulo"/>
    <w:rsid w:val="00345808"/>
    <w:rPr>
      <w:rFonts w:ascii="Arial" w:eastAsia="Times New Roman" w:hAnsi="Arial" w:cs="Arial"/>
      <w:b/>
      <w:bCs/>
      <w:sz w:val="24"/>
      <w:szCs w:val="24"/>
      <w:u w:val="single"/>
      <w:lang w:val="es-MX" w:eastAsia="es-ES"/>
    </w:rPr>
  </w:style>
  <w:style w:type="paragraph" w:styleId="Sangradetextonormal">
    <w:name w:val="Body Text Indent"/>
    <w:basedOn w:val="Normal"/>
    <w:link w:val="SangradetextonormalCar"/>
    <w:semiHidden/>
    <w:rsid w:val="00345808"/>
    <w:pPr>
      <w:spacing w:line="360" w:lineRule="auto"/>
      <w:jc w:val="both"/>
    </w:pPr>
    <w:rPr>
      <w:lang w:val="es-MX"/>
    </w:rPr>
  </w:style>
  <w:style w:type="character" w:customStyle="1" w:styleId="SangradetextonormalCar">
    <w:name w:val="Sangría de texto normal Car"/>
    <w:basedOn w:val="Fuentedeprrafopredeter"/>
    <w:link w:val="Sangradetextonormal"/>
    <w:semiHidden/>
    <w:rsid w:val="00345808"/>
    <w:rPr>
      <w:rFonts w:ascii="Arial" w:eastAsia="Times New Roman" w:hAnsi="Arial" w:cs="Arial"/>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2019-02-21T18:58:00Z</cp:lastPrinted>
  <dcterms:created xsi:type="dcterms:W3CDTF">2019-03-12T13:48:00Z</dcterms:created>
  <dcterms:modified xsi:type="dcterms:W3CDTF">2019-03-12T14:26:00Z</dcterms:modified>
</cp:coreProperties>
</file>