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F4" w:rsidRPr="003F3A3F" w:rsidRDefault="00E029F4" w:rsidP="00E029F4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588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E029F4" w:rsidRPr="000F48AC" w:rsidRDefault="00E029F4" w:rsidP="00E029F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029F4" w:rsidRPr="000F48AC" w:rsidRDefault="00E029F4" w:rsidP="00E029F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029F4" w:rsidRPr="000F48AC" w:rsidRDefault="00E029F4" w:rsidP="00E029F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1816B6">
        <w:rPr>
          <w:rFonts w:ascii="Arial" w:hAnsi="Arial" w:cs="Arial"/>
          <w:b/>
          <w:sz w:val="24"/>
          <w:szCs w:val="24"/>
          <w:lang w:val="es-ES_tradnl"/>
        </w:rPr>
        <w:t>7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MARZO DE 2019</w:t>
      </w:r>
    </w:p>
    <w:p w:rsidR="00E029F4" w:rsidRDefault="00E029F4" w:rsidP="00E029F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2019-17-1-0000752,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0610/19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E029F4" w:rsidRPr="00BB4DEC" w:rsidRDefault="00E029F4" w:rsidP="00E029F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F0483" w:rsidRDefault="008F0483" w:rsidP="00E029F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</w:t>
      </w:r>
      <w:r w:rsidRPr="008B5814">
        <w:rPr>
          <w:rFonts w:ascii="Arial" w:hAnsi="Arial" w:cs="Arial"/>
          <w:sz w:val="24"/>
          <w:szCs w:val="24"/>
        </w:rPr>
        <w:t>l Ministerio de Transporte y Obras Públicas</w:t>
      </w:r>
      <w:r>
        <w:rPr>
          <w:rFonts w:ascii="Arial" w:hAnsi="Arial" w:cs="Arial"/>
          <w:sz w:val="24"/>
          <w:szCs w:val="24"/>
        </w:rPr>
        <w:t xml:space="preserve"> relacionadas con la </w:t>
      </w:r>
      <w:r w:rsidR="00A66BE7">
        <w:rPr>
          <w:rFonts w:ascii="Arial" w:hAnsi="Arial" w:cs="Arial"/>
          <w:sz w:val="24"/>
          <w:szCs w:val="24"/>
        </w:rPr>
        <w:t>contratación directa por excepción</w:t>
      </w:r>
      <w:r>
        <w:rPr>
          <w:rFonts w:ascii="Arial" w:hAnsi="Arial" w:cs="Arial"/>
          <w:sz w:val="24"/>
          <w:szCs w:val="24"/>
        </w:rPr>
        <w:t>,</w:t>
      </w:r>
      <w:r w:rsidR="00E029F4">
        <w:rPr>
          <w:rFonts w:ascii="Arial" w:hAnsi="Arial" w:cs="Arial"/>
          <w:sz w:val="24"/>
          <w:szCs w:val="24"/>
        </w:rPr>
        <w:t xml:space="preserve"> formulada por</w:t>
      </w:r>
      <w:r>
        <w:rPr>
          <w:rFonts w:ascii="Arial" w:hAnsi="Arial" w:cs="Arial"/>
          <w:sz w:val="24"/>
          <w:szCs w:val="24"/>
        </w:rPr>
        <w:t xml:space="preserve"> la Dirección Nacional de </w:t>
      </w:r>
      <w:r w:rsidR="00A66BE7">
        <w:rPr>
          <w:rFonts w:ascii="Arial" w:hAnsi="Arial" w:cs="Arial"/>
          <w:sz w:val="24"/>
          <w:szCs w:val="24"/>
        </w:rPr>
        <w:t>Vialidad, para el servicio de recambio de las actuales luminarias de lámparas de sodio de alta presión</w:t>
      </w:r>
      <w:r w:rsidR="007C329C">
        <w:rPr>
          <w:rFonts w:ascii="Arial" w:hAnsi="Arial" w:cs="Arial"/>
          <w:sz w:val="24"/>
          <w:szCs w:val="24"/>
        </w:rPr>
        <w:t>, por luminarias con tecnología</w:t>
      </w:r>
      <w:r w:rsidR="00A66BE7">
        <w:rPr>
          <w:rFonts w:ascii="Arial" w:hAnsi="Arial" w:cs="Arial"/>
          <w:sz w:val="24"/>
          <w:szCs w:val="24"/>
        </w:rPr>
        <w:t xml:space="preserve"> LED, en la Rambla Portuaria y accesos a Montevideo,</w:t>
      </w:r>
      <w:r>
        <w:rPr>
          <w:rFonts w:ascii="Arial" w:hAnsi="Arial" w:cs="Arial"/>
          <w:sz w:val="24"/>
          <w:szCs w:val="24"/>
        </w:rPr>
        <w:t xml:space="preserve"> al amparo de lo preceptuado por el Artículo 33, Literal C), Numeral </w:t>
      </w:r>
      <w:r w:rsidR="00A66BE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) del T.O.C.A.F.; </w:t>
      </w:r>
    </w:p>
    <w:p w:rsidR="003C08D2" w:rsidRDefault="008F0483" w:rsidP="007C32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Pr="008C7620">
        <w:rPr>
          <w:rFonts w:ascii="Arial" w:hAnsi="Arial" w:cs="Arial"/>
          <w:sz w:val="24"/>
          <w:szCs w:val="24"/>
        </w:rPr>
        <w:t>que luce</w:t>
      </w:r>
      <w:r w:rsidR="003C08D2">
        <w:rPr>
          <w:rFonts w:ascii="Arial" w:hAnsi="Arial" w:cs="Arial"/>
          <w:sz w:val="24"/>
          <w:szCs w:val="24"/>
        </w:rPr>
        <w:t xml:space="preserve"> Contrato por Desempeño de Eficiencia Energética suscrito entre la </w:t>
      </w:r>
      <w:r w:rsidR="00077225">
        <w:rPr>
          <w:rFonts w:ascii="Arial" w:hAnsi="Arial" w:cs="Arial"/>
          <w:sz w:val="24"/>
          <w:szCs w:val="24"/>
        </w:rPr>
        <w:t xml:space="preserve">Dirección Nacional de Vialidad (MTOP) y la empresa CCH INSTALACIONES S.A. con fecha 29.12.2017, </w:t>
      </w:r>
      <w:r w:rsidR="00894848">
        <w:rPr>
          <w:rFonts w:ascii="Arial" w:hAnsi="Arial" w:cs="Arial"/>
          <w:sz w:val="24"/>
          <w:szCs w:val="24"/>
        </w:rPr>
        <w:t>por el que acord</w:t>
      </w:r>
      <w:r w:rsidR="00D95726">
        <w:rPr>
          <w:rFonts w:ascii="Arial" w:hAnsi="Arial" w:cs="Arial"/>
          <w:sz w:val="24"/>
          <w:szCs w:val="24"/>
        </w:rPr>
        <w:t xml:space="preserve">ó </w:t>
      </w:r>
      <w:r w:rsidR="00894848">
        <w:rPr>
          <w:rFonts w:ascii="Arial" w:hAnsi="Arial" w:cs="Arial"/>
          <w:sz w:val="24"/>
          <w:szCs w:val="24"/>
        </w:rPr>
        <w:t>que la empresa citada reemplace las actuales luminarias de lámparas de sodio de alta presión</w:t>
      </w:r>
      <w:r w:rsidR="004A7F18">
        <w:rPr>
          <w:rFonts w:ascii="Arial" w:hAnsi="Arial" w:cs="Arial"/>
          <w:sz w:val="24"/>
          <w:szCs w:val="24"/>
        </w:rPr>
        <w:t>, por luminarias con tecnología</w:t>
      </w:r>
      <w:r w:rsidR="00894848">
        <w:rPr>
          <w:rFonts w:ascii="Arial" w:hAnsi="Arial" w:cs="Arial"/>
          <w:sz w:val="24"/>
          <w:szCs w:val="24"/>
        </w:rPr>
        <w:t xml:space="preserve"> LED, en la Rambla Portuaria y accesos a Montevideo y financie el 100% de la inversión, conforme a lo previsto en la “Auditoría Energética con Grado de Inversión” y Anexo</w:t>
      </w:r>
      <w:r w:rsidR="004E2FED">
        <w:rPr>
          <w:rFonts w:ascii="Arial" w:hAnsi="Arial" w:cs="Arial"/>
          <w:sz w:val="24"/>
          <w:szCs w:val="24"/>
        </w:rPr>
        <w:t xml:space="preserve"> integrantes del contrato;</w:t>
      </w:r>
    </w:p>
    <w:p w:rsidR="004A7F18" w:rsidRDefault="004A7F18" w:rsidP="004A7F1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0483" w:rsidRPr="008C7620">
        <w:rPr>
          <w:rFonts w:ascii="Arial" w:hAnsi="Arial" w:cs="Arial"/>
          <w:b/>
          <w:sz w:val="24"/>
          <w:szCs w:val="24"/>
        </w:rPr>
        <w:t>2)</w:t>
      </w:r>
      <w:r w:rsidR="008F0483">
        <w:rPr>
          <w:rFonts w:ascii="Arial" w:hAnsi="Arial" w:cs="Arial"/>
          <w:sz w:val="24"/>
          <w:szCs w:val="24"/>
        </w:rPr>
        <w:t xml:space="preserve"> que </w:t>
      </w:r>
      <w:r w:rsidR="004E2FED">
        <w:rPr>
          <w:rFonts w:ascii="Arial" w:hAnsi="Arial" w:cs="Arial"/>
          <w:sz w:val="24"/>
          <w:szCs w:val="24"/>
        </w:rPr>
        <w:t xml:space="preserve">el plazo de ejecución de las actividades objeto del contrato será de diez meses contados a partir de la importación y disposición de los equipos mencionados en la Auditoría, </w:t>
      </w:r>
      <w:r w:rsidR="00233D7C">
        <w:rPr>
          <w:rFonts w:ascii="Arial" w:hAnsi="Arial" w:cs="Arial"/>
          <w:sz w:val="24"/>
          <w:szCs w:val="24"/>
        </w:rPr>
        <w:t xml:space="preserve">cuya orden de compra será emitida al notificarse el acto de autorización al MEF, </w:t>
      </w:r>
      <w:r w:rsidR="004E2FED">
        <w:rPr>
          <w:rFonts w:ascii="Arial" w:hAnsi="Arial" w:cs="Arial"/>
          <w:sz w:val="24"/>
          <w:szCs w:val="24"/>
        </w:rPr>
        <w:t>como asimismo, la renovación de la luminaria se llevará a cabo en los tramos de la red vial nacional que surgen de la Auditoría así como el cronograma de ejecución;</w:t>
      </w:r>
    </w:p>
    <w:p w:rsidR="000345AC" w:rsidRDefault="004A7F18" w:rsidP="000345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8F0483" w:rsidRPr="002C5FC7">
        <w:rPr>
          <w:rFonts w:ascii="Arial" w:hAnsi="Arial" w:cs="Arial"/>
          <w:b/>
          <w:sz w:val="24"/>
          <w:szCs w:val="24"/>
        </w:rPr>
        <w:t>3)</w:t>
      </w:r>
      <w:r w:rsidR="008F0483">
        <w:rPr>
          <w:rFonts w:ascii="Arial" w:hAnsi="Arial" w:cs="Arial"/>
          <w:sz w:val="24"/>
          <w:szCs w:val="24"/>
        </w:rPr>
        <w:t xml:space="preserve"> que</w:t>
      </w:r>
      <w:r w:rsidR="00194F60">
        <w:rPr>
          <w:rFonts w:ascii="Arial" w:hAnsi="Arial" w:cs="Arial"/>
          <w:sz w:val="24"/>
          <w:szCs w:val="24"/>
        </w:rPr>
        <w:t xml:space="preserve"> la Dirección Nacional de Vialidad se obliga a abonar </w:t>
      </w:r>
      <w:r w:rsidR="00805633">
        <w:rPr>
          <w:rFonts w:ascii="Arial" w:hAnsi="Arial" w:cs="Arial"/>
          <w:sz w:val="24"/>
          <w:szCs w:val="24"/>
        </w:rPr>
        <w:t>los servicios en la forma estip</w:t>
      </w:r>
      <w:r w:rsidR="00194F60">
        <w:rPr>
          <w:rFonts w:ascii="Arial" w:hAnsi="Arial" w:cs="Arial"/>
          <w:sz w:val="24"/>
          <w:szCs w:val="24"/>
        </w:rPr>
        <w:t>ulada</w:t>
      </w:r>
      <w:r w:rsidR="00805633">
        <w:rPr>
          <w:rFonts w:ascii="Arial" w:hAnsi="Arial" w:cs="Arial"/>
          <w:sz w:val="24"/>
          <w:szCs w:val="24"/>
        </w:rPr>
        <w:t xml:space="preserve">, al uso adecuado, conservación y mantenimiento de los materiales y equipos una vez que se produzca la transferencia de la propiedad, hacer cumplir las disposiciones, ordenanzas, reglamentos y leyes vigentes en los lugares de ejecución del contrato y solicitar la autorización ante el MEF (Artículo 3, Decreto 289/2015); </w:t>
      </w:r>
    </w:p>
    <w:p w:rsidR="000345AC" w:rsidRDefault="000345AC" w:rsidP="000345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0483">
        <w:rPr>
          <w:rFonts w:ascii="Arial" w:hAnsi="Arial" w:cs="Arial"/>
          <w:b/>
          <w:sz w:val="24"/>
          <w:szCs w:val="24"/>
        </w:rPr>
        <w:t>4</w:t>
      </w:r>
      <w:r w:rsidR="008F0483" w:rsidRPr="002C5FC7">
        <w:rPr>
          <w:rFonts w:ascii="Arial" w:hAnsi="Arial" w:cs="Arial"/>
          <w:b/>
          <w:sz w:val="24"/>
          <w:szCs w:val="24"/>
        </w:rPr>
        <w:t>)</w:t>
      </w:r>
      <w:r w:rsidR="008F0483">
        <w:rPr>
          <w:rFonts w:ascii="Arial" w:hAnsi="Arial" w:cs="Arial"/>
          <w:sz w:val="24"/>
          <w:szCs w:val="24"/>
        </w:rPr>
        <w:t xml:space="preserve"> que se adjunta </w:t>
      </w:r>
      <w:r w:rsidR="0030024C">
        <w:rPr>
          <w:rFonts w:ascii="Arial" w:hAnsi="Arial" w:cs="Arial"/>
          <w:sz w:val="24"/>
          <w:szCs w:val="24"/>
        </w:rPr>
        <w:t>Resolución del Ministro de Economía y Finanzas de fecha 28.06.2018, por la cual se otorg</w:t>
      </w:r>
      <w:r w:rsidR="00CD42C3">
        <w:rPr>
          <w:rFonts w:ascii="Arial" w:hAnsi="Arial" w:cs="Arial"/>
          <w:sz w:val="24"/>
          <w:szCs w:val="24"/>
        </w:rPr>
        <w:t>a</w:t>
      </w:r>
      <w:r w:rsidR="0030024C">
        <w:rPr>
          <w:rFonts w:ascii="Arial" w:hAnsi="Arial" w:cs="Arial"/>
          <w:sz w:val="24"/>
          <w:szCs w:val="24"/>
        </w:rPr>
        <w:t xml:space="preserve"> la autorización para la con</w:t>
      </w:r>
      <w:r>
        <w:rPr>
          <w:rFonts w:ascii="Arial" w:hAnsi="Arial" w:cs="Arial"/>
          <w:sz w:val="24"/>
          <w:szCs w:val="24"/>
        </w:rPr>
        <w:t>tratación directa de la empresa</w:t>
      </w:r>
      <w:r w:rsidR="0030024C">
        <w:rPr>
          <w:rFonts w:ascii="Arial" w:hAnsi="Arial" w:cs="Arial"/>
          <w:sz w:val="24"/>
          <w:szCs w:val="24"/>
        </w:rPr>
        <w:t xml:space="preserve"> CCH INSTALACIONES S.A., en el marco de lo previsto en el Artículo 3 del Decreto </w:t>
      </w:r>
      <w:r w:rsidR="00CD42C3">
        <w:rPr>
          <w:rFonts w:ascii="Arial" w:hAnsi="Arial" w:cs="Arial"/>
          <w:sz w:val="24"/>
          <w:szCs w:val="24"/>
        </w:rPr>
        <w:t xml:space="preserve">Nº </w:t>
      </w:r>
      <w:r w:rsidR="0030024C">
        <w:rPr>
          <w:rFonts w:ascii="Arial" w:hAnsi="Arial" w:cs="Arial"/>
          <w:sz w:val="24"/>
          <w:szCs w:val="24"/>
        </w:rPr>
        <w:t>289/2 de 26.10.2015 y Artículo 33, literal C), numeral 26) del TOCAF de 11.05.2012;</w:t>
      </w:r>
    </w:p>
    <w:p w:rsidR="00A108C1" w:rsidRDefault="000345AC" w:rsidP="000345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024C">
        <w:rPr>
          <w:rFonts w:ascii="Arial" w:hAnsi="Arial" w:cs="Arial"/>
          <w:b/>
          <w:sz w:val="24"/>
          <w:szCs w:val="24"/>
        </w:rPr>
        <w:t xml:space="preserve">5) </w:t>
      </w:r>
      <w:r w:rsidR="00A108C1">
        <w:rPr>
          <w:rFonts w:ascii="Arial" w:hAnsi="Arial" w:cs="Arial"/>
          <w:sz w:val="24"/>
          <w:szCs w:val="24"/>
        </w:rPr>
        <w:t xml:space="preserve">que consta Proyecto de </w:t>
      </w:r>
      <w:r w:rsidR="008F0483">
        <w:rPr>
          <w:rFonts w:ascii="Arial" w:hAnsi="Arial" w:cs="Arial"/>
          <w:sz w:val="24"/>
          <w:szCs w:val="24"/>
        </w:rPr>
        <w:t>Resolución del Ministro de Transporte y O</w:t>
      </w:r>
      <w:r w:rsidR="00A108C1">
        <w:rPr>
          <w:rFonts w:ascii="Arial" w:hAnsi="Arial" w:cs="Arial"/>
          <w:sz w:val="24"/>
          <w:szCs w:val="24"/>
        </w:rPr>
        <w:t>bras Pública</w:t>
      </w:r>
      <w:r>
        <w:rPr>
          <w:rFonts w:ascii="Arial" w:hAnsi="Arial" w:cs="Arial"/>
          <w:sz w:val="24"/>
          <w:szCs w:val="24"/>
        </w:rPr>
        <w:t>s</w:t>
      </w:r>
      <w:r w:rsidR="00CD42C3">
        <w:rPr>
          <w:rFonts w:ascii="Arial" w:hAnsi="Arial" w:cs="Arial"/>
          <w:sz w:val="24"/>
          <w:szCs w:val="24"/>
        </w:rPr>
        <w:t xml:space="preserve"> a dictarse </w:t>
      </w:r>
      <w:r w:rsidR="00A108C1">
        <w:rPr>
          <w:rFonts w:ascii="Arial" w:hAnsi="Arial" w:cs="Arial"/>
          <w:sz w:val="24"/>
          <w:szCs w:val="24"/>
        </w:rPr>
        <w:t xml:space="preserve">en ejercicio de atribuciones delegadas, </w:t>
      </w:r>
      <w:r w:rsidR="008F0483">
        <w:rPr>
          <w:rFonts w:ascii="Arial" w:hAnsi="Arial" w:cs="Arial"/>
          <w:sz w:val="24"/>
          <w:szCs w:val="24"/>
        </w:rPr>
        <w:t xml:space="preserve"> por </w:t>
      </w:r>
      <w:r w:rsidR="00A108C1">
        <w:rPr>
          <w:rFonts w:ascii="Arial" w:hAnsi="Arial" w:cs="Arial"/>
          <w:sz w:val="24"/>
          <w:szCs w:val="24"/>
        </w:rPr>
        <w:t>el</w:t>
      </w:r>
      <w:r w:rsidR="008F0483">
        <w:rPr>
          <w:rFonts w:ascii="Arial" w:hAnsi="Arial" w:cs="Arial"/>
          <w:sz w:val="24"/>
          <w:szCs w:val="24"/>
        </w:rPr>
        <w:t xml:space="preserve"> cual se autoriza la </w:t>
      </w:r>
      <w:r w:rsidR="00A108C1">
        <w:rPr>
          <w:rFonts w:ascii="Arial" w:hAnsi="Arial" w:cs="Arial"/>
          <w:sz w:val="24"/>
          <w:szCs w:val="24"/>
        </w:rPr>
        <w:t>c</w:t>
      </w:r>
      <w:r w:rsidR="008F0483">
        <w:rPr>
          <w:rFonts w:ascii="Arial" w:hAnsi="Arial" w:cs="Arial"/>
          <w:sz w:val="24"/>
          <w:szCs w:val="24"/>
        </w:rPr>
        <w:t xml:space="preserve">ompra </w:t>
      </w:r>
      <w:r w:rsidR="00A108C1">
        <w:rPr>
          <w:rFonts w:ascii="Arial" w:hAnsi="Arial" w:cs="Arial"/>
          <w:sz w:val="24"/>
          <w:szCs w:val="24"/>
        </w:rPr>
        <w:t>d</w:t>
      </w:r>
      <w:r w:rsidR="008F0483">
        <w:rPr>
          <w:rFonts w:ascii="Arial" w:hAnsi="Arial" w:cs="Arial"/>
          <w:sz w:val="24"/>
          <w:szCs w:val="24"/>
        </w:rPr>
        <w:t xml:space="preserve">irecta por </w:t>
      </w:r>
      <w:r w:rsidR="00A108C1">
        <w:rPr>
          <w:rFonts w:ascii="Arial" w:hAnsi="Arial" w:cs="Arial"/>
          <w:sz w:val="24"/>
          <w:szCs w:val="24"/>
        </w:rPr>
        <w:t>e</w:t>
      </w:r>
      <w:r w:rsidR="008F0483">
        <w:rPr>
          <w:rFonts w:ascii="Arial" w:hAnsi="Arial" w:cs="Arial"/>
          <w:sz w:val="24"/>
          <w:szCs w:val="24"/>
        </w:rPr>
        <w:t>xcepción relacionada</w:t>
      </w:r>
      <w:r w:rsidR="00A108C1">
        <w:rPr>
          <w:rFonts w:ascii="Arial" w:hAnsi="Arial" w:cs="Arial"/>
          <w:sz w:val="24"/>
          <w:szCs w:val="24"/>
        </w:rPr>
        <w:t xml:space="preserve"> ut supra y se aprueba en todas sus partes el Contrato por Desempeño de Eficiencia Energética suscrito con fecha 29.12.2017, señalándose que el mismo no ha comenzado a ejecutarse. Asimismo, se autoriza la inversión de la suma de </w:t>
      </w:r>
      <w:r>
        <w:rPr>
          <w:rFonts w:ascii="Arial" w:hAnsi="Arial" w:cs="Arial"/>
          <w:sz w:val="24"/>
          <w:szCs w:val="24"/>
        </w:rPr>
        <w:t xml:space="preserve">    </w:t>
      </w:r>
      <w:r w:rsidR="00A108C1">
        <w:rPr>
          <w:rFonts w:ascii="Arial" w:hAnsi="Arial" w:cs="Arial"/>
          <w:sz w:val="24"/>
          <w:szCs w:val="24"/>
        </w:rPr>
        <w:t xml:space="preserve">U.I. 12:338.289 más intereses correspondientes a una tasa del 8% anual, con cargo a la Ley N° 19.355 de fecha 19.12.2015, Inciso 10, U.E. 003, </w:t>
      </w:r>
      <w:r w:rsidR="00BB15BA">
        <w:rPr>
          <w:rFonts w:ascii="Arial" w:hAnsi="Arial" w:cs="Arial"/>
          <w:sz w:val="24"/>
          <w:szCs w:val="24"/>
        </w:rPr>
        <w:t>Programa 362, Proyecto 855, Financiación 1.1 “Rentas Generales”;</w:t>
      </w:r>
    </w:p>
    <w:p w:rsidR="008F0483" w:rsidRDefault="000345AC" w:rsidP="000345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1256">
        <w:rPr>
          <w:rFonts w:ascii="Arial" w:hAnsi="Arial" w:cs="Arial"/>
          <w:b/>
          <w:sz w:val="24"/>
          <w:szCs w:val="24"/>
        </w:rPr>
        <w:t>6</w:t>
      </w:r>
      <w:r w:rsidR="008F0483" w:rsidRPr="002C5FC7">
        <w:rPr>
          <w:rFonts w:ascii="Arial" w:hAnsi="Arial" w:cs="Arial"/>
          <w:b/>
          <w:sz w:val="24"/>
          <w:szCs w:val="24"/>
        </w:rPr>
        <w:t>)</w:t>
      </w:r>
      <w:r w:rsidR="008F0483">
        <w:rPr>
          <w:rFonts w:ascii="Arial" w:hAnsi="Arial" w:cs="Arial"/>
          <w:b/>
          <w:sz w:val="24"/>
          <w:szCs w:val="24"/>
        </w:rPr>
        <w:t xml:space="preserve"> </w:t>
      </w:r>
      <w:r w:rsidR="008F0483" w:rsidRPr="002C5FC7">
        <w:rPr>
          <w:rFonts w:ascii="Arial" w:hAnsi="Arial" w:cs="Arial"/>
          <w:sz w:val="24"/>
          <w:szCs w:val="24"/>
        </w:rPr>
        <w:t>que</w:t>
      </w:r>
      <w:r w:rsidR="00B11256">
        <w:rPr>
          <w:rFonts w:ascii="Arial" w:hAnsi="Arial" w:cs="Arial"/>
          <w:sz w:val="24"/>
          <w:szCs w:val="24"/>
        </w:rPr>
        <w:t xml:space="preserve"> se agrega </w:t>
      </w:r>
      <w:r w:rsidR="008F0483">
        <w:rPr>
          <w:rFonts w:ascii="Arial" w:hAnsi="Arial" w:cs="Arial"/>
          <w:sz w:val="24"/>
          <w:szCs w:val="24"/>
        </w:rPr>
        <w:t xml:space="preserve">Documento de Afectación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8F0483">
        <w:rPr>
          <w:rFonts w:ascii="Arial" w:hAnsi="Arial" w:cs="Arial"/>
          <w:sz w:val="24"/>
          <w:szCs w:val="24"/>
        </w:rPr>
        <w:t>Nº 000</w:t>
      </w:r>
      <w:r w:rsidR="00B11256">
        <w:rPr>
          <w:rFonts w:ascii="Arial" w:hAnsi="Arial" w:cs="Arial"/>
          <w:sz w:val="24"/>
          <w:szCs w:val="24"/>
        </w:rPr>
        <w:t xml:space="preserve">193 </w:t>
      </w:r>
      <w:r w:rsidR="008F0483">
        <w:rPr>
          <w:rFonts w:ascii="Arial" w:hAnsi="Arial" w:cs="Arial"/>
          <w:sz w:val="24"/>
          <w:szCs w:val="24"/>
        </w:rPr>
        <w:t>de fecha</w:t>
      </w:r>
      <w:r w:rsidR="00B11256">
        <w:rPr>
          <w:rFonts w:ascii="Arial" w:hAnsi="Arial" w:cs="Arial"/>
          <w:sz w:val="24"/>
          <w:szCs w:val="24"/>
        </w:rPr>
        <w:t xml:space="preserve"> 31.01.2019</w:t>
      </w:r>
      <w:r w:rsidR="008F0483">
        <w:rPr>
          <w:rFonts w:ascii="Arial" w:hAnsi="Arial" w:cs="Arial"/>
          <w:sz w:val="24"/>
          <w:szCs w:val="24"/>
        </w:rPr>
        <w:t>, con cargo al Inciso 10, UE 00</w:t>
      </w:r>
      <w:r w:rsidR="00B11256">
        <w:rPr>
          <w:rFonts w:ascii="Arial" w:hAnsi="Arial" w:cs="Arial"/>
          <w:sz w:val="24"/>
          <w:szCs w:val="24"/>
        </w:rPr>
        <w:t>3</w:t>
      </w:r>
      <w:r w:rsidR="008F0483">
        <w:rPr>
          <w:rFonts w:ascii="Arial" w:hAnsi="Arial" w:cs="Arial"/>
          <w:sz w:val="24"/>
          <w:szCs w:val="24"/>
        </w:rPr>
        <w:t xml:space="preserve">, Concepto del gasto: Inversión, Financiamiento: 1.1 “Rentas Generales”, </w:t>
      </w:r>
      <w:proofErr w:type="spellStart"/>
      <w:r w:rsidR="008F0483">
        <w:rPr>
          <w:rFonts w:ascii="Arial" w:hAnsi="Arial" w:cs="Arial"/>
          <w:sz w:val="24"/>
          <w:szCs w:val="24"/>
        </w:rPr>
        <w:t>Prog</w:t>
      </w:r>
      <w:proofErr w:type="spellEnd"/>
      <w:r w:rsidR="008F0483">
        <w:rPr>
          <w:rFonts w:ascii="Arial" w:hAnsi="Arial" w:cs="Arial"/>
          <w:sz w:val="24"/>
          <w:szCs w:val="24"/>
        </w:rPr>
        <w:t>. 36</w:t>
      </w:r>
      <w:r w:rsidR="00B11256">
        <w:rPr>
          <w:rFonts w:ascii="Arial" w:hAnsi="Arial" w:cs="Arial"/>
          <w:sz w:val="24"/>
          <w:szCs w:val="24"/>
        </w:rPr>
        <w:t>2</w:t>
      </w:r>
      <w:r w:rsidR="008F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F0483">
        <w:rPr>
          <w:rFonts w:ascii="Arial" w:hAnsi="Arial" w:cs="Arial"/>
          <w:sz w:val="24"/>
          <w:szCs w:val="24"/>
        </w:rPr>
        <w:t>Proy</w:t>
      </w:r>
      <w:proofErr w:type="spellEnd"/>
      <w:r w:rsidR="008F0483">
        <w:rPr>
          <w:rFonts w:ascii="Arial" w:hAnsi="Arial" w:cs="Arial"/>
          <w:sz w:val="24"/>
          <w:szCs w:val="24"/>
        </w:rPr>
        <w:t xml:space="preserve"> </w:t>
      </w:r>
      <w:r w:rsidR="00B11256">
        <w:rPr>
          <w:rFonts w:ascii="Arial" w:hAnsi="Arial" w:cs="Arial"/>
          <w:sz w:val="24"/>
          <w:szCs w:val="24"/>
        </w:rPr>
        <w:t>855</w:t>
      </w:r>
      <w:r w:rsidR="008F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F0483">
        <w:rPr>
          <w:rFonts w:ascii="Arial" w:hAnsi="Arial" w:cs="Arial"/>
          <w:sz w:val="24"/>
          <w:szCs w:val="24"/>
        </w:rPr>
        <w:t>Obj</w:t>
      </w:r>
      <w:proofErr w:type="spellEnd"/>
      <w:r w:rsidR="008F0483">
        <w:rPr>
          <w:rFonts w:ascii="Arial" w:hAnsi="Arial" w:cs="Arial"/>
          <w:sz w:val="24"/>
          <w:szCs w:val="24"/>
        </w:rPr>
        <w:t xml:space="preserve"> Gas </w:t>
      </w:r>
      <w:r w:rsidR="00B11256">
        <w:rPr>
          <w:rFonts w:ascii="Arial" w:hAnsi="Arial" w:cs="Arial"/>
          <w:sz w:val="24"/>
          <w:szCs w:val="24"/>
        </w:rPr>
        <w:t>193</w:t>
      </w:r>
      <w:r w:rsidR="008F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F0483">
        <w:rPr>
          <w:rFonts w:ascii="Arial" w:hAnsi="Arial" w:cs="Arial"/>
          <w:sz w:val="24"/>
          <w:szCs w:val="24"/>
        </w:rPr>
        <w:t>Aux</w:t>
      </w:r>
      <w:proofErr w:type="spellEnd"/>
      <w:r w:rsidR="008F0483">
        <w:rPr>
          <w:rFonts w:ascii="Arial" w:hAnsi="Arial" w:cs="Arial"/>
          <w:sz w:val="24"/>
          <w:szCs w:val="24"/>
        </w:rPr>
        <w:t xml:space="preserve"> 000, TM 00, TC </w:t>
      </w:r>
      <w:r w:rsidR="00B11256">
        <w:rPr>
          <w:rFonts w:ascii="Arial" w:hAnsi="Arial" w:cs="Arial"/>
          <w:sz w:val="24"/>
          <w:szCs w:val="24"/>
        </w:rPr>
        <w:t>0</w:t>
      </w:r>
      <w:r w:rsidR="008F0483">
        <w:rPr>
          <w:rFonts w:ascii="Arial" w:hAnsi="Arial" w:cs="Arial"/>
          <w:sz w:val="24"/>
          <w:szCs w:val="24"/>
        </w:rPr>
        <w:t xml:space="preserve"> “</w:t>
      </w:r>
      <w:r w:rsidR="00B11256">
        <w:rPr>
          <w:rFonts w:ascii="Arial" w:hAnsi="Arial" w:cs="Arial"/>
          <w:sz w:val="24"/>
          <w:szCs w:val="24"/>
        </w:rPr>
        <w:t>artículos y accesorios eléctricos</w:t>
      </w:r>
      <w:r w:rsidR="008F0483">
        <w:rPr>
          <w:rFonts w:ascii="Arial" w:hAnsi="Arial" w:cs="Arial"/>
          <w:sz w:val="24"/>
          <w:szCs w:val="24"/>
        </w:rPr>
        <w:t xml:space="preserve">”, por </w:t>
      </w:r>
      <w:r w:rsidR="00B11256">
        <w:rPr>
          <w:rFonts w:ascii="Arial" w:hAnsi="Arial" w:cs="Arial"/>
          <w:sz w:val="24"/>
          <w:szCs w:val="24"/>
        </w:rPr>
        <w:t>un</w:t>
      </w:r>
      <w:r w:rsidR="008F0483">
        <w:rPr>
          <w:rFonts w:ascii="Arial" w:hAnsi="Arial" w:cs="Arial"/>
          <w:sz w:val="24"/>
          <w:szCs w:val="24"/>
        </w:rPr>
        <w:t xml:space="preserve"> total nominal de $</w:t>
      </w:r>
      <w:r w:rsidR="00B11256">
        <w:rPr>
          <w:rFonts w:ascii="Arial" w:hAnsi="Arial" w:cs="Arial"/>
          <w:sz w:val="24"/>
          <w:szCs w:val="24"/>
        </w:rPr>
        <w:t xml:space="preserve"> 13:863.024</w:t>
      </w:r>
      <w:r w:rsidR="008F0483">
        <w:rPr>
          <w:rFonts w:ascii="Arial" w:hAnsi="Arial" w:cs="Arial"/>
          <w:sz w:val="24"/>
          <w:szCs w:val="24"/>
        </w:rPr>
        <w:t>;</w:t>
      </w:r>
    </w:p>
    <w:p w:rsidR="00E84A24" w:rsidRDefault="008F0483" w:rsidP="000345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E84A24">
        <w:rPr>
          <w:rFonts w:ascii="Arial" w:hAnsi="Arial" w:cs="Arial"/>
          <w:b/>
          <w:sz w:val="24"/>
          <w:szCs w:val="24"/>
        </w:rPr>
        <w:t xml:space="preserve">1) </w:t>
      </w:r>
      <w:r w:rsidR="00E84A24">
        <w:rPr>
          <w:rFonts w:ascii="Arial" w:hAnsi="Arial" w:cs="Arial"/>
          <w:sz w:val="24"/>
          <w:szCs w:val="24"/>
        </w:rPr>
        <w:t xml:space="preserve">que el artículo 59 de la Ley N° 18.834 de fecha 4.11.2011, habilitó a los Incisos del Presupuesto Nacional, a celebrar contratos remunerados por desempeño con empresas de servicios energéticos que se encuentran registradas en el Ministerio de Industria, Energía y Minería (MIEM), </w:t>
      </w:r>
      <w:r w:rsidR="00E84A24">
        <w:rPr>
          <w:rFonts w:ascii="Arial" w:hAnsi="Arial" w:cs="Arial"/>
          <w:sz w:val="24"/>
          <w:szCs w:val="24"/>
        </w:rPr>
        <w:lastRenderedPageBreak/>
        <w:t>disponiendo de hasta el 100% de los ahorros generados en el consumo del suministro objeto del contrato, para el pago del mismo;</w:t>
      </w:r>
    </w:p>
    <w:p w:rsidR="000345AC" w:rsidRDefault="00E84A24" w:rsidP="000345A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65D81">
        <w:rPr>
          <w:rFonts w:ascii="Arial" w:hAnsi="Arial" w:cs="Arial"/>
          <w:sz w:val="24"/>
          <w:szCs w:val="24"/>
        </w:rPr>
        <w:t xml:space="preserve">que el Decreto N° 211/2015 de fecha 3.08.2015, aprobó el Plan Nacional de Eficiencia Energética 2015 – 2024; y el Decreto </w:t>
      </w:r>
      <w:r w:rsidR="000345AC">
        <w:rPr>
          <w:rFonts w:ascii="Arial" w:hAnsi="Arial" w:cs="Arial"/>
          <w:sz w:val="24"/>
          <w:szCs w:val="24"/>
        </w:rPr>
        <w:t xml:space="preserve">    </w:t>
      </w:r>
      <w:r w:rsidR="00465D81">
        <w:rPr>
          <w:rFonts w:ascii="Arial" w:hAnsi="Arial" w:cs="Arial"/>
          <w:sz w:val="24"/>
          <w:szCs w:val="24"/>
        </w:rPr>
        <w:t>N° 289/2015 de fecha 26.10.2015, estableció los criterios que deben cumplirse para la celebración de un contrato de Eficiencia Energética;</w:t>
      </w:r>
    </w:p>
    <w:p w:rsidR="008F0483" w:rsidRPr="000345AC" w:rsidRDefault="00465D81" w:rsidP="000345A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8F0483" w:rsidRPr="00E7265B">
        <w:rPr>
          <w:rFonts w:ascii="Arial" w:hAnsi="Arial" w:cs="Arial"/>
          <w:sz w:val="24"/>
          <w:szCs w:val="24"/>
        </w:rPr>
        <w:t>que la</w:t>
      </w:r>
      <w:r w:rsidR="008F0483">
        <w:rPr>
          <w:rFonts w:ascii="Arial" w:hAnsi="Arial" w:cs="Arial"/>
          <w:b/>
          <w:sz w:val="24"/>
          <w:szCs w:val="24"/>
        </w:rPr>
        <w:t xml:space="preserve"> </w:t>
      </w:r>
      <w:r w:rsidR="008F0483" w:rsidRPr="00C92521">
        <w:rPr>
          <w:rFonts w:ascii="Arial" w:hAnsi="Arial" w:cs="Arial"/>
          <w:sz w:val="24"/>
          <w:szCs w:val="24"/>
        </w:rPr>
        <w:t xml:space="preserve">contratación </w:t>
      </w:r>
      <w:r>
        <w:rPr>
          <w:rFonts w:ascii="Arial" w:hAnsi="Arial" w:cs="Arial"/>
          <w:sz w:val="24"/>
          <w:szCs w:val="24"/>
        </w:rPr>
        <w:t>proyectada</w:t>
      </w:r>
      <w:r w:rsidR="008F0483" w:rsidRPr="00C92521">
        <w:rPr>
          <w:rFonts w:ascii="Arial" w:hAnsi="Arial" w:cs="Arial"/>
          <w:sz w:val="24"/>
          <w:szCs w:val="24"/>
        </w:rPr>
        <w:t xml:space="preserve"> encuadra en la causal de excepción invocada, establecida en el </w:t>
      </w:r>
      <w:r w:rsidRPr="00C92521">
        <w:rPr>
          <w:rFonts w:ascii="Arial" w:hAnsi="Arial" w:cs="Arial"/>
          <w:sz w:val="24"/>
          <w:szCs w:val="24"/>
        </w:rPr>
        <w:t>Artículo 33</w:t>
      </w:r>
      <w:r>
        <w:rPr>
          <w:rFonts w:ascii="Arial" w:hAnsi="Arial" w:cs="Arial"/>
          <w:sz w:val="24"/>
          <w:szCs w:val="24"/>
        </w:rPr>
        <w:t>, literal C</w:t>
      </w:r>
      <w:r w:rsidR="00CD42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C92521">
        <w:rPr>
          <w:rFonts w:ascii="Arial" w:hAnsi="Arial" w:cs="Arial"/>
          <w:sz w:val="24"/>
          <w:szCs w:val="24"/>
        </w:rPr>
        <w:t xml:space="preserve"> </w:t>
      </w:r>
      <w:r w:rsidR="008F0483" w:rsidRPr="00C92521">
        <w:rPr>
          <w:rFonts w:ascii="Arial" w:hAnsi="Arial" w:cs="Arial"/>
          <w:sz w:val="24"/>
          <w:szCs w:val="24"/>
        </w:rPr>
        <w:t xml:space="preserve">numeral </w:t>
      </w:r>
      <w:r>
        <w:rPr>
          <w:rFonts w:ascii="Arial" w:hAnsi="Arial" w:cs="Arial"/>
          <w:sz w:val="24"/>
          <w:szCs w:val="24"/>
        </w:rPr>
        <w:t>26</w:t>
      </w:r>
      <w:r w:rsidR="008F0483" w:rsidRPr="00C92521">
        <w:rPr>
          <w:rFonts w:ascii="Arial" w:hAnsi="Arial" w:cs="Arial"/>
          <w:sz w:val="24"/>
          <w:szCs w:val="24"/>
        </w:rPr>
        <w:t>) del  TOCAF</w:t>
      </w:r>
      <w:r w:rsidR="008F0483">
        <w:rPr>
          <w:rFonts w:ascii="Arial" w:hAnsi="Arial" w:cs="Arial"/>
          <w:sz w:val="24"/>
          <w:szCs w:val="24"/>
        </w:rPr>
        <w:t xml:space="preserve">; </w:t>
      </w:r>
      <w:r w:rsidR="008F0483" w:rsidRPr="00C92521">
        <w:rPr>
          <w:rFonts w:ascii="Arial" w:hAnsi="Arial" w:cs="Arial"/>
          <w:sz w:val="24"/>
          <w:szCs w:val="24"/>
        </w:rPr>
        <w:t xml:space="preserve"> </w:t>
      </w:r>
    </w:p>
    <w:p w:rsidR="008F0483" w:rsidRPr="00C92521" w:rsidRDefault="008F0483" w:rsidP="000345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>
        <w:rPr>
          <w:rFonts w:ascii="Arial" w:hAnsi="Arial" w:cs="Arial"/>
          <w:sz w:val="24"/>
          <w:szCs w:val="24"/>
        </w:rPr>
        <w:t xml:space="preserve">puesto y a lo dispuesto por el </w:t>
      </w:r>
      <w:r w:rsidR="00CD42C3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B) del </w:t>
      </w:r>
      <w:r w:rsidR="00CD42C3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211 de la Constitución de la República;</w:t>
      </w:r>
    </w:p>
    <w:p w:rsidR="008F0483" w:rsidRDefault="008F0483" w:rsidP="00C9252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CD42C3" w:rsidRPr="000345AC" w:rsidRDefault="000345AC" w:rsidP="000345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45A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CD42C3" w:rsidRPr="000345AC">
        <w:rPr>
          <w:rFonts w:ascii="Arial" w:hAnsi="Arial" w:cs="Arial"/>
          <w:sz w:val="24"/>
          <w:szCs w:val="24"/>
        </w:rPr>
        <w:t xml:space="preserve">No formular observaciones al contrato por desempeño de eficiencia energética suscrito el 29.12.2017 entre la Dirección Nacional de </w:t>
      </w:r>
      <w:r w:rsidR="00D95726" w:rsidRPr="000345AC">
        <w:rPr>
          <w:rFonts w:ascii="Arial" w:hAnsi="Arial" w:cs="Arial"/>
          <w:sz w:val="24"/>
          <w:szCs w:val="24"/>
        </w:rPr>
        <w:t>Vialidad</w:t>
      </w:r>
      <w:r w:rsidR="00CD42C3" w:rsidRPr="000345AC">
        <w:rPr>
          <w:rFonts w:ascii="Arial" w:hAnsi="Arial" w:cs="Arial"/>
          <w:sz w:val="24"/>
          <w:szCs w:val="24"/>
        </w:rPr>
        <w:t xml:space="preserve"> (MTOP) y la empresa CCH INSTALACIONES S.A.;</w:t>
      </w:r>
    </w:p>
    <w:p w:rsidR="008F0483" w:rsidRPr="000345AC" w:rsidRDefault="000345AC" w:rsidP="000345A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345A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8F0483" w:rsidRPr="000345AC">
        <w:rPr>
          <w:rFonts w:ascii="Arial" w:hAnsi="Arial" w:cs="Arial"/>
          <w:sz w:val="24"/>
          <w:szCs w:val="24"/>
        </w:rPr>
        <w:t>Dictada la Resolución definitiva por el Ordenador competente, cométese al Contador Auditor destacado ante el Ministerio de Transporte y Obras Públicas, la intervención</w:t>
      </w:r>
      <w:r w:rsidR="00656B11" w:rsidRPr="000345AC">
        <w:rPr>
          <w:rFonts w:ascii="Arial" w:hAnsi="Arial" w:cs="Arial"/>
          <w:sz w:val="24"/>
          <w:szCs w:val="24"/>
        </w:rPr>
        <w:t xml:space="preserve"> de la suma de U.I. 12:338.289 más intereses</w:t>
      </w:r>
      <w:r w:rsidR="008F0483" w:rsidRPr="000345AC">
        <w:rPr>
          <w:rFonts w:ascii="Arial" w:hAnsi="Arial" w:cs="Arial"/>
          <w:sz w:val="24"/>
          <w:szCs w:val="24"/>
        </w:rPr>
        <w:t xml:space="preserve">, previo control de su imputación al </w:t>
      </w:r>
      <w:r w:rsidR="00CD42C3" w:rsidRPr="000345AC">
        <w:rPr>
          <w:rFonts w:ascii="Arial" w:hAnsi="Arial" w:cs="Arial"/>
          <w:sz w:val="24"/>
          <w:szCs w:val="24"/>
        </w:rPr>
        <w:t>rubro a</w:t>
      </w:r>
      <w:r w:rsidR="008F0483" w:rsidRPr="000345AC">
        <w:rPr>
          <w:rFonts w:ascii="Arial" w:hAnsi="Arial" w:cs="Arial"/>
          <w:sz w:val="24"/>
          <w:szCs w:val="24"/>
        </w:rPr>
        <w:t xml:space="preserve">decuado con disponibilidad suficiente, así como </w:t>
      </w:r>
      <w:r w:rsidR="008F0483" w:rsidRPr="000345AC">
        <w:rPr>
          <w:rFonts w:ascii="Arial" w:hAnsi="Arial" w:cs="Arial"/>
          <w:sz w:val="24"/>
          <w:szCs w:val="24"/>
          <w:lang w:val="es-MX"/>
        </w:rPr>
        <w:t>el cumplimiento de lo establecido por el artículo 3</w:t>
      </w:r>
      <w:r w:rsidR="00CD42C3" w:rsidRPr="000345AC">
        <w:rPr>
          <w:rFonts w:ascii="Arial" w:hAnsi="Arial" w:cs="Arial"/>
          <w:sz w:val="24"/>
          <w:szCs w:val="24"/>
          <w:lang w:val="es-MX"/>
        </w:rPr>
        <w:t>º</w:t>
      </w:r>
      <w:r w:rsidR="008F0483" w:rsidRPr="000345AC">
        <w:rPr>
          <w:rFonts w:ascii="Arial" w:hAnsi="Arial" w:cs="Arial"/>
          <w:sz w:val="24"/>
          <w:szCs w:val="24"/>
          <w:lang w:val="es-MX"/>
        </w:rPr>
        <w:t xml:space="preserve"> de la Ley N° 18.244 del 27.12.2007 (Deudores Alimentarios)</w:t>
      </w:r>
      <w:r w:rsidR="008F0483" w:rsidRPr="000345AC">
        <w:rPr>
          <w:rFonts w:ascii="Arial" w:hAnsi="Arial" w:cs="Arial"/>
          <w:sz w:val="24"/>
          <w:szCs w:val="24"/>
        </w:rPr>
        <w:t>;</w:t>
      </w:r>
    </w:p>
    <w:p w:rsidR="008F0483" w:rsidRDefault="000345AC" w:rsidP="000345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3) </w:t>
      </w:r>
      <w:proofErr w:type="spellStart"/>
      <w:r w:rsidR="008F0483">
        <w:rPr>
          <w:rFonts w:ascii="Arial" w:hAnsi="Arial" w:cs="Arial"/>
          <w:sz w:val="24"/>
          <w:szCs w:val="24"/>
        </w:rPr>
        <w:t>Cométese</w:t>
      </w:r>
      <w:proofErr w:type="spellEnd"/>
      <w:r w:rsidR="008F0483" w:rsidRPr="00C92521">
        <w:rPr>
          <w:rFonts w:ascii="Arial" w:hAnsi="Arial" w:cs="Arial"/>
          <w:sz w:val="24"/>
          <w:szCs w:val="24"/>
        </w:rPr>
        <w:t xml:space="preserve"> asimismo al Contador Auditor</w:t>
      </w:r>
      <w:r w:rsidR="008F0483">
        <w:rPr>
          <w:rFonts w:ascii="Arial" w:hAnsi="Arial" w:cs="Arial"/>
          <w:sz w:val="24"/>
          <w:szCs w:val="24"/>
        </w:rPr>
        <w:t>,</w:t>
      </w:r>
      <w:r w:rsidR="008F0483" w:rsidRPr="00C92521">
        <w:rPr>
          <w:rFonts w:ascii="Arial" w:hAnsi="Arial" w:cs="Arial"/>
          <w:sz w:val="24"/>
          <w:szCs w:val="24"/>
        </w:rPr>
        <w:t xml:space="preserve"> la verificación del cumplimiento de que la </w:t>
      </w:r>
      <w:r w:rsidR="008F0483">
        <w:rPr>
          <w:rFonts w:ascii="Arial" w:hAnsi="Arial" w:cs="Arial"/>
          <w:sz w:val="24"/>
          <w:szCs w:val="24"/>
        </w:rPr>
        <w:t>r</w:t>
      </w:r>
      <w:r w:rsidR="008F0483" w:rsidRPr="00C92521">
        <w:rPr>
          <w:rFonts w:ascii="Arial" w:hAnsi="Arial" w:cs="Arial"/>
          <w:sz w:val="24"/>
          <w:szCs w:val="24"/>
        </w:rPr>
        <w:t xml:space="preserve">esolución </w:t>
      </w:r>
      <w:r w:rsidR="008F0483">
        <w:rPr>
          <w:rFonts w:ascii="Arial" w:hAnsi="Arial" w:cs="Arial"/>
          <w:sz w:val="24"/>
          <w:szCs w:val="24"/>
        </w:rPr>
        <w:t>d</w:t>
      </w:r>
      <w:r w:rsidR="008F0483" w:rsidRPr="00C92521">
        <w:rPr>
          <w:rFonts w:ascii="Arial" w:hAnsi="Arial" w:cs="Arial"/>
          <w:sz w:val="24"/>
          <w:szCs w:val="24"/>
        </w:rPr>
        <w:t>efinitiva concuerde con las condiciones de la contratación sometidas a este Tribunal (</w:t>
      </w:r>
      <w:r w:rsidR="00CD42C3">
        <w:rPr>
          <w:rFonts w:ascii="Arial" w:hAnsi="Arial" w:cs="Arial"/>
          <w:sz w:val="24"/>
          <w:szCs w:val="24"/>
        </w:rPr>
        <w:t>a</w:t>
      </w:r>
      <w:r w:rsidR="008F0483" w:rsidRPr="00C92521">
        <w:rPr>
          <w:rFonts w:ascii="Arial" w:hAnsi="Arial" w:cs="Arial"/>
          <w:sz w:val="24"/>
          <w:szCs w:val="24"/>
        </w:rPr>
        <w:t xml:space="preserve">rt. 8 de </w:t>
      </w:r>
      <w:smartTag w:uri="urn:schemas-microsoft-com:office:smarttags" w:element="metricconverter">
        <w:smartTagPr>
          <w:attr w:name="ProductID" w:val="33 C"/>
        </w:smartTagPr>
        <w:r w:rsidR="008F0483" w:rsidRPr="00C92521">
          <w:rPr>
            <w:rFonts w:ascii="Arial" w:hAnsi="Arial" w:cs="Arial"/>
            <w:sz w:val="24"/>
            <w:szCs w:val="24"/>
          </w:rPr>
          <w:t>la Ordenanza N</w:t>
        </w:r>
      </w:smartTag>
      <w:r w:rsidR="008F0483" w:rsidRPr="00C92521">
        <w:rPr>
          <w:rFonts w:ascii="Arial" w:hAnsi="Arial" w:cs="Arial"/>
          <w:sz w:val="24"/>
          <w:szCs w:val="24"/>
        </w:rPr>
        <w:t xml:space="preserve">° 27 de fecha 22/5/58 en la redacción sustitutiva dispuesta por Resolución del </w:t>
      </w:r>
      <w:r w:rsidR="008F0483">
        <w:rPr>
          <w:rFonts w:ascii="Arial" w:hAnsi="Arial" w:cs="Arial"/>
          <w:sz w:val="24"/>
          <w:szCs w:val="24"/>
        </w:rPr>
        <w:t>16/6/2010);</w:t>
      </w:r>
    </w:p>
    <w:p w:rsidR="008F0483" w:rsidRPr="00C92521" w:rsidRDefault="000345AC" w:rsidP="000345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</w:t>
      </w:r>
      <w:r w:rsidR="008F0483" w:rsidRPr="00C92521">
        <w:rPr>
          <w:rFonts w:ascii="Arial" w:hAnsi="Arial" w:cs="Arial"/>
          <w:b/>
          <w:sz w:val="24"/>
          <w:szCs w:val="24"/>
        </w:rPr>
        <w:t xml:space="preserve"> </w:t>
      </w:r>
      <w:r w:rsidR="008F0483">
        <w:rPr>
          <w:rFonts w:ascii="Arial" w:hAnsi="Arial" w:cs="Arial"/>
          <w:sz w:val="24"/>
          <w:szCs w:val="24"/>
        </w:rPr>
        <w:t>Comuníquese</w:t>
      </w:r>
      <w:r w:rsidR="008F0483" w:rsidRPr="00C92521">
        <w:rPr>
          <w:rFonts w:ascii="Arial" w:hAnsi="Arial" w:cs="Arial"/>
          <w:sz w:val="24"/>
          <w:szCs w:val="24"/>
        </w:rPr>
        <w:t xml:space="preserve"> al Contador Auditor</w:t>
      </w:r>
      <w:r w:rsidR="008F0483">
        <w:rPr>
          <w:rFonts w:ascii="Arial" w:hAnsi="Arial" w:cs="Arial"/>
          <w:sz w:val="24"/>
          <w:szCs w:val="24"/>
        </w:rPr>
        <w:t>;</w:t>
      </w:r>
    </w:p>
    <w:p w:rsidR="008F0483" w:rsidRDefault="000345AC" w:rsidP="000345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="008F0483" w:rsidRPr="00C92521">
        <w:rPr>
          <w:rFonts w:ascii="Arial" w:hAnsi="Arial" w:cs="Arial"/>
          <w:sz w:val="24"/>
          <w:szCs w:val="24"/>
        </w:rPr>
        <w:t>Dev</w:t>
      </w:r>
      <w:r w:rsidR="008F0483">
        <w:rPr>
          <w:rFonts w:ascii="Arial" w:hAnsi="Arial" w:cs="Arial"/>
          <w:sz w:val="24"/>
          <w:szCs w:val="24"/>
        </w:rPr>
        <w:t>uélvase al Ministerio de Transporte y Obras Públicas.</w:t>
      </w:r>
    </w:p>
    <w:p w:rsidR="00E029F4" w:rsidRDefault="00E029F4" w:rsidP="00C925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0483" w:rsidRPr="00E029F4" w:rsidRDefault="000345AC" w:rsidP="000345AC">
      <w:pPr>
        <w:pStyle w:val="Ttulo"/>
        <w:jc w:val="both"/>
        <w:rPr>
          <w:b w:val="0"/>
          <w:bCs/>
          <w:u w:val="none"/>
          <w:lang w:val="es-ES_tradnl"/>
        </w:rPr>
      </w:pPr>
      <w:proofErr w:type="gramStart"/>
      <w:r>
        <w:rPr>
          <w:b w:val="0"/>
          <w:bCs/>
          <w:u w:val="none"/>
          <w:lang w:val="es-ES_tradnl"/>
        </w:rPr>
        <w:t>lm</w:t>
      </w:r>
      <w:proofErr w:type="gramEnd"/>
    </w:p>
    <w:sectPr w:rsidR="008F0483" w:rsidRPr="00E029F4" w:rsidSect="00E029F4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18" w:rsidRDefault="004A7F18" w:rsidP="006E20B4">
      <w:pPr>
        <w:spacing w:after="0" w:line="240" w:lineRule="auto"/>
      </w:pPr>
      <w:r>
        <w:separator/>
      </w:r>
    </w:p>
  </w:endnote>
  <w:endnote w:type="continuationSeparator" w:id="0">
    <w:p w:rsidR="004A7F18" w:rsidRDefault="004A7F18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18" w:rsidRDefault="004A7F1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345A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18" w:rsidRDefault="004A7F18" w:rsidP="006E20B4">
      <w:pPr>
        <w:spacing w:after="0" w:line="240" w:lineRule="auto"/>
      </w:pPr>
      <w:r>
        <w:separator/>
      </w:r>
    </w:p>
  </w:footnote>
  <w:footnote w:type="continuationSeparator" w:id="0">
    <w:p w:rsidR="004A7F18" w:rsidRDefault="004A7F18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cs="Times New Roman"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cs="Times New Roman"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cs="Times New Roman"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cs="Times New Roman"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B60F4"/>
    <w:multiLevelType w:val="hybridMultilevel"/>
    <w:tmpl w:val="EB14E584"/>
    <w:lvl w:ilvl="0" w:tplc="9190C2E2">
      <w:start w:val="1"/>
      <w:numFmt w:val="decimal"/>
      <w:lvlText w:val="%1)"/>
      <w:lvlJc w:val="left"/>
      <w:pPr>
        <w:ind w:left="1804" w:hanging="109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067FF"/>
    <w:rsid w:val="00013109"/>
    <w:rsid w:val="0001475F"/>
    <w:rsid w:val="000258BC"/>
    <w:rsid w:val="0002657B"/>
    <w:rsid w:val="000345AC"/>
    <w:rsid w:val="000415A9"/>
    <w:rsid w:val="000462D5"/>
    <w:rsid w:val="0005777B"/>
    <w:rsid w:val="00065BE4"/>
    <w:rsid w:val="0006781D"/>
    <w:rsid w:val="00077225"/>
    <w:rsid w:val="000862DB"/>
    <w:rsid w:val="000976D7"/>
    <w:rsid w:val="000C2978"/>
    <w:rsid w:val="00121B99"/>
    <w:rsid w:val="00122D2B"/>
    <w:rsid w:val="00142088"/>
    <w:rsid w:val="0019331D"/>
    <w:rsid w:val="00193761"/>
    <w:rsid w:val="00194F60"/>
    <w:rsid w:val="001D1797"/>
    <w:rsid w:val="001D1E0E"/>
    <w:rsid w:val="001E1633"/>
    <w:rsid w:val="00233D7C"/>
    <w:rsid w:val="00267E43"/>
    <w:rsid w:val="0027414A"/>
    <w:rsid w:val="002C0C1D"/>
    <w:rsid w:val="002C5E1A"/>
    <w:rsid w:val="002C5FC7"/>
    <w:rsid w:val="002E54BE"/>
    <w:rsid w:val="002F20C2"/>
    <w:rsid w:val="002F7EDE"/>
    <w:rsid w:val="0030024C"/>
    <w:rsid w:val="0031484B"/>
    <w:rsid w:val="00326561"/>
    <w:rsid w:val="0032680A"/>
    <w:rsid w:val="0036019B"/>
    <w:rsid w:val="00384CCD"/>
    <w:rsid w:val="00393E57"/>
    <w:rsid w:val="003B083E"/>
    <w:rsid w:val="003C08D2"/>
    <w:rsid w:val="003E27F9"/>
    <w:rsid w:val="003E5C79"/>
    <w:rsid w:val="004221E5"/>
    <w:rsid w:val="00465D81"/>
    <w:rsid w:val="004A7F18"/>
    <w:rsid w:val="004B4E1B"/>
    <w:rsid w:val="004D2E7E"/>
    <w:rsid w:val="004E2FED"/>
    <w:rsid w:val="004E6C34"/>
    <w:rsid w:val="00540659"/>
    <w:rsid w:val="00545C74"/>
    <w:rsid w:val="00576C35"/>
    <w:rsid w:val="005909E0"/>
    <w:rsid w:val="005E23D5"/>
    <w:rsid w:val="00621D75"/>
    <w:rsid w:val="00641C91"/>
    <w:rsid w:val="0065445F"/>
    <w:rsid w:val="00656B11"/>
    <w:rsid w:val="00661535"/>
    <w:rsid w:val="00687333"/>
    <w:rsid w:val="00690C6C"/>
    <w:rsid w:val="006B5EB9"/>
    <w:rsid w:val="006D0A40"/>
    <w:rsid w:val="006D7C61"/>
    <w:rsid w:val="006E20B4"/>
    <w:rsid w:val="006E517B"/>
    <w:rsid w:val="00701626"/>
    <w:rsid w:val="0073205C"/>
    <w:rsid w:val="00745F8A"/>
    <w:rsid w:val="007746A7"/>
    <w:rsid w:val="00786675"/>
    <w:rsid w:val="00794F8B"/>
    <w:rsid w:val="007C329C"/>
    <w:rsid w:val="007E7FAB"/>
    <w:rsid w:val="00805633"/>
    <w:rsid w:val="008104F3"/>
    <w:rsid w:val="00836BAB"/>
    <w:rsid w:val="00841AD4"/>
    <w:rsid w:val="00845FA4"/>
    <w:rsid w:val="00894848"/>
    <w:rsid w:val="008B5814"/>
    <w:rsid w:val="008C7620"/>
    <w:rsid w:val="008F0483"/>
    <w:rsid w:val="00945564"/>
    <w:rsid w:val="0096136E"/>
    <w:rsid w:val="009764D1"/>
    <w:rsid w:val="00992BCE"/>
    <w:rsid w:val="009B0863"/>
    <w:rsid w:val="009F000F"/>
    <w:rsid w:val="00A03E50"/>
    <w:rsid w:val="00A108C1"/>
    <w:rsid w:val="00A147A9"/>
    <w:rsid w:val="00A15BA1"/>
    <w:rsid w:val="00A323D9"/>
    <w:rsid w:val="00A55984"/>
    <w:rsid w:val="00A6009B"/>
    <w:rsid w:val="00A618E6"/>
    <w:rsid w:val="00A66BE7"/>
    <w:rsid w:val="00A722A8"/>
    <w:rsid w:val="00A84E9A"/>
    <w:rsid w:val="00A86842"/>
    <w:rsid w:val="00AC1F4A"/>
    <w:rsid w:val="00AE073D"/>
    <w:rsid w:val="00AE4784"/>
    <w:rsid w:val="00AE4CE9"/>
    <w:rsid w:val="00AF16B1"/>
    <w:rsid w:val="00B11256"/>
    <w:rsid w:val="00B112D0"/>
    <w:rsid w:val="00B261D9"/>
    <w:rsid w:val="00B36277"/>
    <w:rsid w:val="00B527ED"/>
    <w:rsid w:val="00B85498"/>
    <w:rsid w:val="00B85BBF"/>
    <w:rsid w:val="00B940AB"/>
    <w:rsid w:val="00BA289B"/>
    <w:rsid w:val="00BB15BA"/>
    <w:rsid w:val="00BB55E6"/>
    <w:rsid w:val="00BC7C70"/>
    <w:rsid w:val="00C03CED"/>
    <w:rsid w:val="00C12932"/>
    <w:rsid w:val="00C34A24"/>
    <w:rsid w:val="00C805F1"/>
    <w:rsid w:val="00C92521"/>
    <w:rsid w:val="00C93018"/>
    <w:rsid w:val="00CC5357"/>
    <w:rsid w:val="00CD42C3"/>
    <w:rsid w:val="00CE69ED"/>
    <w:rsid w:val="00CF252F"/>
    <w:rsid w:val="00CF6C2D"/>
    <w:rsid w:val="00D1297B"/>
    <w:rsid w:val="00D33288"/>
    <w:rsid w:val="00D86270"/>
    <w:rsid w:val="00D95726"/>
    <w:rsid w:val="00DD2641"/>
    <w:rsid w:val="00DD3D56"/>
    <w:rsid w:val="00DF5E49"/>
    <w:rsid w:val="00E029F4"/>
    <w:rsid w:val="00E10DDE"/>
    <w:rsid w:val="00E6658A"/>
    <w:rsid w:val="00E67F0B"/>
    <w:rsid w:val="00E7265B"/>
    <w:rsid w:val="00E84A24"/>
    <w:rsid w:val="00EB3025"/>
    <w:rsid w:val="00EC131C"/>
    <w:rsid w:val="00EF3E1A"/>
    <w:rsid w:val="00F01E57"/>
    <w:rsid w:val="00F03BD8"/>
    <w:rsid w:val="00F22D2E"/>
    <w:rsid w:val="00F33CF9"/>
    <w:rsid w:val="00F420A7"/>
    <w:rsid w:val="00F85C5D"/>
    <w:rsid w:val="00FA6715"/>
    <w:rsid w:val="00FC10D7"/>
    <w:rsid w:val="00FC7E28"/>
    <w:rsid w:val="00FD485B"/>
    <w:rsid w:val="00FE38EB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2018-17-1-0001936</vt:lpstr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2018-17-1-0001936</dc:title>
  <dc:creator>MARIZA GONZALEZ PADILLA</dc:creator>
  <cp:lastModifiedBy>Tribunal1</cp:lastModifiedBy>
  <cp:revision>3</cp:revision>
  <cp:lastPrinted>2019-02-11T17:03:00Z</cp:lastPrinted>
  <dcterms:created xsi:type="dcterms:W3CDTF">2019-03-08T18:47:00Z</dcterms:created>
  <dcterms:modified xsi:type="dcterms:W3CDTF">2019-03-08T19:16:00Z</dcterms:modified>
</cp:coreProperties>
</file>