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471" w:rsidRPr="00D84E35" w:rsidRDefault="00B54471" w:rsidP="00D84E35">
      <w:pPr>
        <w:tabs>
          <w:tab w:val="center" w:pos="4253"/>
        </w:tabs>
        <w:suppressAutoHyphens/>
        <w:jc w:val="right"/>
        <w:rPr>
          <w:rFonts w:cs="Arial"/>
          <w:b/>
          <w:sz w:val="28"/>
          <w:szCs w:val="28"/>
          <w:lang w:val="es-ES_tradnl"/>
        </w:rPr>
      </w:pPr>
      <w:r>
        <w:rPr>
          <w:rFonts w:cs="Arial"/>
          <w:b/>
          <w:sz w:val="28"/>
          <w:szCs w:val="28"/>
          <w:lang w:val="es-ES_tradnl"/>
        </w:rPr>
        <w:t>RES. 585/19</w:t>
      </w:r>
    </w:p>
    <w:p w:rsidR="0044472E" w:rsidRDefault="0044472E">
      <w:pPr>
        <w:tabs>
          <w:tab w:val="center" w:pos="4253"/>
        </w:tabs>
        <w:suppressAutoHyphens/>
        <w:jc w:val="center"/>
        <w:rPr>
          <w:rFonts w:cs="Arial"/>
          <w:b/>
          <w:lang w:val="es-ES_tradnl"/>
        </w:rPr>
      </w:pPr>
    </w:p>
    <w:p w:rsidR="00B54471" w:rsidRPr="00762B34" w:rsidRDefault="00B54471">
      <w:pPr>
        <w:tabs>
          <w:tab w:val="center" w:pos="4253"/>
        </w:tabs>
        <w:suppressAutoHyphens/>
        <w:jc w:val="center"/>
        <w:rPr>
          <w:rFonts w:cs="Arial"/>
          <w:b/>
          <w:lang w:val="es-ES_tradnl"/>
        </w:rPr>
      </w:pPr>
      <w:r w:rsidRPr="00762B34">
        <w:rPr>
          <w:rFonts w:cs="Arial"/>
          <w:b/>
          <w:lang w:val="es-ES_tradnl"/>
        </w:rPr>
        <w:t>RESOLUCION ADOPTADA POR EL</w:t>
      </w:r>
    </w:p>
    <w:p w:rsidR="00B54471" w:rsidRPr="00762B34" w:rsidRDefault="00B54471">
      <w:pPr>
        <w:tabs>
          <w:tab w:val="left" w:pos="-720"/>
        </w:tabs>
        <w:suppressAutoHyphens/>
        <w:jc w:val="center"/>
        <w:rPr>
          <w:rFonts w:cs="Arial"/>
          <w:b/>
          <w:lang w:val="es-ES_tradnl"/>
        </w:rPr>
      </w:pPr>
    </w:p>
    <w:p w:rsidR="00B54471" w:rsidRPr="00762B34" w:rsidRDefault="00B54471">
      <w:pPr>
        <w:tabs>
          <w:tab w:val="center" w:pos="4253"/>
        </w:tabs>
        <w:suppressAutoHyphens/>
        <w:jc w:val="center"/>
        <w:rPr>
          <w:rFonts w:cs="Arial"/>
          <w:b/>
          <w:lang w:val="es-ES_tradnl"/>
        </w:rPr>
      </w:pPr>
      <w:r w:rsidRPr="00762B34">
        <w:rPr>
          <w:rFonts w:cs="Arial"/>
          <w:b/>
          <w:lang w:val="es-ES_tradnl"/>
        </w:rPr>
        <w:t>TRIBUNAL DE CUENTAS</w:t>
      </w:r>
    </w:p>
    <w:p w:rsidR="00B54471" w:rsidRPr="00762B34" w:rsidRDefault="00B54471">
      <w:pPr>
        <w:tabs>
          <w:tab w:val="left" w:pos="-720"/>
        </w:tabs>
        <w:suppressAutoHyphens/>
        <w:jc w:val="center"/>
        <w:rPr>
          <w:rFonts w:cs="Arial"/>
          <w:b/>
          <w:lang w:val="es-ES_tradnl"/>
        </w:rPr>
      </w:pPr>
    </w:p>
    <w:p w:rsidR="00B54471" w:rsidRPr="00762B34" w:rsidRDefault="00B54471">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27 DE FEBRERO </w:t>
      </w:r>
      <w:r>
        <w:rPr>
          <w:rFonts w:ascii="Helvetica" w:hAnsi="Helvetica"/>
          <w:b/>
          <w:lang w:val="es-ES_tradnl"/>
        </w:rPr>
        <w:t>DE 2019</w:t>
      </w:r>
    </w:p>
    <w:p w:rsidR="00B54471" w:rsidRPr="00762B34" w:rsidRDefault="00B54471">
      <w:pPr>
        <w:tabs>
          <w:tab w:val="center" w:pos="4253"/>
        </w:tabs>
        <w:suppressAutoHyphens/>
        <w:jc w:val="center"/>
        <w:rPr>
          <w:rFonts w:cs="Arial"/>
          <w:b/>
          <w:lang w:val="es-ES_tradnl"/>
        </w:rPr>
      </w:pPr>
    </w:p>
    <w:p w:rsidR="00B54471" w:rsidRPr="000C601D" w:rsidRDefault="00B54471">
      <w:pPr>
        <w:tabs>
          <w:tab w:val="center" w:pos="4253"/>
        </w:tabs>
        <w:suppressAutoHyphens/>
        <w:jc w:val="center"/>
        <w:rPr>
          <w:rFonts w:cs="Arial"/>
          <w:b/>
          <w:lang w:val="es-UY"/>
        </w:rPr>
      </w:pPr>
      <w:r w:rsidRPr="000C601D">
        <w:rPr>
          <w:rFonts w:cs="Arial"/>
          <w:b/>
          <w:lang w:val="es-UY"/>
        </w:rPr>
        <w:t>(E. E. Nº</w:t>
      </w:r>
      <w:r w:rsidRPr="00B54471">
        <w:rPr>
          <w:b/>
        </w:rPr>
        <w:t>2019-17-1-0000658</w:t>
      </w:r>
      <w:r w:rsidRPr="000C601D">
        <w:rPr>
          <w:rFonts w:cs="Arial"/>
          <w:b/>
          <w:lang w:val="es-UY"/>
        </w:rPr>
        <w:t xml:space="preserve">, </w:t>
      </w:r>
      <w:proofErr w:type="spellStart"/>
      <w:r w:rsidRPr="000C601D">
        <w:rPr>
          <w:rFonts w:cs="Arial"/>
          <w:b/>
          <w:lang w:val="es-UY"/>
        </w:rPr>
        <w:t>Ent</w:t>
      </w:r>
      <w:proofErr w:type="spellEnd"/>
      <w:r w:rsidRPr="000C601D">
        <w:rPr>
          <w:rFonts w:cs="Arial"/>
          <w:b/>
          <w:lang w:val="es-UY"/>
        </w:rPr>
        <w:t xml:space="preserve">. N° </w:t>
      </w:r>
      <w:r w:rsidRPr="00B54471">
        <w:rPr>
          <w:b/>
        </w:rPr>
        <w:t>511/19</w:t>
      </w:r>
      <w:r w:rsidRPr="000C601D">
        <w:rPr>
          <w:rFonts w:cs="Arial"/>
          <w:b/>
          <w:lang w:val="es-UY"/>
        </w:rPr>
        <w:t>)</w:t>
      </w:r>
    </w:p>
    <w:p w:rsidR="00B54471" w:rsidRPr="000C601D" w:rsidRDefault="00B54471">
      <w:pPr>
        <w:rPr>
          <w:lang w:val="es-UY"/>
        </w:rPr>
      </w:pPr>
    </w:p>
    <w:p w:rsidR="0044472E" w:rsidRDefault="0044472E" w:rsidP="00B54471">
      <w:pPr>
        <w:spacing w:line="360" w:lineRule="auto"/>
        <w:ind w:firstLine="851"/>
        <w:jc w:val="both"/>
        <w:rPr>
          <w:b/>
          <w:bCs/>
        </w:rPr>
      </w:pPr>
    </w:p>
    <w:p w:rsidR="007140F0" w:rsidRDefault="007140F0" w:rsidP="00B54471">
      <w:pPr>
        <w:spacing w:line="360" w:lineRule="auto"/>
        <w:ind w:firstLine="851"/>
        <w:jc w:val="both"/>
        <w:rPr>
          <w:spacing w:val="-3"/>
          <w:lang w:val="es-ES_tradnl"/>
        </w:rPr>
      </w:pPr>
      <w:r>
        <w:rPr>
          <w:b/>
          <w:bCs/>
        </w:rPr>
        <w:t xml:space="preserve">VISTO: </w:t>
      </w:r>
      <w:r>
        <w:rPr>
          <w:spacing w:val="-3"/>
          <w:lang w:val="es-ES_tradnl"/>
        </w:rPr>
        <w:t>estos antecedentes remitidos por la Administración Nacional de Usinas y Trasmisiones Eléctricas (UTE),  relacionados con la solicitud de un procedimiento especial para la contratación de empresas para trabajos graves e imprevistos como consecuencia de situaciones extremas;</w:t>
      </w:r>
    </w:p>
    <w:p w:rsidR="007140F0" w:rsidRDefault="007140F0" w:rsidP="00B54471">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firstLine="851"/>
        <w:jc w:val="both"/>
        <w:rPr>
          <w:spacing w:val="-3"/>
          <w:lang w:val="es-ES_tradnl"/>
        </w:rPr>
      </w:pPr>
      <w:r>
        <w:rPr>
          <w:b/>
          <w:bCs/>
        </w:rPr>
        <w:t>RESULTANDO: 1)</w:t>
      </w:r>
      <w:r>
        <w:rPr>
          <w:spacing w:val="-3"/>
          <w:lang w:val="es-ES_tradnl"/>
        </w:rPr>
        <w:t xml:space="preserve"> que el Directorio de UTE por Resolución N° 17-3243 de fecha 20 de diciembre de 2017, resolvió aprobar el texto del procedimiento especial para la contratación de empresas para trabajos en acontecimientos graves e imprevistos, como consecuencia de situaciones extremas, al amparo del art. 37 del TOCAF, disponiendo remitir las actuaciones a la Agencia de Compras y Contrataciones del Estado;  </w:t>
      </w:r>
    </w:p>
    <w:p w:rsidR="00B54471" w:rsidRDefault="007140F0" w:rsidP="00B54471">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firstLine="2694"/>
        <w:jc w:val="both"/>
        <w:rPr>
          <w:spacing w:val="-3"/>
          <w:lang w:val="es-ES_tradnl"/>
        </w:rPr>
      </w:pPr>
      <w:r>
        <w:rPr>
          <w:b/>
          <w:spacing w:val="-3"/>
          <w:lang w:val="es-ES_tradnl"/>
        </w:rPr>
        <w:t xml:space="preserve">2) </w:t>
      </w:r>
      <w:r>
        <w:rPr>
          <w:spacing w:val="-3"/>
          <w:lang w:val="es-ES_tradnl"/>
        </w:rPr>
        <w:t>que el procedimiento especial tiene por objeto la contratación de Empresas para el restablecimiento de servicios prestados por UTE en todo el territorio nacional, frente a la ocurrencia de acontecimientos graves e imprevistos, a consecuencia de situaciones extremas que sean constatadas y evaluadas como tales por la Dirección Nacional del Sistema Nacional de Emergencia (SINAE);</w:t>
      </w:r>
    </w:p>
    <w:p w:rsidR="00B54471" w:rsidRDefault="007140F0" w:rsidP="00B54471">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firstLine="2694"/>
        <w:jc w:val="both"/>
        <w:rPr>
          <w:spacing w:val="-3"/>
          <w:lang w:val="es-ES_tradnl"/>
        </w:rPr>
      </w:pPr>
      <w:r>
        <w:rPr>
          <w:b/>
          <w:spacing w:val="-3"/>
          <w:lang w:val="es-ES_tradnl"/>
        </w:rPr>
        <w:t xml:space="preserve">3) </w:t>
      </w:r>
      <w:r>
        <w:rPr>
          <w:spacing w:val="-3"/>
          <w:lang w:val="es-ES_tradnl"/>
        </w:rPr>
        <w:t>que los servicios a contratar por el presente procedimiento comprenden la reparación y/o reconstrucción de las instalaciones afectadas como consecuencia de un suceso grave e imprevisto, que impida la normal prestación del servicio y requiera a su vez una inmediata resolución;</w:t>
      </w:r>
    </w:p>
    <w:p w:rsidR="00B54471" w:rsidRDefault="007140F0" w:rsidP="00B54471">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firstLine="2694"/>
        <w:jc w:val="both"/>
        <w:rPr>
          <w:spacing w:val="-3"/>
          <w:lang w:val="es-ES_tradnl"/>
        </w:rPr>
      </w:pPr>
      <w:r>
        <w:rPr>
          <w:b/>
          <w:spacing w:val="-3"/>
          <w:lang w:val="es-ES_tradnl"/>
        </w:rPr>
        <w:t xml:space="preserve">4) </w:t>
      </w:r>
      <w:r>
        <w:rPr>
          <w:spacing w:val="-3"/>
          <w:lang w:val="es-ES_tradnl"/>
        </w:rPr>
        <w:t xml:space="preserve">que UTE realizará la convocatoria para la inscripción de interesados en integrar una nómina de proveedores habilitados de prestar el </w:t>
      </w:r>
      <w:r>
        <w:rPr>
          <w:spacing w:val="-3"/>
          <w:lang w:val="es-ES_tradnl"/>
        </w:rPr>
        <w:lastRenderedPageBreak/>
        <w:t>servicio/obra objeto de la contratación, que se realizará a través de publicaciones en el Diario Oficial, con no menos de 20 días hábiles de la fecha de la apertura del llamado, y en dos periódicos de circulación nacional, además de publicarse en la web de Compras Estatales y en la web de UTE;</w:t>
      </w:r>
    </w:p>
    <w:p w:rsidR="00B54471" w:rsidRDefault="007140F0" w:rsidP="00B54471">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firstLine="2694"/>
        <w:jc w:val="both"/>
        <w:rPr>
          <w:spacing w:val="-3"/>
          <w:lang w:val="es-ES_tradnl"/>
        </w:rPr>
      </w:pPr>
      <w:r>
        <w:rPr>
          <w:b/>
          <w:spacing w:val="-3"/>
          <w:lang w:val="es-ES_tradnl"/>
        </w:rPr>
        <w:t xml:space="preserve">5) </w:t>
      </w:r>
      <w:r>
        <w:rPr>
          <w:spacing w:val="-3"/>
          <w:lang w:val="es-ES_tradnl"/>
        </w:rPr>
        <w:t>que el Registro de habilitados funcionará bajo la órbita de UTE y será organizado por zonas geográficas y por tipo de servicio/obra; las empresas con contratos vigentes  vinculados al objeto del presente procedimiento al momento de la apertura del registro, serán ingresadas de oficio por parte de la Administración. Las empresas inscriptas serán clasificadas por zonas geográficas y por tipo de servicio/obra; se definirá por sorteo el orden de prelación en la nómina, válido para todo el período de vigencia del Registro, y la nómina se publicará en la página web de UTE y en la de Compras Estatales. La vigencia de la inscripción en el registro estará en el Pliego Particular, la que no podrá superar los 2 años de vigencia;</w:t>
      </w:r>
    </w:p>
    <w:p w:rsidR="007140F0" w:rsidRDefault="007140F0" w:rsidP="00B54471">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firstLine="2694"/>
        <w:jc w:val="both"/>
        <w:rPr>
          <w:spacing w:val="-3"/>
          <w:lang w:val="es-ES_tradnl"/>
        </w:rPr>
      </w:pPr>
      <w:r>
        <w:rPr>
          <w:b/>
          <w:spacing w:val="-3"/>
          <w:lang w:val="es-ES_tradnl"/>
        </w:rPr>
        <w:t xml:space="preserve">6) </w:t>
      </w:r>
      <w:r>
        <w:rPr>
          <w:spacing w:val="-3"/>
          <w:lang w:val="es-ES_tradnl"/>
        </w:rPr>
        <w:t>que la selección del contratista para la prestación de un servicio/obra por el presente procedimiento, se realizará de la siguiente forma:</w:t>
      </w:r>
    </w:p>
    <w:p w:rsidR="007140F0" w:rsidRDefault="007140F0" w:rsidP="007140F0">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jc w:val="both"/>
        <w:rPr>
          <w:spacing w:val="-3"/>
          <w:lang w:val="es-ES_tradnl"/>
        </w:rPr>
      </w:pPr>
      <w:r>
        <w:rPr>
          <w:spacing w:val="-3"/>
          <w:lang w:val="es-ES_tradnl"/>
        </w:rPr>
        <w:tab/>
        <w:t>6.1) en primer lugar, a las empresas con contrato vigente de mantenimiento de redes e instalaciones en la zona del evento,</w:t>
      </w:r>
    </w:p>
    <w:p w:rsidR="007140F0" w:rsidRDefault="007140F0" w:rsidP="007140F0">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jc w:val="both"/>
        <w:rPr>
          <w:spacing w:val="-3"/>
          <w:lang w:val="es-ES_tradnl"/>
        </w:rPr>
      </w:pPr>
      <w:r>
        <w:rPr>
          <w:spacing w:val="-3"/>
          <w:lang w:val="es-ES_tradnl"/>
        </w:rPr>
        <w:tab/>
        <w:t>6.2) de no cubrir la totalidad de las necesidades con dichas empresas, a las que tengan contratos de remodelación y ampliación de las redes e instalaciones que posean contratos vigentes en la zona del evento,</w:t>
      </w:r>
    </w:p>
    <w:p w:rsidR="00B54471" w:rsidRDefault="007140F0" w:rsidP="007140F0">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jc w:val="both"/>
        <w:rPr>
          <w:spacing w:val="-3"/>
          <w:lang w:val="es-ES_tradnl"/>
        </w:rPr>
      </w:pPr>
      <w:r>
        <w:rPr>
          <w:spacing w:val="-3"/>
          <w:lang w:val="es-ES_tradnl"/>
        </w:rPr>
        <w:tab/>
      </w:r>
      <w:r w:rsidR="00B54471">
        <w:rPr>
          <w:spacing w:val="-3"/>
          <w:lang w:val="es-ES_tradnl"/>
        </w:rPr>
        <w:t>6</w:t>
      </w:r>
      <w:r>
        <w:rPr>
          <w:spacing w:val="-3"/>
          <w:lang w:val="es-ES_tradnl"/>
        </w:rPr>
        <w:t>.3) de no cubrirse las necesidades con las empresas referidas, se seleccionará a las empresas de acuerdo al orden de prelación establecido;</w:t>
      </w:r>
    </w:p>
    <w:p w:rsidR="00B54471" w:rsidRDefault="007140F0" w:rsidP="00B54471">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firstLine="2552"/>
        <w:jc w:val="both"/>
        <w:rPr>
          <w:spacing w:val="-3"/>
          <w:lang w:val="es-ES_tradnl"/>
        </w:rPr>
      </w:pPr>
      <w:r>
        <w:rPr>
          <w:b/>
          <w:spacing w:val="-3"/>
          <w:lang w:val="es-ES_tradnl"/>
        </w:rPr>
        <w:t xml:space="preserve">7) </w:t>
      </w:r>
      <w:r>
        <w:rPr>
          <w:spacing w:val="-3"/>
          <w:lang w:val="es-ES_tradnl"/>
        </w:rPr>
        <w:t>que</w:t>
      </w:r>
      <w:r>
        <w:rPr>
          <w:b/>
          <w:spacing w:val="-3"/>
          <w:lang w:val="es-ES_tradnl"/>
        </w:rPr>
        <w:t xml:space="preserve"> </w:t>
      </w:r>
      <w:r>
        <w:rPr>
          <w:spacing w:val="-3"/>
          <w:lang w:val="es-ES_tradnl"/>
        </w:rPr>
        <w:t>el criterio a utilizar para definir el precio de cada contrato de servicio/obra será establecido en el pliego particular, tomando en cuenta el precio resultante de las últimas contrataciones realizadas por UTE en el marco de procedimientos competitivos;</w:t>
      </w:r>
    </w:p>
    <w:p w:rsidR="0044472E" w:rsidRDefault="0044472E" w:rsidP="00B54471">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firstLine="2552"/>
        <w:jc w:val="both"/>
        <w:rPr>
          <w:spacing w:val="-3"/>
          <w:lang w:val="es-ES_tradnl"/>
        </w:rPr>
      </w:pPr>
    </w:p>
    <w:p w:rsidR="00B54471" w:rsidRDefault="007140F0" w:rsidP="00B54471">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firstLine="2552"/>
        <w:jc w:val="both"/>
        <w:rPr>
          <w:spacing w:val="-3"/>
          <w:lang w:val="es-ES_tradnl"/>
        </w:rPr>
      </w:pPr>
      <w:r>
        <w:rPr>
          <w:b/>
          <w:spacing w:val="-3"/>
          <w:lang w:val="es-ES_tradnl"/>
        </w:rPr>
        <w:lastRenderedPageBreak/>
        <w:t xml:space="preserve">8) </w:t>
      </w:r>
      <w:r>
        <w:rPr>
          <w:spacing w:val="-3"/>
          <w:lang w:val="es-ES_tradnl"/>
        </w:rPr>
        <w:t xml:space="preserve">que todas las situaciones no previstas en el procedimiento especial propuesto, se regirán por las normas sobre contratación establecidas en el TOCAF;  </w:t>
      </w:r>
    </w:p>
    <w:p w:rsidR="00B54471" w:rsidRDefault="007140F0" w:rsidP="00B54471">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firstLine="2552"/>
        <w:jc w:val="both"/>
        <w:rPr>
          <w:spacing w:val="-3"/>
          <w:lang w:val="es-ES_tradnl"/>
        </w:rPr>
      </w:pPr>
      <w:r>
        <w:rPr>
          <w:b/>
          <w:spacing w:val="-3"/>
          <w:lang w:val="es-ES_tradnl"/>
        </w:rPr>
        <w:t xml:space="preserve">9) </w:t>
      </w:r>
      <w:r>
        <w:rPr>
          <w:spacing w:val="-3"/>
          <w:lang w:val="es-ES_tradnl"/>
        </w:rPr>
        <w:t>que el Consejo Directivo Honorario de la Agencia de Compras y Contrataciones del Estado,  por Resolución N°120 de fecha 21 de noviembre de 2018, resolvió otorgar la conformidad al procedimiento especial propuesto por UTE;</w:t>
      </w:r>
    </w:p>
    <w:p w:rsidR="007140F0" w:rsidRDefault="007140F0" w:rsidP="00B54471">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firstLine="2552"/>
        <w:jc w:val="both"/>
        <w:rPr>
          <w:spacing w:val="-3"/>
          <w:lang w:val="es-ES_tradnl"/>
        </w:rPr>
      </w:pPr>
      <w:r>
        <w:rPr>
          <w:b/>
          <w:spacing w:val="-3"/>
          <w:lang w:val="es-ES_tradnl"/>
        </w:rPr>
        <w:t xml:space="preserve">10) </w:t>
      </w:r>
      <w:r>
        <w:rPr>
          <w:spacing w:val="-3"/>
          <w:lang w:val="es-ES_tradnl"/>
        </w:rPr>
        <w:t>que el Directorio de UTE por Resolución N° 19-83 de 24.01.19 resolvió aprobar el “Procedimiento Especial para la contratación para trabajos en Acontecimientos Graves e Imprevistos como consecuencia de Situaciones Extremas”, al amparo del art. 37 del TOCAF</w:t>
      </w:r>
      <w:r w:rsidR="001D5387">
        <w:rPr>
          <w:spacing w:val="-3"/>
          <w:lang w:val="es-ES_tradnl"/>
        </w:rPr>
        <w:t xml:space="preserve">. Asimismo, por nota </w:t>
      </w:r>
      <w:r w:rsidR="00B54471">
        <w:rPr>
          <w:spacing w:val="-3"/>
          <w:lang w:val="es-ES_tradnl"/>
        </w:rPr>
        <w:t xml:space="preserve">     </w:t>
      </w:r>
      <w:r w:rsidR="001D5387">
        <w:rPr>
          <w:spacing w:val="-3"/>
          <w:lang w:val="es-ES_tradnl"/>
        </w:rPr>
        <w:t>Nº 85045 del 25.01.19, se deja constancia que el Directorio de UTE aprobó modificaciones al procedimiento según sugerencias de la ACCE y se solicita que el Tribunal considere la autorización para efectuar la intervención de legalidad a posteriori de la ejecución de los gastos derivados de las contrataciones efectuadas al amparo del citado procedimiento;</w:t>
      </w:r>
    </w:p>
    <w:p w:rsidR="007140F0" w:rsidRDefault="007140F0" w:rsidP="00B54471">
      <w:pPr>
        <w:pStyle w:val="Sangradetextonormal"/>
        <w:ind w:left="0" w:firstLine="851"/>
      </w:pPr>
      <w:r>
        <w:rPr>
          <w:b/>
          <w:bCs/>
        </w:rPr>
        <w:t xml:space="preserve">CONSIDERANDO: 1) </w:t>
      </w:r>
      <w:r>
        <w:t>que el Procedimiento Especial remitido encuadra en lo dispuesto por el artículo 37 del TOCAF, en tanto se trata de un procedimiento de contratación especial, basado en los principios generales de contratación administrativa, cuyas características lo hacen conveniente para la Administración;</w:t>
      </w:r>
    </w:p>
    <w:p w:rsidR="007140F0" w:rsidRDefault="007140F0" w:rsidP="00B54471">
      <w:pPr>
        <w:pStyle w:val="Sangradetextonormal"/>
        <w:ind w:left="0" w:firstLine="2977"/>
      </w:pPr>
      <w:r>
        <w:rPr>
          <w:b/>
        </w:rPr>
        <w:t>2)</w:t>
      </w:r>
      <w:r>
        <w:rPr>
          <w:i/>
        </w:rPr>
        <w:t xml:space="preserve"> </w:t>
      </w:r>
      <w:r>
        <w:t>que</w:t>
      </w:r>
      <w:r>
        <w:rPr>
          <w:i/>
        </w:rPr>
        <w:t xml:space="preserve"> </w:t>
      </w:r>
      <w:r w:rsidRPr="007140F0">
        <w:t>de acuerdo a  lo establecido por el artículo 7 de la Ordenanza Nº 72  de este Tribunal dictada el 23.05.96, serán intervenidos a posterior</w:t>
      </w:r>
      <w:r>
        <w:t>i</w:t>
      </w:r>
      <w:r w:rsidRPr="007140F0">
        <w:t>, cualquiera sea su monto, los gastos derivados de contrataciones efectuadas al amparo de lo dispuesto en el</w:t>
      </w:r>
      <w:r w:rsidR="00606661">
        <w:t xml:space="preserve"> literal “i” (actual</w:t>
      </w:r>
      <w:r w:rsidRPr="007140F0">
        <w:t xml:space="preserve"> numeral 9) del literal c) del artículo 33 del TOCAF,</w:t>
      </w:r>
      <w:r>
        <w:t xml:space="preserve"> cuando por razones de hecho la Administración deba adoptar medidas dentro de un plazo no mayor de 48 horas;</w:t>
      </w:r>
    </w:p>
    <w:p w:rsidR="007140F0" w:rsidRDefault="007140F0" w:rsidP="00D84E35">
      <w:pPr>
        <w:pStyle w:val="Sangradetextonormal"/>
        <w:ind w:left="0" w:firstLine="851"/>
      </w:pPr>
      <w:r w:rsidRPr="007140F0">
        <w:t xml:space="preserve"> </w:t>
      </w:r>
      <w:r>
        <w:rPr>
          <w:b/>
          <w:bCs/>
        </w:rPr>
        <w:t xml:space="preserve">ATENTO: </w:t>
      </w:r>
      <w:r w:rsidR="00D84E35">
        <w:t>a lo precedentemente expuesto;</w:t>
      </w:r>
    </w:p>
    <w:p w:rsidR="0044472E" w:rsidRDefault="0044472E" w:rsidP="00D84E35">
      <w:pPr>
        <w:pStyle w:val="Sangradetextonormal"/>
        <w:ind w:left="0" w:firstLine="851"/>
      </w:pPr>
    </w:p>
    <w:p w:rsidR="0044472E" w:rsidRDefault="0044472E" w:rsidP="00D84E35">
      <w:pPr>
        <w:pStyle w:val="Sangradetextonormal"/>
        <w:ind w:left="0" w:firstLine="851"/>
      </w:pPr>
    </w:p>
    <w:p w:rsidR="007140F0" w:rsidRDefault="007140F0" w:rsidP="007140F0">
      <w:pPr>
        <w:pStyle w:val="Ttulo2"/>
      </w:pPr>
      <w:r>
        <w:t>EL TRIBUNAL ACUERDA</w:t>
      </w:r>
    </w:p>
    <w:p w:rsidR="007140F0" w:rsidRDefault="007140F0" w:rsidP="00D84E35">
      <w:pPr>
        <w:pStyle w:val="Sangradetextonormal"/>
        <w:numPr>
          <w:ilvl w:val="0"/>
          <w:numId w:val="1"/>
        </w:numPr>
        <w:tabs>
          <w:tab w:val="clear" w:pos="855"/>
          <w:tab w:val="num" w:pos="284"/>
        </w:tabs>
        <w:ind w:left="284" w:hanging="284"/>
      </w:pPr>
      <w:r>
        <w:t xml:space="preserve">Emitir su </w:t>
      </w:r>
      <w:r w:rsidR="000C601D">
        <w:t>D</w:t>
      </w:r>
      <w:r>
        <w:t>ictamen en los términos señalados en los Considerando</w:t>
      </w:r>
      <w:r w:rsidR="000C601D">
        <w:t>s</w:t>
      </w:r>
      <w:bookmarkStart w:id="0" w:name="_GoBack"/>
      <w:bookmarkEnd w:id="0"/>
      <w:r>
        <w:t xml:space="preserve"> de la presente Resolución;</w:t>
      </w:r>
    </w:p>
    <w:p w:rsidR="007140F0" w:rsidRDefault="007140F0" w:rsidP="00D84E35">
      <w:pPr>
        <w:numPr>
          <w:ilvl w:val="0"/>
          <w:numId w:val="1"/>
        </w:numPr>
        <w:tabs>
          <w:tab w:val="left" w:pos="-260"/>
          <w:tab w:val="left" w:pos="284"/>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hanging="855"/>
        <w:jc w:val="both"/>
        <w:rPr>
          <w:spacing w:val="-3"/>
          <w:lang w:val="es-ES_tradnl"/>
        </w:rPr>
      </w:pPr>
      <w:r>
        <w:rPr>
          <w:spacing w:val="-3"/>
          <w:lang w:val="es-ES_tradnl"/>
        </w:rPr>
        <w:t>Devolver los antecedentes.</w:t>
      </w:r>
    </w:p>
    <w:p w:rsidR="007140F0" w:rsidRPr="00D84E35" w:rsidRDefault="00D84E35" w:rsidP="00D84E35">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left="495" w:hanging="495"/>
        <w:jc w:val="both"/>
        <w:rPr>
          <w:spacing w:val="-3"/>
          <w:sz w:val="20"/>
          <w:szCs w:val="20"/>
          <w:lang w:val="es-ES_tradnl"/>
        </w:rPr>
      </w:pPr>
      <w:r>
        <w:rPr>
          <w:spacing w:val="-3"/>
          <w:sz w:val="20"/>
          <w:szCs w:val="20"/>
          <w:lang w:val="es-ES_tradnl"/>
        </w:rPr>
        <w:t>CLC</w:t>
      </w:r>
    </w:p>
    <w:sectPr w:rsidR="007140F0" w:rsidRPr="00D84E35" w:rsidSect="0044472E">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AE0"/>
    <w:multiLevelType w:val="hybridMultilevel"/>
    <w:tmpl w:val="4D16AE52"/>
    <w:lvl w:ilvl="0" w:tplc="EC46E586">
      <w:start w:val="1"/>
      <w:numFmt w:val="decimal"/>
      <w:lvlText w:val="%1)"/>
      <w:lvlJc w:val="left"/>
      <w:pPr>
        <w:tabs>
          <w:tab w:val="num" w:pos="855"/>
        </w:tabs>
        <w:ind w:left="855" w:hanging="360"/>
      </w:pPr>
      <w:rPr>
        <w:b/>
      </w:rPr>
    </w:lvl>
    <w:lvl w:ilvl="1" w:tplc="0C0A0019">
      <w:start w:val="1"/>
      <w:numFmt w:val="lowerLetter"/>
      <w:lvlText w:val="%2."/>
      <w:lvlJc w:val="left"/>
      <w:pPr>
        <w:tabs>
          <w:tab w:val="num" w:pos="1575"/>
        </w:tabs>
        <w:ind w:left="1575" w:hanging="360"/>
      </w:pPr>
    </w:lvl>
    <w:lvl w:ilvl="2" w:tplc="0C0A001B">
      <w:start w:val="1"/>
      <w:numFmt w:val="lowerRoman"/>
      <w:lvlText w:val="%3."/>
      <w:lvlJc w:val="right"/>
      <w:pPr>
        <w:tabs>
          <w:tab w:val="num" w:pos="2295"/>
        </w:tabs>
        <w:ind w:left="2295" w:hanging="180"/>
      </w:pPr>
    </w:lvl>
    <w:lvl w:ilvl="3" w:tplc="0C0A000F">
      <w:start w:val="1"/>
      <w:numFmt w:val="decimal"/>
      <w:lvlText w:val="%4."/>
      <w:lvlJc w:val="left"/>
      <w:pPr>
        <w:tabs>
          <w:tab w:val="num" w:pos="3015"/>
        </w:tabs>
        <w:ind w:left="3015" w:hanging="360"/>
      </w:pPr>
    </w:lvl>
    <w:lvl w:ilvl="4" w:tplc="0C0A0019">
      <w:start w:val="1"/>
      <w:numFmt w:val="lowerLetter"/>
      <w:lvlText w:val="%5."/>
      <w:lvlJc w:val="left"/>
      <w:pPr>
        <w:tabs>
          <w:tab w:val="num" w:pos="3735"/>
        </w:tabs>
        <w:ind w:left="3735" w:hanging="360"/>
      </w:pPr>
    </w:lvl>
    <w:lvl w:ilvl="5" w:tplc="0C0A001B">
      <w:start w:val="1"/>
      <w:numFmt w:val="lowerRoman"/>
      <w:lvlText w:val="%6."/>
      <w:lvlJc w:val="right"/>
      <w:pPr>
        <w:tabs>
          <w:tab w:val="num" w:pos="4455"/>
        </w:tabs>
        <w:ind w:left="4455" w:hanging="180"/>
      </w:pPr>
    </w:lvl>
    <w:lvl w:ilvl="6" w:tplc="0C0A000F">
      <w:start w:val="1"/>
      <w:numFmt w:val="decimal"/>
      <w:lvlText w:val="%7."/>
      <w:lvlJc w:val="left"/>
      <w:pPr>
        <w:tabs>
          <w:tab w:val="num" w:pos="5175"/>
        </w:tabs>
        <w:ind w:left="5175" w:hanging="360"/>
      </w:pPr>
    </w:lvl>
    <w:lvl w:ilvl="7" w:tplc="0C0A0019">
      <w:start w:val="1"/>
      <w:numFmt w:val="lowerLetter"/>
      <w:lvlText w:val="%8."/>
      <w:lvlJc w:val="left"/>
      <w:pPr>
        <w:tabs>
          <w:tab w:val="num" w:pos="5895"/>
        </w:tabs>
        <w:ind w:left="5895" w:hanging="360"/>
      </w:pPr>
    </w:lvl>
    <w:lvl w:ilvl="8" w:tplc="0C0A001B">
      <w:start w:val="1"/>
      <w:numFmt w:val="lowerRoman"/>
      <w:lvlText w:val="%9."/>
      <w:lvlJc w:val="right"/>
      <w:pPr>
        <w:tabs>
          <w:tab w:val="num" w:pos="6615"/>
        </w:tabs>
        <w:ind w:left="661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F0"/>
    <w:rsid w:val="00015B8A"/>
    <w:rsid w:val="000C601D"/>
    <w:rsid w:val="001D5387"/>
    <w:rsid w:val="0044472E"/>
    <w:rsid w:val="00606661"/>
    <w:rsid w:val="007140F0"/>
    <w:rsid w:val="00A85353"/>
    <w:rsid w:val="00B54471"/>
    <w:rsid w:val="00C5466F"/>
    <w:rsid w:val="00D84E3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0F0"/>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7140F0"/>
    <w:pPr>
      <w:keepNext/>
      <w:spacing w:line="360" w:lineRule="auto"/>
      <w:jc w:val="center"/>
      <w:outlineLvl w:val="0"/>
    </w:pPr>
    <w:rPr>
      <w:b/>
      <w:bCs/>
    </w:rPr>
  </w:style>
  <w:style w:type="paragraph" w:styleId="Ttulo2">
    <w:name w:val="heading 2"/>
    <w:basedOn w:val="Normal"/>
    <w:next w:val="Normal"/>
    <w:link w:val="Ttulo2Car"/>
    <w:semiHidden/>
    <w:unhideWhenUsed/>
    <w:qFormat/>
    <w:rsid w:val="007140F0"/>
    <w:pPr>
      <w:keepNext/>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left="495"/>
      <w:jc w:val="center"/>
      <w:outlineLvl w:val="1"/>
    </w:pPr>
    <w:rPr>
      <w:b/>
      <w:bCs/>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40F0"/>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semiHidden/>
    <w:rsid w:val="007140F0"/>
    <w:rPr>
      <w:rFonts w:ascii="Arial" w:eastAsia="Times New Roman" w:hAnsi="Arial" w:cs="Times New Roman"/>
      <w:b/>
      <w:bCs/>
      <w:spacing w:val="-3"/>
      <w:sz w:val="24"/>
      <w:szCs w:val="24"/>
      <w:lang w:val="es-ES_tradnl" w:eastAsia="es-ES"/>
    </w:rPr>
  </w:style>
  <w:style w:type="paragraph" w:styleId="Sangradetextonormal">
    <w:name w:val="Body Text Indent"/>
    <w:basedOn w:val="Normal"/>
    <w:link w:val="SangradetextonormalCar"/>
    <w:unhideWhenUsed/>
    <w:rsid w:val="007140F0"/>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left="495"/>
      <w:jc w:val="both"/>
    </w:pPr>
    <w:rPr>
      <w:spacing w:val="-3"/>
      <w:lang w:val="es-ES_tradnl"/>
    </w:rPr>
  </w:style>
  <w:style w:type="character" w:customStyle="1" w:styleId="SangradetextonormalCar">
    <w:name w:val="Sangría de texto normal Car"/>
    <w:basedOn w:val="Fuentedeprrafopredeter"/>
    <w:link w:val="Sangradetextonormal"/>
    <w:rsid w:val="007140F0"/>
    <w:rPr>
      <w:rFonts w:ascii="Arial" w:eastAsia="Times New Roman" w:hAnsi="Arial" w:cs="Times New Roman"/>
      <w:spacing w:val="-3"/>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0F0"/>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7140F0"/>
    <w:pPr>
      <w:keepNext/>
      <w:spacing w:line="360" w:lineRule="auto"/>
      <w:jc w:val="center"/>
      <w:outlineLvl w:val="0"/>
    </w:pPr>
    <w:rPr>
      <w:b/>
      <w:bCs/>
    </w:rPr>
  </w:style>
  <w:style w:type="paragraph" w:styleId="Ttulo2">
    <w:name w:val="heading 2"/>
    <w:basedOn w:val="Normal"/>
    <w:next w:val="Normal"/>
    <w:link w:val="Ttulo2Car"/>
    <w:semiHidden/>
    <w:unhideWhenUsed/>
    <w:qFormat/>
    <w:rsid w:val="007140F0"/>
    <w:pPr>
      <w:keepNext/>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left="495"/>
      <w:jc w:val="center"/>
      <w:outlineLvl w:val="1"/>
    </w:pPr>
    <w:rPr>
      <w:b/>
      <w:bCs/>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40F0"/>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semiHidden/>
    <w:rsid w:val="007140F0"/>
    <w:rPr>
      <w:rFonts w:ascii="Arial" w:eastAsia="Times New Roman" w:hAnsi="Arial" w:cs="Times New Roman"/>
      <w:b/>
      <w:bCs/>
      <w:spacing w:val="-3"/>
      <w:sz w:val="24"/>
      <w:szCs w:val="24"/>
      <w:lang w:val="es-ES_tradnl" w:eastAsia="es-ES"/>
    </w:rPr>
  </w:style>
  <w:style w:type="paragraph" w:styleId="Sangradetextonormal">
    <w:name w:val="Body Text Indent"/>
    <w:basedOn w:val="Normal"/>
    <w:link w:val="SangradetextonormalCar"/>
    <w:unhideWhenUsed/>
    <w:rsid w:val="007140F0"/>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suppressAutoHyphens/>
      <w:spacing w:line="360" w:lineRule="auto"/>
      <w:ind w:left="495"/>
      <w:jc w:val="both"/>
    </w:pPr>
    <w:rPr>
      <w:spacing w:val="-3"/>
      <w:lang w:val="es-ES_tradnl"/>
    </w:rPr>
  </w:style>
  <w:style w:type="character" w:customStyle="1" w:styleId="SangradetextonormalCar">
    <w:name w:val="Sangría de texto normal Car"/>
    <w:basedOn w:val="Fuentedeprrafopredeter"/>
    <w:link w:val="Sangradetextonormal"/>
    <w:rsid w:val="007140F0"/>
    <w:rPr>
      <w:rFonts w:ascii="Arial" w:eastAsia="Times New Roman" w:hAnsi="Arial" w:cs="Times New Roman"/>
      <w:spacing w:val="-3"/>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61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845</Words>
  <Characters>4651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5</cp:revision>
  <cp:lastPrinted>2019-03-07T14:22:00Z</cp:lastPrinted>
  <dcterms:created xsi:type="dcterms:W3CDTF">2019-03-07T14:17:00Z</dcterms:created>
  <dcterms:modified xsi:type="dcterms:W3CDTF">2019-03-07T16:32:00Z</dcterms:modified>
</cp:coreProperties>
</file>