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90" w:rsidRPr="00786EEB" w:rsidRDefault="003C1B90" w:rsidP="003C1B90">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3F522B">
        <w:rPr>
          <w:rFonts w:cs="Arial"/>
          <w:b/>
          <w:sz w:val="28"/>
          <w:szCs w:val="28"/>
          <w:lang w:val="es-ES_tradnl"/>
        </w:rPr>
        <w:t>503</w:t>
      </w:r>
      <w:r>
        <w:rPr>
          <w:rFonts w:cs="Arial"/>
          <w:b/>
          <w:sz w:val="28"/>
          <w:szCs w:val="28"/>
          <w:lang w:val="es-ES_tradnl"/>
        </w:rPr>
        <w:t>/19</w:t>
      </w:r>
    </w:p>
    <w:p w:rsidR="003C1B90" w:rsidRDefault="003C1B90" w:rsidP="003C1B90">
      <w:pPr>
        <w:tabs>
          <w:tab w:val="center" w:pos="4253"/>
        </w:tabs>
        <w:suppressAutoHyphens/>
        <w:jc w:val="right"/>
        <w:rPr>
          <w:rFonts w:cs="Arial"/>
          <w:b/>
          <w:lang w:val="es-ES_tradnl"/>
        </w:rPr>
      </w:pPr>
    </w:p>
    <w:p w:rsidR="003C1B90" w:rsidRPr="00762B34" w:rsidRDefault="003C1B90" w:rsidP="003C1B90">
      <w:pPr>
        <w:tabs>
          <w:tab w:val="center" w:pos="4253"/>
        </w:tabs>
        <w:suppressAutoHyphens/>
        <w:jc w:val="center"/>
        <w:rPr>
          <w:rFonts w:cs="Arial"/>
          <w:b/>
          <w:lang w:val="es-ES_tradnl"/>
        </w:rPr>
      </w:pPr>
      <w:r w:rsidRPr="00762B34">
        <w:rPr>
          <w:rFonts w:cs="Arial"/>
          <w:b/>
          <w:lang w:val="es-ES_tradnl"/>
        </w:rPr>
        <w:t>RESOLUCION ADOPTADA POR EL</w:t>
      </w:r>
    </w:p>
    <w:p w:rsidR="003C1B90" w:rsidRPr="00762B34" w:rsidRDefault="003C1B90" w:rsidP="003C1B90">
      <w:pPr>
        <w:tabs>
          <w:tab w:val="left" w:pos="-720"/>
        </w:tabs>
        <w:suppressAutoHyphens/>
        <w:jc w:val="center"/>
        <w:rPr>
          <w:rFonts w:cs="Arial"/>
          <w:b/>
          <w:lang w:val="es-ES_tradnl"/>
        </w:rPr>
      </w:pPr>
    </w:p>
    <w:p w:rsidR="003C1B90" w:rsidRPr="00762B34" w:rsidRDefault="003C1B90" w:rsidP="003C1B90">
      <w:pPr>
        <w:tabs>
          <w:tab w:val="center" w:pos="4253"/>
        </w:tabs>
        <w:suppressAutoHyphens/>
        <w:jc w:val="center"/>
        <w:rPr>
          <w:rFonts w:cs="Arial"/>
          <w:b/>
          <w:lang w:val="es-ES_tradnl"/>
        </w:rPr>
      </w:pPr>
      <w:r w:rsidRPr="00762B34">
        <w:rPr>
          <w:rFonts w:cs="Arial"/>
          <w:b/>
          <w:lang w:val="es-ES_tradnl"/>
        </w:rPr>
        <w:t>TRIBUNAL DE CUENTAS</w:t>
      </w:r>
    </w:p>
    <w:p w:rsidR="003C1B90" w:rsidRPr="00762B34" w:rsidRDefault="003C1B90" w:rsidP="003C1B90">
      <w:pPr>
        <w:tabs>
          <w:tab w:val="left" w:pos="-720"/>
        </w:tabs>
        <w:suppressAutoHyphens/>
        <w:jc w:val="center"/>
        <w:rPr>
          <w:rFonts w:cs="Arial"/>
          <w:b/>
          <w:lang w:val="es-ES_tradnl"/>
        </w:rPr>
      </w:pPr>
    </w:p>
    <w:p w:rsidR="003C1B90" w:rsidRPr="00762B34" w:rsidRDefault="003C1B90" w:rsidP="003C1B90">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20 DE FEBRERO </w:t>
      </w:r>
      <w:r>
        <w:rPr>
          <w:rFonts w:ascii="Helvetica" w:hAnsi="Helvetica"/>
          <w:b/>
          <w:lang w:val="es-ES_tradnl"/>
        </w:rPr>
        <w:t>DE 2019</w:t>
      </w:r>
    </w:p>
    <w:p w:rsidR="003C1B90" w:rsidRPr="00762B34" w:rsidRDefault="003C1B90" w:rsidP="003C1B90">
      <w:pPr>
        <w:tabs>
          <w:tab w:val="center" w:pos="4253"/>
        </w:tabs>
        <w:suppressAutoHyphens/>
        <w:jc w:val="center"/>
        <w:rPr>
          <w:rFonts w:cs="Arial"/>
          <w:b/>
          <w:lang w:val="es-ES_tradnl"/>
        </w:rPr>
      </w:pPr>
    </w:p>
    <w:p w:rsidR="003C1B90" w:rsidRPr="003C1B90" w:rsidRDefault="003C1B90" w:rsidP="003C1B90">
      <w:pPr>
        <w:tabs>
          <w:tab w:val="center" w:pos="4253"/>
        </w:tabs>
        <w:suppressAutoHyphens/>
        <w:jc w:val="center"/>
        <w:rPr>
          <w:rFonts w:cs="Arial"/>
          <w:b/>
        </w:rPr>
      </w:pPr>
      <w:r w:rsidRPr="003C1B90">
        <w:rPr>
          <w:rFonts w:cs="Arial"/>
          <w:b/>
        </w:rPr>
        <w:t xml:space="preserve">(E. E. Nº </w:t>
      </w:r>
      <w:r w:rsidR="00DE5897">
        <w:rPr>
          <w:rFonts w:cs="Arial"/>
          <w:b/>
        </w:rPr>
        <w:t>2018-17-1-0002905</w:t>
      </w:r>
      <w:r w:rsidRPr="003C1B90">
        <w:rPr>
          <w:rFonts w:cs="Arial"/>
          <w:b/>
        </w:rPr>
        <w:t xml:space="preserve">, </w:t>
      </w:r>
      <w:proofErr w:type="spellStart"/>
      <w:r w:rsidRPr="003C1B90">
        <w:rPr>
          <w:rFonts w:cs="Arial"/>
          <w:b/>
        </w:rPr>
        <w:t>Ent</w:t>
      </w:r>
      <w:r w:rsidR="00DE5897">
        <w:rPr>
          <w:rFonts w:cs="Arial"/>
          <w:b/>
        </w:rPr>
        <w:t>s</w:t>
      </w:r>
      <w:proofErr w:type="spellEnd"/>
      <w:r w:rsidRPr="003C1B90">
        <w:rPr>
          <w:rFonts w:cs="Arial"/>
          <w:b/>
        </w:rPr>
        <w:t>. N</w:t>
      </w:r>
      <w:r w:rsidR="00DE5897">
        <w:rPr>
          <w:rFonts w:cs="Arial"/>
          <w:b/>
        </w:rPr>
        <w:t>os. 2144/18 y 5945/18</w:t>
      </w:r>
      <w:r w:rsidRPr="003C1B90">
        <w:rPr>
          <w:rFonts w:cs="Arial"/>
          <w:b/>
        </w:rPr>
        <w:t>)</w:t>
      </w:r>
    </w:p>
    <w:p w:rsidR="003C1B90" w:rsidRPr="003C1B90" w:rsidRDefault="003C1B90" w:rsidP="003C1B90">
      <w:pPr>
        <w:tabs>
          <w:tab w:val="center" w:pos="4253"/>
        </w:tabs>
        <w:suppressAutoHyphens/>
        <w:jc w:val="center"/>
        <w:rPr>
          <w:rFonts w:ascii="Helvetica" w:hAnsi="Helvetica"/>
          <w:b/>
        </w:rPr>
      </w:pPr>
    </w:p>
    <w:p w:rsidR="003C1B90" w:rsidRPr="003C1B90" w:rsidRDefault="003C1B90" w:rsidP="003C1B90">
      <w:pPr>
        <w:tabs>
          <w:tab w:val="center" w:pos="4253"/>
        </w:tabs>
        <w:suppressAutoHyphens/>
        <w:jc w:val="right"/>
        <w:rPr>
          <w:spacing w:val="-3"/>
        </w:rPr>
      </w:pPr>
    </w:p>
    <w:p w:rsidR="0093459B" w:rsidRPr="0093459B" w:rsidRDefault="0093459B" w:rsidP="0093459B">
      <w:pPr>
        <w:rPr>
          <w:color w:val="FF0000"/>
        </w:rPr>
      </w:pPr>
    </w:p>
    <w:p w:rsidR="0093459B" w:rsidRPr="0093459B" w:rsidRDefault="0093459B" w:rsidP="003F522B">
      <w:pPr>
        <w:spacing w:line="360" w:lineRule="auto"/>
        <w:ind w:firstLine="851"/>
        <w:jc w:val="both"/>
        <w:rPr>
          <w:rFonts w:cs="Arial"/>
        </w:rPr>
      </w:pPr>
      <w:r w:rsidRPr="0093459B">
        <w:rPr>
          <w:rFonts w:cs="Arial"/>
          <w:b/>
        </w:rPr>
        <w:t>VISTO:</w:t>
      </w:r>
      <w:r w:rsidRPr="0093459B">
        <w:rPr>
          <w:rFonts w:cs="Arial"/>
        </w:rPr>
        <w:t xml:space="preserve"> que este Tribunal ha examinado los estados financieros del Segundo Fidecomiso Financiero de Recuperación de Carteras BROU (Fidecomiso II) que comprenden el Estado de Situación Financiera al 31/12/2017, los correspondientes Estados de Resultados, de</w:t>
      </w:r>
      <w:r w:rsidR="00980337">
        <w:rPr>
          <w:rFonts w:cs="Arial"/>
        </w:rPr>
        <w:t>l</w:t>
      </w:r>
      <w:r w:rsidRPr="0093459B">
        <w:rPr>
          <w:rFonts w:cs="Arial"/>
        </w:rPr>
        <w:t xml:space="preserve"> Resul</w:t>
      </w:r>
      <w:r w:rsidR="00980337">
        <w:rPr>
          <w:rFonts w:cs="Arial"/>
        </w:rPr>
        <w:t>tado  Integral</w:t>
      </w:r>
      <w:r w:rsidRPr="0093459B">
        <w:rPr>
          <w:rFonts w:cs="Arial"/>
        </w:rPr>
        <w:t>, de Flujos de Efectivo y de Cambios en el Patrimonio por el ejercicio anual finalizado en esa fecha, las notas de políticas contables significativas y otras notas explicativas a los estados financieros;</w:t>
      </w:r>
    </w:p>
    <w:p w:rsidR="0093459B" w:rsidRPr="0093459B" w:rsidRDefault="0093459B" w:rsidP="003F522B">
      <w:pPr>
        <w:spacing w:line="360" w:lineRule="auto"/>
        <w:ind w:firstLine="851"/>
        <w:jc w:val="both"/>
        <w:rPr>
          <w:rFonts w:cs="Arial"/>
        </w:rPr>
      </w:pPr>
      <w:r w:rsidRPr="0093459B">
        <w:rPr>
          <w:rFonts w:cs="Arial"/>
          <w:b/>
        </w:rPr>
        <w:t xml:space="preserve">RESULTANDO: </w:t>
      </w:r>
      <w:r w:rsidRPr="0093459B">
        <w:rPr>
          <w:rFonts w:cs="Arial"/>
        </w:rPr>
        <w:t>que el examen se efectuó de acuerdo con los Principios Fundamentales de Auditoría (ISSAI 100 y 200) y las Directrices de Auditoría Financiera (ISSAI 1000 a 1810) de la Organización Internacional de Entidades Fiscalizadoras Superiores (INTOSAI)</w:t>
      </w:r>
      <w:r w:rsidRPr="00986BF4">
        <w:rPr>
          <w:rFonts w:cs="Arial"/>
        </w:rPr>
        <w:t>;</w:t>
      </w:r>
    </w:p>
    <w:p w:rsidR="0093459B" w:rsidRPr="0093459B" w:rsidRDefault="0093459B" w:rsidP="003F522B">
      <w:pPr>
        <w:spacing w:line="360" w:lineRule="auto"/>
        <w:ind w:firstLine="851"/>
        <w:jc w:val="both"/>
        <w:rPr>
          <w:rFonts w:cs="Arial"/>
        </w:rPr>
      </w:pPr>
      <w:r w:rsidRPr="0093459B">
        <w:rPr>
          <w:b/>
        </w:rPr>
        <w:t>CONSIDERANDO:</w:t>
      </w:r>
      <w:r w:rsidRPr="0093459B">
        <w:t xml:space="preserve"> que las conclusiones y evidencias obtenidas son las que se expresan en el Informe de Auditoría, que incluyen </w:t>
      </w:r>
      <w:r w:rsidR="003F522B" w:rsidRPr="0093459B">
        <w:t>Dictamen</w:t>
      </w:r>
      <w:r w:rsidRPr="0093459B">
        <w:t xml:space="preserve"> e Informe a la Administración</w:t>
      </w:r>
      <w:r w:rsidRPr="0093459B">
        <w:rPr>
          <w:rFonts w:cs="Arial"/>
        </w:rPr>
        <w:t>;</w:t>
      </w:r>
    </w:p>
    <w:p w:rsidR="0093459B" w:rsidRDefault="0093459B" w:rsidP="003F522B">
      <w:pPr>
        <w:spacing w:line="360" w:lineRule="auto"/>
        <w:ind w:firstLine="851"/>
        <w:jc w:val="both"/>
      </w:pPr>
      <w:r w:rsidRPr="0093459B">
        <w:rPr>
          <w:b/>
        </w:rPr>
        <w:t>ATENTO:</w:t>
      </w:r>
      <w:r w:rsidRPr="0093459B">
        <w:t xml:space="preserve"> a lo dispuesto por el Artículo 191 de la Constitución de la República;</w:t>
      </w:r>
    </w:p>
    <w:p w:rsidR="003F522B" w:rsidRDefault="003F522B" w:rsidP="003F522B">
      <w:pPr>
        <w:spacing w:line="360" w:lineRule="auto"/>
        <w:ind w:firstLine="851"/>
        <w:jc w:val="both"/>
      </w:pPr>
    </w:p>
    <w:p w:rsidR="003F522B" w:rsidRDefault="003F522B" w:rsidP="003F522B">
      <w:pPr>
        <w:spacing w:line="360" w:lineRule="auto"/>
        <w:ind w:firstLine="851"/>
        <w:jc w:val="both"/>
      </w:pPr>
    </w:p>
    <w:p w:rsidR="003F522B" w:rsidRDefault="003F522B" w:rsidP="003F522B">
      <w:pPr>
        <w:spacing w:line="360" w:lineRule="auto"/>
        <w:ind w:firstLine="851"/>
        <w:jc w:val="both"/>
      </w:pPr>
    </w:p>
    <w:p w:rsidR="003F522B" w:rsidRDefault="003F522B" w:rsidP="003F522B">
      <w:pPr>
        <w:spacing w:line="360" w:lineRule="auto"/>
        <w:ind w:firstLine="851"/>
        <w:jc w:val="both"/>
      </w:pPr>
    </w:p>
    <w:p w:rsidR="003F522B" w:rsidRPr="0093459B" w:rsidRDefault="003F522B" w:rsidP="003F522B">
      <w:pPr>
        <w:spacing w:line="360" w:lineRule="auto"/>
        <w:ind w:firstLine="851"/>
        <w:jc w:val="both"/>
      </w:pPr>
    </w:p>
    <w:p w:rsidR="0093459B" w:rsidRPr="0093459B" w:rsidRDefault="0093459B" w:rsidP="0093459B">
      <w:pPr>
        <w:spacing w:line="360" w:lineRule="auto"/>
        <w:jc w:val="center"/>
        <w:rPr>
          <w:b/>
        </w:rPr>
      </w:pPr>
      <w:r w:rsidRPr="0093459B">
        <w:rPr>
          <w:b/>
        </w:rPr>
        <w:lastRenderedPageBreak/>
        <w:t>El TRIBUNAL ACUERDA</w:t>
      </w:r>
    </w:p>
    <w:p w:rsidR="0093459B" w:rsidRPr="0093459B" w:rsidRDefault="003F522B" w:rsidP="003F522B">
      <w:pPr>
        <w:spacing w:line="360" w:lineRule="auto"/>
        <w:ind w:left="426" w:hanging="426"/>
        <w:jc w:val="both"/>
        <w:rPr>
          <w:rFonts w:cs="Arial"/>
        </w:rPr>
      </w:pPr>
      <w:r w:rsidRPr="003F522B">
        <w:rPr>
          <w:rFonts w:cs="Arial"/>
          <w:b/>
        </w:rPr>
        <w:t>1)</w:t>
      </w:r>
      <w:r>
        <w:rPr>
          <w:rFonts w:cs="Arial"/>
        </w:rPr>
        <w:t xml:space="preserve"> </w:t>
      </w:r>
      <w:r w:rsidR="0093459B" w:rsidRPr="0093459B">
        <w:rPr>
          <w:rFonts w:cs="Arial"/>
        </w:rPr>
        <w:t>Emitir su Dictamen respecto a los estados financieros citados precedentemente en los términos del Informe de Auditoría que se adjunta;</w:t>
      </w:r>
    </w:p>
    <w:p w:rsidR="0093459B" w:rsidRPr="0093459B" w:rsidRDefault="003F522B" w:rsidP="003F522B">
      <w:pPr>
        <w:spacing w:line="360" w:lineRule="auto"/>
        <w:ind w:left="426" w:hanging="426"/>
        <w:jc w:val="both"/>
        <w:rPr>
          <w:rFonts w:cs="Arial"/>
        </w:rPr>
      </w:pPr>
      <w:r w:rsidRPr="003F522B">
        <w:rPr>
          <w:rFonts w:cs="Arial"/>
          <w:b/>
        </w:rPr>
        <w:t>2)</w:t>
      </w:r>
      <w:r>
        <w:rPr>
          <w:rFonts w:cs="Arial"/>
        </w:rPr>
        <w:t xml:space="preserve"> </w:t>
      </w:r>
      <w:r w:rsidR="0093459B" w:rsidRPr="0093459B">
        <w:rPr>
          <w:rFonts w:cs="Arial"/>
        </w:rPr>
        <w:t>A los efectos dispuestos por el Artículo 191 de la Constitución de la República, el fiduciario deberá publicar los estados financieros y el Dictamen incluido en el Informe de Auditoría de acuerdo a lo dispuesto por el Artículo 190 de la Ley N° 19.438;</w:t>
      </w:r>
    </w:p>
    <w:p w:rsidR="0093459B" w:rsidRDefault="008014A5" w:rsidP="003F522B">
      <w:pPr>
        <w:spacing w:line="360" w:lineRule="auto"/>
        <w:ind w:left="284"/>
        <w:jc w:val="both"/>
        <w:rPr>
          <w:rFonts w:cs="Arial"/>
        </w:rPr>
      </w:pPr>
      <w:r>
        <w:rPr>
          <w:rFonts w:cs="Arial"/>
          <w:b/>
        </w:rPr>
        <w:t>3</w:t>
      </w:r>
      <w:r w:rsidR="0093459B" w:rsidRPr="0093459B">
        <w:rPr>
          <w:rFonts w:cs="Arial"/>
          <w:b/>
        </w:rPr>
        <w:t>)</w:t>
      </w:r>
      <w:r w:rsidR="0093459B" w:rsidRPr="0093459B">
        <w:rPr>
          <w:rFonts w:cs="Arial"/>
        </w:rPr>
        <w:t xml:space="preserve"> Comunicar la presente Resolución al fideicomitente Banco de la República Oriental del Uruguay, al fiduciario República AFISA y a la </w:t>
      </w:r>
      <w:r w:rsidR="00986BF4">
        <w:rPr>
          <w:rFonts w:cs="Arial"/>
        </w:rPr>
        <w:t>Auditoría Interna de la Nación.</w:t>
      </w:r>
    </w:p>
    <w:p w:rsidR="003F522B" w:rsidRDefault="003F522B" w:rsidP="003F522B">
      <w:pPr>
        <w:spacing w:line="360" w:lineRule="auto"/>
        <w:ind w:left="284"/>
        <w:jc w:val="both"/>
        <w:rPr>
          <w:rFonts w:cs="Arial"/>
        </w:rPr>
      </w:pPr>
    </w:p>
    <w:p w:rsidR="003F522B" w:rsidRPr="0093459B" w:rsidRDefault="003F522B" w:rsidP="003F522B">
      <w:pPr>
        <w:spacing w:line="360" w:lineRule="auto"/>
        <w:ind w:left="284"/>
        <w:jc w:val="both"/>
        <w:rPr>
          <w:rFonts w:cs="Arial"/>
        </w:rPr>
      </w:pPr>
      <w:r>
        <w:rPr>
          <w:rFonts w:cs="Arial"/>
        </w:rPr>
        <w:t>ag</w:t>
      </w:r>
    </w:p>
    <w:p w:rsidR="0093459B" w:rsidRPr="0093459B" w:rsidRDefault="0093459B" w:rsidP="0093459B">
      <w:pPr>
        <w:spacing w:line="360" w:lineRule="auto"/>
        <w:ind w:left="709" w:hanging="283"/>
        <w:jc w:val="both"/>
        <w:rPr>
          <w:rFonts w:cs="Arial"/>
        </w:rPr>
      </w:pPr>
    </w:p>
    <w:p w:rsidR="0093459B" w:rsidRPr="0093459B" w:rsidRDefault="0093459B" w:rsidP="0093459B">
      <w:pPr>
        <w:spacing w:line="360" w:lineRule="auto"/>
        <w:ind w:left="709" w:hanging="283"/>
        <w:jc w:val="both"/>
        <w:rPr>
          <w:rFonts w:cs="Arial"/>
        </w:rPr>
      </w:pPr>
    </w:p>
    <w:p w:rsidR="0093459B" w:rsidRPr="0093459B" w:rsidRDefault="0093459B" w:rsidP="0093459B">
      <w:pPr>
        <w:spacing w:line="360" w:lineRule="auto"/>
        <w:ind w:left="709" w:hanging="283"/>
        <w:jc w:val="both"/>
        <w:rPr>
          <w:rFonts w:cs="Arial"/>
        </w:rPr>
      </w:pPr>
    </w:p>
    <w:p w:rsidR="0092243F" w:rsidRDefault="0092243F"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Pr="00434930" w:rsidRDefault="009031A6" w:rsidP="00D91715">
      <w:pPr>
        <w:spacing w:line="360" w:lineRule="auto"/>
        <w:jc w:val="center"/>
        <w:rPr>
          <w:rFonts w:cs="Arial"/>
          <w:b/>
        </w:rPr>
      </w:pPr>
      <w:r>
        <w:rPr>
          <w:rFonts w:cs="Arial"/>
          <w:b/>
        </w:rPr>
        <w:lastRenderedPageBreak/>
        <w:t>DICTAMEN</w:t>
      </w:r>
    </w:p>
    <w:p w:rsidR="009031A6" w:rsidRDefault="009031A6" w:rsidP="00D91715">
      <w:pPr>
        <w:spacing w:line="360" w:lineRule="auto"/>
        <w:jc w:val="both"/>
        <w:rPr>
          <w:rFonts w:cs="Arial"/>
        </w:rPr>
      </w:pPr>
    </w:p>
    <w:p w:rsidR="009031A6" w:rsidRPr="006F4F60" w:rsidRDefault="009031A6" w:rsidP="00D91715">
      <w:pPr>
        <w:spacing w:line="360" w:lineRule="auto"/>
        <w:jc w:val="both"/>
        <w:rPr>
          <w:rFonts w:cs="Arial"/>
          <w:b/>
        </w:rPr>
      </w:pPr>
      <w:r w:rsidRPr="00D31BF7">
        <w:rPr>
          <w:rFonts w:cs="Arial"/>
          <w:b/>
        </w:rPr>
        <w:t>Opinión</w:t>
      </w:r>
      <w:r>
        <w:rPr>
          <w:rFonts w:cs="Arial"/>
          <w:b/>
        </w:rPr>
        <w:t xml:space="preserve"> con salvedades</w:t>
      </w:r>
    </w:p>
    <w:p w:rsidR="009031A6" w:rsidRPr="00916588" w:rsidRDefault="009031A6" w:rsidP="00D91715">
      <w:pPr>
        <w:jc w:val="both"/>
        <w:rPr>
          <w:rFonts w:cs="Arial"/>
          <w:sz w:val="18"/>
          <w:szCs w:val="18"/>
        </w:rPr>
      </w:pPr>
    </w:p>
    <w:p w:rsidR="009031A6" w:rsidRPr="006F4F60" w:rsidRDefault="009031A6" w:rsidP="00D91715">
      <w:pPr>
        <w:spacing w:line="360" w:lineRule="auto"/>
        <w:jc w:val="both"/>
        <w:rPr>
          <w:rFonts w:cs="Arial"/>
        </w:rPr>
      </w:pPr>
      <w:r>
        <w:rPr>
          <w:rFonts w:cs="Arial"/>
        </w:rPr>
        <w:t>El Tribunal de Cuentas ha</w:t>
      </w:r>
      <w:r w:rsidRPr="004C1F67">
        <w:rPr>
          <w:rFonts w:cs="Arial"/>
        </w:rPr>
        <w:t xml:space="preserve"> </w:t>
      </w:r>
      <w:r>
        <w:rPr>
          <w:rFonts w:cs="Arial"/>
        </w:rPr>
        <w:t xml:space="preserve">auditado los estados financieros </w:t>
      </w:r>
      <w:r w:rsidRPr="00244442">
        <w:rPr>
          <w:rFonts w:cs="Arial"/>
        </w:rPr>
        <w:t>de</w:t>
      </w:r>
      <w:r>
        <w:rPr>
          <w:rFonts w:cs="Arial"/>
        </w:rPr>
        <w:t xml:space="preserve">l Segundo Fidecomiso Financiero de Recuperación de Carteras BROU (Fidecomiso II) </w:t>
      </w:r>
      <w:r w:rsidRPr="004C1F67">
        <w:rPr>
          <w:rFonts w:cs="Arial"/>
        </w:rPr>
        <w:t xml:space="preserve"> </w:t>
      </w:r>
      <w:r>
        <w:rPr>
          <w:rFonts w:cs="Arial"/>
        </w:rPr>
        <w:t>los que</w:t>
      </w:r>
      <w:r w:rsidRPr="004C1F67">
        <w:rPr>
          <w:rFonts w:cs="Arial"/>
        </w:rPr>
        <w:t xml:space="preserve"> </w:t>
      </w:r>
      <w:r w:rsidRPr="0056196D">
        <w:rPr>
          <w:rFonts w:cs="Arial"/>
        </w:rPr>
        <w:t xml:space="preserve">comprenden el Estado de </w:t>
      </w:r>
      <w:r>
        <w:rPr>
          <w:rFonts w:cs="Arial"/>
        </w:rPr>
        <w:t>s</w:t>
      </w:r>
      <w:r w:rsidRPr="0056196D">
        <w:rPr>
          <w:rFonts w:cs="Arial"/>
        </w:rPr>
        <w:t xml:space="preserve">ituación </w:t>
      </w:r>
      <w:r>
        <w:rPr>
          <w:rFonts w:cs="Arial"/>
        </w:rPr>
        <w:t>f</w:t>
      </w:r>
      <w:r w:rsidRPr="0056196D">
        <w:rPr>
          <w:rFonts w:cs="Arial"/>
        </w:rPr>
        <w:t xml:space="preserve">inanciera al </w:t>
      </w:r>
      <w:r>
        <w:rPr>
          <w:rFonts w:cs="Arial"/>
        </w:rPr>
        <w:t>31/12/2017</w:t>
      </w:r>
      <w:r w:rsidRPr="0056196D">
        <w:rPr>
          <w:rFonts w:cs="Arial"/>
        </w:rPr>
        <w:t xml:space="preserve">, los correspondientes Estados de </w:t>
      </w:r>
      <w:r>
        <w:rPr>
          <w:rFonts w:cs="Arial"/>
        </w:rPr>
        <w:t>r</w:t>
      </w:r>
      <w:r w:rsidRPr="0056196D">
        <w:rPr>
          <w:rFonts w:cs="Arial"/>
        </w:rPr>
        <w:t>esultados</w:t>
      </w:r>
      <w:r>
        <w:rPr>
          <w:rFonts w:cs="Arial"/>
        </w:rPr>
        <w:t>, del resultado</w:t>
      </w:r>
      <w:r w:rsidRPr="0056196D">
        <w:rPr>
          <w:rFonts w:cs="Arial"/>
        </w:rPr>
        <w:t xml:space="preserve"> </w:t>
      </w:r>
      <w:r>
        <w:rPr>
          <w:rFonts w:cs="Arial"/>
        </w:rPr>
        <w:t>i</w:t>
      </w:r>
      <w:r w:rsidRPr="0056196D">
        <w:rPr>
          <w:rFonts w:cs="Arial"/>
        </w:rPr>
        <w:t xml:space="preserve">ntegral, de </w:t>
      </w:r>
      <w:r>
        <w:rPr>
          <w:rFonts w:cs="Arial"/>
        </w:rPr>
        <w:t>f</w:t>
      </w:r>
      <w:r w:rsidRPr="0056196D">
        <w:rPr>
          <w:rFonts w:cs="Arial"/>
        </w:rPr>
        <w:t xml:space="preserve">lujos de </w:t>
      </w:r>
      <w:r>
        <w:rPr>
          <w:rFonts w:cs="Arial"/>
        </w:rPr>
        <w:t>e</w:t>
      </w:r>
      <w:r w:rsidRPr="0056196D">
        <w:rPr>
          <w:rFonts w:cs="Arial"/>
        </w:rPr>
        <w:t xml:space="preserve">fectivo y de </w:t>
      </w:r>
      <w:r>
        <w:rPr>
          <w:rFonts w:cs="Arial"/>
        </w:rPr>
        <w:t>c</w:t>
      </w:r>
      <w:r w:rsidRPr="0056196D">
        <w:rPr>
          <w:rFonts w:cs="Arial"/>
        </w:rPr>
        <w:t xml:space="preserve">ambios en el </w:t>
      </w:r>
      <w:r>
        <w:rPr>
          <w:rFonts w:cs="Arial"/>
        </w:rPr>
        <w:t>p</w:t>
      </w:r>
      <w:r w:rsidRPr="0056196D">
        <w:rPr>
          <w:rFonts w:cs="Arial"/>
        </w:rPr>
        <w:t>atrimonio</w:t>
      </w:r>
      <w:r>
        <w:rPr>
          <w:rFonts w:cs="Arial"/>
        </w:rPr>
        <w:t xml:space="preserve"> neto fiduciario</w:t>
      </w:r>
      <w:r w:rsidRPr="0056196D">
        <w:rPr>
          <w:rFonts w:cs="Arial"/>
        </w:rPr>
        <w:t xml:space="preserve"> por el ejercicio anual finalizado en esa fecha, las notas de políticas contables significativas</w:t>
      </w:r>
      <w:r w:rsidRPr="004C1F67">
        <w:rPr>
          <w:rFonts w:cs="Arial"/>
        </w:rPr>
        <w:t xml:space="preserve"> </w:t>
      </w:r>
      <w:r>
        <w:rPr>
          <w:rFonts w:cs="Arial"/>
        </w:rPr>
        <w:t xml:space="preserve">aplicadas </w:t>
      </w:r>
      <w:r w:rsidRPr="004C1F67">
        <w:rPr>
          <w:rFonts w:cs="Arial"/>
        </w:rPr>
        <w:t>y otras notas explicativas</w:t>
      </w:r>
      <w:r>
        <w:rPr>
          <w:rFonts w:cs="Arial"/>
        </w:rPr>
        <w:t>.</w:t>
      </w:r>
    </w:p>
    <w:p w:rsidR="009031A6" w:rsidRPr="006F4F60" w:rsidRDefault="009031A6" w:rsidP="00D91715">
      <w:pPr>
        <w:spacing w:line="360" w:lineRule="auto"/>
        <w:jc w:val="both"/>
        <w:rPr>
          <w:rFonts w:cs="Arial"/>
        </w:rPr>
      </w:pPr>
      <w:r w:rsidRPr="00562625">
        <w:rPr>
          <w:rFonts w:cs="Arial"/>
        </w:rPr>
        <w:t xml:space="preserve">En opinión del Tribunal de Cuentas, excepto por los efectos de aquellos ajustes, de </w:t>
      </w:r>
      <w:r>
        <w:rPr>
          <w:rFonts w:cs="Arial"/>
        </w:rPr>
        <w:t>haberse requerido</w:t>
      </w:r>
      <w:r w:rsidRPr="00562625">
        <w:rPr>
          <w:rFonts w:cs="Arial"/>
        </w:rPr>
        <w:t xml:space="preserve"> alguno, según lo expresado en el párrafo </w:t>
      </w:r>
      <w:r>
        <w:rPr>
          <w:rFonts w:cs="Arial"/>
        </w:rPr>
        <w:t xml:space="preserve">Bases para la Opinión Calificada, los estados financieros </w:t>
      </w:r>
      <w:r w:rsidRPr="00562625">
        <w:rPr>
          <w:rFonts w:cs="Arial"/>
        </w:rPr>
        <w:t xml:space="preserve">referidos precedentemente </w:t>
      </w:r>
      <w:r>
        <w:rPr>
          <w:rFonts w:cs="Arial"/>
        </w:rPr>
        <w:t xml:space="preserve">presentan razonablemente, en todos sus aspectos significativos, la situación financiera  del Fidecomiso II </w:t>
      </w:r>
      <w:r w:rsidRPr="00546C06">
        <w:rPr>
          <w:rFonts w:cs="Arial"/>
        </w:rPr>
        <w:t xml:space="preserve">al </w:t>
      </w:r>
      <w:r>
        <w:rPr>
          <w:rFonts w:cs="Arial"/>
        </w:rPr>
        <w:t>31/12/2017</w:t>
      </w:r>
      <w:r w:rsidRPr="00546C06">
        <w:rPr>
          <w:rFonts w:cs="Arial"/>
        </w:rPr>
        <w:t xml:space="preserve">, los resultados de sus operaciones y los flujos de efectivo correspondientes al ejercicio anual terminado en esa fecha, de acuerdo con </w:t>
      </w:r>
      <w:r>
        <w:rPr>
          <w:rFonts w:cs="Arial"/>
        </w:rPr>
        <w:t>las normas contables adecuadas en Uruguay aplicables al fideicomiso, las Normas Particulares 3.8 y 3.12 del Banco Central del Uruguay (BCU) y la Ordenanza Nº 89 del Tribunal de Cuentas.</w:t>
      </w:r>
    </w:p>
    <w:p w:rsidR="009031A6" w:rsidRPr="00F328EA" w:rsidRDefault="009031A6" w:rsidP="00D91715">
      <w:pPr>
        <w:jc w:val="both"/>
        <w:rPr>
          <w:rFonts w:cs="Arial"/>
        </w:rPr>
      </w:pPr>
    </w:p>
    <w:p w:rsidR="009031A6" w:rsidRDefault="009031A6" w:rsidP="00D91715">
      <w:pPr>
        <w:jc w:val="both"/>
        <w:rPr>
          <w:rFonts w:cs="Arial"/>
          <w:b/>
        </w:rPr>
      </w:pPr>
      <w:r w:rsidRPr="00D31BF7">
        <w:rPr>
          <w:rFonts w:cs="Arial"/>
          <w:b/>
        </w:rPr>
        <w:t>Bases para la Opinión</w:t>
      </w:r>
      <w:r>
        <w:rPr>
          <w:rFonts w:cs="Arial"/>
          <w:b/>
        </w:rPr>
        <w:t xml:space="preserve"> con salvedad</w:t>
      </w:r>
    </w:p>
    <w:p w:rsidR="009031A6" w:rsidRDefault="009031A6" w:rsidP="00D91715">
      <w:pPr>
        <w:jc w:val="both"/>
        <w:rPr>
          <w:rFonts w:cs="Arial"/>
          <w:b/>
        </w:rPr>
      </w:pPr>
    </w:p>
    <w:p w:rsidR="009031A6" w:rsidRDefault="009031A6" w:rsidP="00D91715">
      <w:pPr>
        <w:spacing w:line="360" w:lineRule="auto"/>
        <w:jc w:val="both"/>
        <w:rPr>
          <w:rFonts w:cs="Arial"/>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La responsabilidad del Tribunal </w:t>
      </w:r>
      <w:r w:rsidRPr="00202CDB">
        <w:rPr>
          <w:rFonts w:cs="Arial"/>
        </w:rPr>
        <w:t xml:space="preserve">bajo estas normas se describe con más detalle en la sección de </w:t>
      </w:r>
      <w:r w:rsidRPr="00F328EA">
        <w:rPr>
          <w:rFonts w:cs="Arial"/>
        </w:rPr>
        <w:t>Responsabilidad del Tribunal de Cuentas por la auditoría de los estados financieros</w:t>
      </w:r>
      <w:r>
        <w:rPr>
          <w:rFonts w:cs="Arial"/>
        </w:rPr>
        <w:t xml:space="preserve">. </w:t>
      </w:r>
      <w:r w:rsidRPr="00C362C2">
        <w:rPr>
          <w:rFonts w:cs="Arial"/>
        </w:rPr>
        <w:t>E</w:t>
      </w:r>
      <w:r>
        <w:rPr>
          <w:rFonts w:cs="Arial"/>
        </w:rPr>
        <w:t>ste</w:t>
      </w:r>
      <w:r w:rsidRPr="00C362C2">
        <w:rPr>
          <w:rFonts w:cs="Arial"/>
        </w:rPr>
        <w:t xml:space="preserve"> Tribunal es independiente </w:t>
      </w:r>
      <w:r w:rsidRPr="00244442">
        <w:rPr>
          <w:rFonts w:cs="Arial"/>
        </w:rPr>
        <w:t>de</w:t>
      </w:r>
      <w:r>
        <w:rPr>
          <w:rFonts w:cs="Arial"/>
        </w:rPr>
        <w:t>l Fidecomiso II</w:t>
      </w:r>
      <w:r w:rsidRPr="00C362C2">
        <w:rPr>
          <w:rFonts w:cs="Arial"/>
        </w:rPr>
        <w:t xml:space="preserve"> y ha</w:t>
      </w:r>
      <w:r>
        <w:rPr>
          <w:rFonts w:cs="Arial"/>
        </w:rPr>
        <w:t xml:space="preserve"> cumplido c</w:t>
      </w:r>
      <w:r w:rsidRPr="00542A07">
        <w:rPr>
          <w:rFonts w:cs="Arial"/>
        </w:rPr>
        <w:t>on las disposiciones de</w:t>
      </w:r>
      <w:r>
        <w:rPr>
          <w:rFonts w:cs="Arial"/>
        </w:rPr>
        <w:t xml:space="preserve"> su</w:t>
      </w:r>
      <w:r w:rsidRPr="00542A07">
        <w:rPr>
          <w:rFonts w:cs="Arial"/>
        </w:rPr>
        <w:t xml:space="preserve"> Código de Ética</w:t>
      </w:r>
      <w:r>
        <w:rPr>
          <w:rFonts w:cs="Arial"/>
        </w:rPr>
        <w:t xml:space="preserve">, elaborado en concordancia con el Código de Ética de la INTOSAI. Se considera que la evidencia de auditoría obtenida es suficiente </w:t>
      </w:r>
      <w:r w:rsidRPr="00C362C2">
        <w:rPr>
          <w:rFonts w:cs="Arial"/>
        </w:rPr>
        <w:t>y adecuada para pr</w:t>
      </w:r>
      <w:r>
        <w:rPr>
          <w:rFonts w:cs="Arial"/>
        </w:rPr>
        <w:t>oporcionar una base razonable para s</w:t>
      </w:r>
      <w:r w:rsidR="00986BF4">
        <w:rPr>
          <w:rFonts w:cs="Arial"/>
        </w:rPr>
        <w:t>ustentar la opinión calificada.</w:t>
      </w:r>
    </w:p>
    <w:p w:rsidR="009031A6" w:rsidRDefault="009031A6" w:rsidP="00E511A4">
      <w:pPr>
        <w:pStyle w:val="Prrafodelista"/>
        <w:numPr>
          <w:ilvl w:val="0"/>
          <w:numId w:val="23"/>
        </w:numPr>
        <w:spacing w:line="360" w:lineRule="auto"/>
        <w:jc w:val="both"/>
        <w:rPr>
          <w:rFonts w:cs="Arial"/>
        </w:rPr>
      </w:pPr>
      <w:r w:rsidRPr="00E511A4">
        <w:rPr>
          <w:rFonts w:cs="Arial"/>
        </w:rPr>
        <w:t xml:space="preserve">En el capítulo Créditos del Activo se incluyen </w:t>
      </w:r>
      <w:r>
        <w:rPr>
          <w:rFonts w:cs="Arial"/>
        </w:rPr>
        <w:t>deducidas</w:t>
      </w:r>
      <w:r w:rsidRPr="00E511A4">
        <w:rPr>
          <w:rFonts w:cs="Arial"/>
        </w:rPr>
        <w:t xml:space="preserve"> cobranzas a imputar por U$S 164.394, </w:t>
      </w:r>
      <w:r>
        <w:rPr>
          <w:rFonts w:cs="Arial"/>
        </w:rPr>
        <w:t xml:space="preserve">ya que no se cuenta con información para identificar a </w:t>
      </w:r>
      <w:r w:rsidRPr="00E511A4">
        <w:rPr>
          <w:rFonts w:cs="Arial"/>
        </w:rPr>
        <w:t>l</w:t>
      </w:r>
      <w:r>
        <w:rPr>
          <w:rFonts w:cs="Arial"/>
        </w:rPr>
        <w:t>os</w:t>
      </w:r>
      <w:r w:rsidRPr="00E511A4">
        <w:rPr>
          <w:rFonts w:cs="Arial"/>
        </w:rPr>
        <w:t xml:space="preserve"> deudor</w:t>
      </w:r>
      <w:r>
        <w:rPr>
          <w:rFonts w:cs="Arial"/>
        </w:rPr>
        <w:t>es</w:t>
      </w:r>
      <w:r w:rsidRPr="00E511A4">
        <w:rPr>
          <w:rFonts w:cs="Arial"/>
        </w:rPr>
        <w:t xml:space="preserve"> correspondiente</w:t>
      </w:r>
      <w:r>
        <w:rPr>
          <w:rFonts w:cs="Arial"/>
        </w:rPr>
        <w:t>s</w:t>
      </w:r>
      <w:r w:rsidR="00986BF4">
        <w:rPr>
          <w:rFonts w:cs="Arial"/>
        </w:rPr>
        <w:t>.</w:t>
      </w:r>
    </w:p>
    <w:p w:rsidR="009031A6" w:rsidRPr="00E511A4" w:rsidRDefault="009031A6" w:rsidP="00D91715">
      <w:pPr>
        <w:pStyle w:val="Prrafodelista"/>
        <w:numPr>
          <w:ilvl w:val="0"/>
          <w:numId w:val="23"/>
        </w:numPr>
        <w:spacing w:line="360" w:lineRule="auto"/>
        <w:jc w:val="both"/>
        <w:rPr>
          <w:rFonts w:cs="Arial"/>
        </w:rPr>
      </w:pPr>
      <w:r>
        <w:rPr>
          <w:rFonts w:cs="Arial"/>
        </w:rPr>
        <w:t>L</w:t>
      </w:r>
      <w:r w:rsidRPr="00E511A4">
        <w:rPr>
          <w:rFonts w:cs="Arial"/>
        </w:rPr>
        <w:t>os activos y pasivos no fueron clasificados en</w:t>
      </w:r>
      <w:r>
        <w:rPr>
          <w:rFonts w:cs="Arial"/>
        </w:rPr>
        <w:t xml:space="preserve"> su porción</w:t>
      </w:r>
      <w:r w:rsidRPr="00E511A4">
        <w:rPr>
          <w:rFonts w:cs="Arial"/>
        </w:rPr>
        <w:t xml:space="preserve"> corriente y no corriente.</w:t>
      </w:r>
      <w:r>
        <w:rPr>
          <w:rFonts w:cs="Arial"/>
        </w:rPr>
        <w:t xml:space="preserve"> </w:t>
      </w:r>
      <w:r w:rsidRPr="00E511A4">
        <w:rPr>
          <w:rFonts w:cs="Arial"/>
        </w:rPr>
        <w:t xml:space="preserve">No fue posible obtener evidencia suficiente </w:t>
      </w:r>
      <w:r>
        <w:rPr>
          <w:rFonts w:cs="Arial"/>
        </w:rPr>
        <w:t xml:space="preserve">de auditoría </w:t>
      </w:r>
      <w:r w:rsidRPr="00E511A4">
        <w:rPr>
          <w:rFonts w:cs="Arial"/>
        </w:rPr>
        <w:t>a efectos de determinar su inciden</w:t>
      </w:r>
      <w:r w:rsidR="00986BF4">
        <w:rPr>
          <w:rFonts w:cs="Arial"/>
        </w:rPr>
        <w:t>cia en los estados financieros.</w:t>
      </w:r>
    </w:p>
    <w:p w:rsidR="009031A6" w:rsidRDefault="009031A6" w:rsidP="00D91715">
      <w:pPr>
        <w:jc w:val="both"/>
        <w:rPr>
          <w:rFonts w:cs="Arial"/>
          <w:b/>
        </w:rPr>
      </w:pPr>
    </w:p>
    <w:p w:rsidR="009031A6" w:rsidRDefault="009031A6" w:rsidP="00D91715">
      <w:pPr>
        <w:jc w:val="both"/>
        <w:rPr>
          <w:rFonts w:cs="Arial"/>
          <w:b/>
        </w:rPr>
      </w:pPr>
      <w:r w:rsidRPr="00983313">
        <w:rPr>
          <w:rFonts w:cs="Arial"/>
          <w:b/>
        </w:rPr>
        <w:t xml:space="preserve">Responsabilidad del </w:t>
      </w:r>
      <w:r>
        <w:rPr>
          <w:rFonts w:cs="Arial"/>
          <w:b/>
        </w:rPr>
        <w:t>fiduciario</w:t>
      </w:r>
      <w:r w:rsidRPr="00983313">
        <w:rPr>
          <w:rFonts w:cs="Arial"/>
          <w:b/>
        </w:rPr>
        <w:t xml:space="preserve"> en relación</w:t>
      </w:r>
      <w:r w:rsidR="00986BF4">
        <w:rPr>
          <w:rFonts w:cs="Arial"/>
          <w:b/>
        </w:rPr>
        <w:t xml:space="preserve"> con los estados financieros</w:t>
      </w:r>
    </w:p>
    <w:p w:rsidR="009031A6" w:rsidRPr="00983313" w:rsidRDefault="009031A6" w:rsidP="00D91715">
      <w:pPr>
        <w:jc w:val="both"/>
        <w:rPr>
          <w:rFonts w:cs="Arial"/>
          <w:b/>
        </w:rPr>
      </w:pPr>
    </w:p>
    <w:p w:rsidR="009031A6" w:rsidRDefault="009031A6" w:rsidP="00D91715">
      <w:pPr>
        <w:spacing w:line="360" w:lineRule="auto"/>
        <w:jc w:val="both"/>
        <w:rPr>
          <w:rFonts w:cs="Arial"/>
        </w:rPr>
      </w:pPr>
      <w:r w:rsidRPr="00983313">
        <w:rPr>
          <w:rFonts w:cs="Arial"/>
        </w:rPr>
        <w:t>El Directorio de</w:t>
      </w:r>
      <w:r w:rsidRPr="00742319">
        <w:rPr>
          <w:rFonts w:cs="Arial"/>
        </w:rPr>
        <w:t xml:space="preserve"> </w:t>
      </w:r>
      <w:r>
        <w:rPr>
          <w:rFonts w:cs="Arial"/>
        </w:rPr>
        <w:t xml:space="preserve">República </w:t>
      </w:r>
      <w:proofErr w:type="spellStart"/>
      <w:r>
        <w:rPr>
          <w:rFonts w:cs="Arial"/>
        </w:rPr>
        <w:t>Afisa</w:t>
      </w:r>
      <w:proofErr w:type="spellEnd"/>
      <w:r>
        <w:rPr>
          <w:rFonts w:cs="Arial"/>
        </w:rPr>
        <w:t xml:space="preserve"> como agente fiduciario del Fideicomiso II </w:t>
      </w:r>
      <w:r w:rsidRPr="00983313">
        <w:rPr>
          <w:rFonts w:cs="Arial"/>
        </w:rPr>
        <w:t>es responsable por la preparación y</w:t>
      </w:r>
      <w:r w:rsidRPr="00AC5B7F">
        <w:rPr>
          <w:rFonts w:cs="Arial"/>
        </w:rPr>
        <w:t xml:space="preserve"> presentación razonable de los estados financieros de acuerdo </w:t>
      </w:r>
      <w:r>
        <w:rPr>
          <w:rFonts w:cs="Arial"/>
        </w:rPr>
        <w:t>con las normas contables adecuadas en Uruguay aplicables al fideicomiso, las Normas Particulares 3.8 y 3.12 del BCU y la Ordenanza Nº 89, así como del control interno que consideró necesario para permitir la preparación de estados financieros libres de errores significativos ya sea debido a fraude o error.</w:t>
      </w:r>
    </w:p>
    <w:p w:rsidR="009031A6" w:rsidRDefault="009031A6" w:rsidP="00D91715">
      <w:pPr>
        <w:spacing w:line="360" w:lineRule="auto"/>
        <w:jc w:val="both"/>
        <w:rPr>
          <w:rFonts w:cs="Arial"/>
        </w:rPr>
      </w:pPr>
      <w:r>
        <w:rPr>
          <w:rFonts w:cs="Arial"/>
        </w:rPr>
        <w:t xml:space="preserve">El fiduciario es </w:t>
      </w:r>
      <w:r w:rsidRPr="00C252F8">
        <w:rPr>
          <w:rFonts w:cs="Arial"/>
        </w:rPr>
        <w:t>responsable de supervisar el proceso</w:t>
      </w:r>
      <w:r>
        <w:rPr>
          <w:rFonts w:cs="Arial"/>
        </w:rPr>
        <w:t xml:space="preserve"> de preparación de los estados financieros </w:t>
      </w:r>
      <w:r w:rsidRPr="00244442">
        <w:rPr>
          <w:rFonts w:cs="Arial"/>
        </w:rPr>
        <w:t>de</w:t>
      </w:r>
      <w:r w:rsidR="00986BF4">
        <w:rPr>
          <w:rFonts w:cs="Arial"/>
        </w:rPr>
        <w:t>l fideicomiso.</w:t>
      </w:r>
    </w:p>
    <w:p w:rsidR="009031A6" w:rsidRDefault="009031A6" w:rsidP="00D91715">
      <w:pPr>
        <w:jc w:val="both"/>
        <w:rPr>
          <w:rFonts w:cs="Arial"/>
          <w:b/>
        </w:rPr>
      </w:pPr>
    </w:p>
    <w:p w:rsidR="009031A6" w:rsidRDefault="009031A6" w:rsidP="00986BF4">
      <w:pPr>
        <w:spacing w:line="360" w:lineRule="auto"/>
        <w:jc w:val="both"/>
        <w:rPr>
          <w:rFonts w:cs="Arial"/>
          <w:b/>
        </w:rPr>
      </w:pPr>
      <w:r w:rsidRPr="00C26C29">
        <w:rPr>
          <w:rFonts w:cs="Arial"/>
          <w:b/>
        </w:rPr>
        <w:t xml:space="preserve">Responsabilidad del </w:t>
      </w:r>
      <w:r>
        <w:rPr>
          <w:rFonts w:cs="Arial"/>
          <w:b/>
        </w:rPr>
        <w:t>Tribunal de Cuentas</w:t>
      </w:r>
      <w:r w:rsidRPr="00C26C29">
        <w:rPr>
          <w:rFonts w:cs="Arial"/>
          <w:b/>
        </w:rPr>
        <w:t xml:space="preserve"> por la audit</w:t>
      </w:r>
      <w:r w:rsidR="00986BF4">
        <w:rPr>
          <w:rFonts w:cs="Arial"/>
          <w:b/>
        </w:rPr>
        <w:t>oría de los estados financieros</w:t>
      </w:r>
    </w:p>
    <w:p w:rsidR="009031A6" w:rsidRPr="00C26C29" w:rsidRDefault="009031A6" w:rsidP="00D91715">
      <w:pPr>
        <w:jc w:val="both"/>
        <w:rPr>
          <w:rFonts w:cs="Arial"/>
          <w:b/>
        </w:rPr>
      </w:pPr>
    </w:p>
    <w:p w:rsidR="009031A6" w:rsidRDefault="009031A6" w:rsidP="00D91715">
      <w:pPr>
        <w:spacing w:line="360" w:lineRule="auto"/>
        <w:jc w:val="both"/>
        <w:rPr>
          <w:rFonts w:cs="Arial"/>
        </w:rPr>
      </w:pPr>
      <w:r>
        <w:rPr>
          <w:rFonts w:cs="Arial"/>
        </w:rPr>
        <w:t xml:space="preserve">El objetivo de la auditoría consiste en obtener una seguridad razonable acerca de que los estados financieros en su conjunto están libres de errores significativos, ya sea debido a fraude o error y </w:t>
      </w:r>
      <w:r w:rsidRPr="00D05EF9">
        <w:rPr>
          <w:rFonts w:cs="Arial"/>
        </w:rPr>
        <w:t>emitir un dictamen de auditoría con la correspondiente opinión</w:t>
      </w:r>
      <w:r>
        <w:rPr>
          <w:rFonts w:cs="Arial"/>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cs="Arial"/>
        </w:rPr>
        <w:t xml:space="preserve">esperarse </w:t>
      </w:r>
      <w:r>
        <w:rPr>
          <w:rFonts w:cs="Arial"/>
        </w:rPr>
        <w:t>que influyan en las decisiones económicas tomadas por los usuarios sobre la base de los estados financieros.</w:t>
      </w:r>
    </w:p>
    <w:p w:rsidR="009031A6" w:rsidRDefault="009031A6" w:rsidP="00D91715">
      <w:pPr>
        <w:spacing w:line="360" w:lineRule="auto"/>
        <w:jc w:val="both"/>
        <w:rPr>
          <w:rFonts w:cs="Arial"/>
        </w:rPr>
      </w:pPr>
      <w:r>
        <w:rPr>
          <w:rFonts w:cs="Arial"/>
        </w:rPr>
        <w:t xml:space="preserve">Como parte de una auditoría de acuerdo con las ISSAI referidas en la sección </w:t>
      </w:r>
      <w:r w:rsidRPr="00A97A80">
        <w:rPr>
          <w:rFonts w:cs="Arial"/>
        </w:rPr>
        <w:t xml:space="preserve">Bases para la Opinión </w:t>
      </w:r>
      <w:r>
        <w:rPr>
          <w:rFonts w:cs="Arial"/>
        </w:rPr>
        <w:t>Calificada, el Tribunal de Cuentas aplica su juicio profesional y mantiene el escepticismo profesional durante el proceso de auditoría. Asimismo:</w:t>
      </w:r>
    </w:p>
    <w:p w:rsidR="009031A6" w:rsidRPr="00A97A80" w:rsidRDefault="009031A6" w:rsidP="00D91715">
      <w:pPr>
        <w:pStyle w:val="Prrafodelista"/>
        <w:numPr>
          <w:ilvl w:val="0"/>
          <w:numId w:val="21"/>
        </w:numPr>
        <w:spacing w:line="360" w:lineRule="auto"/>
        <w:jc w:val="both"/>
        <w:rPr>
          <w:rFonts w:cs="Arial"/>
        </w:rPr>
      </w:pPr>
      <w:r w:rsidRPr="00A97A80">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986BF4">
        <w:rPr>
          <w:rFonts w:cs="Arial"/>
        </w:rPr>
        <w:t>artamientos de control interno.</w:t>
      </w:r>
    </w:p>
    <w:p w:rsidR="009031A6" w:rsidRDefault="009031A6" w:rsidP="00D91715">
      <w:pPr>
        <w:pStyle w:val="Prrafodelista"/>
        <w:numPr>
          <w:ilvl w:val="0"/>
          <w:numId w:val="21"/>
        </w:numPr>
        <w:spacing w:line="360" w:lineRule="auto"/>
        <w:jc w:val="both"/>
        <w:rPr>
          <w:rFonts w:cs="Arial"/>
        </w:rPr>
      </w:pPr>
      <w:r>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9031A6" w:rsidRDefault="009031A6" w:rsidP="00D91715">
      <w:pPr>
        <w:pStyle w:val="Prrafodelista"/>
        <w:numPr>
          <w:ilvl w:val="0"/>
          <w:numId w:val="21"/>
        </w:numPr>
        <w:spacing w:line="360" w:lineRule="auto"/>
        <w:jc w:val="both"/>
        <w:rPr>
          <w:rFonts w:cs="Arial"/>
        </w:rPr>
      </w:pPr>
      <w:r>
        <w:rPr>
          <w:rFonts w:cs="Arial"/>
        </w:rPr>
        <w:t>Evalúa lo adecuado de las políticas contables adoptadas, la razonabilidad de las estimaciones contables y las revelaciones relacionadas realizadas por el fiduciario.</w:t>
      </w:r>
    </w:p>
    <w:p w:rsidR="009031A6" w:rsidRPr="00136B93" w:rsidRDefault="009031A6" w:rsidP="00D91715">
      <w:pPr>
        <w:pStyle w:val="Prrafodelista"/>
        <w:numPr>
          <w:ilvl w:val="0"/>
          <w:numId w:val="21"/>
        </w:numPr>
        <w:spacing w:line="360" w:lineRule="auto"/>
        <w:jc w:val="both"/>
        <w:rPr>
          <w:rFonts w:cs="Arial"/>
        </w:rPr>
      </w:pPr>
      <w:r w:rsidRPr="00136B93">
        <w:rPr>
          <w:rFonts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9031A6" w:rsidRDefault="009031A6" w:rsidP="00D91715">
      <w:pPr>
        <w:pStyle w:val="Prrafodelista"/>
        <w:ind w:left="0"/>
        <w:jc w:val="both"/>
        <w:rPr>
          <w:rFonts w:cs="Arial"/>
        </w:rPr>
      </w:pPr>
    </w:p>
    <w:p w:rsidR="009031A6" w:rsidRDefault="009031A6" w:rsidP="00D91715">
      <w:pPr>
        <w:spacing w:line="360" w:lineRule="auto"/>
        <w:jc w:val="both"/>
        <w:rPr>
          <w:rFonts w:cs="Arial"/>
        </w:rPr>
      </w:pPr>
      <w:r>
        <w:rPr>
          <w:rFonts w:cs="Arial"/>
        </w:rPr>
        <w:t xml:space="preserve">El Tribunal de Cuentas se comunicó con el fiduciario en relación, entre otros asuntos, al alcance y la oportunidad de los procedimientos de auditoría, los hallazgos significativos de auditoría incluidos, en caso de corresponder, y las deficiencias significativas en el control interno que se identificaron en </w:t>
      </w:r>
      <w:r w:rsidR="00986BF4">
        <w:rPr>
          <w:rFonts w:cs="Arial"/>
        </w:rPr>
        <w:t>el transcurso de la auditoría.</w:t>
      </w:r>
    </w:p>
    <w:p w:rsidR="009031A6" w:rsidRDefault="009031A6" w:rsidP="00986BF4">
      <w:pPr>
        <w:pStyle w:val="Prrafodelista"/>
        <w:jc w:val="right"/>
        <w:rPr>
          <w:rFonts w:cs="Arial"/>
          <w:snapToGrid w:val="0"/>
        </w:rPr>
      </w:pPr>
      <w:r w:rsidRPr="00A243F5">
        <w:rPr>
          <w:rFonts w:cs="Arial"/>
          <w:snapToGrid w:val="0"/>
        </w:rPr>
        <w:t xml:space="preserve">Montevideo, </w:t>
      </w:r>
      <w:r>
        <w:rPr>
          <w:rFonts w:cs="Arial"/>
          <w:snapToGrid w:val="0"/>
        </w:rPr>
        <w:t>11 de febrero de 2019</w:t>
      </w:r>
    </w:p>
    <w:p w:rsidR="009031A6" w:rsidRDefault="009031A6" w:rsidP="00ED32A4">
      <w:pPr>
        <w:spacing w:line="360" w:lineRule="auto"/>
        <w:rPr>
          <w:rFonts w:cs="Arial"/>
        </w:rPr>
      </w:pPr>
      <w:r>
        <w:rPr>
          <w:rFonts w:cs="Arial"/>
          <w:snapToGrid w:val="0"/>
        </w:rPr>
        <w:t>ag</w:t>
      </w:r>
    </w:p>
    <w:p w:rsidR="009031A6" w:rsidRDefault="009031A6" w:rsidP="00D91715">
      <w:pPr>
        <w:spacing w:line="360" w:lineRule="auto"/>
        <w:jc w:val="both"/>
        <w:rPr>
          <w:rFonts w:cs="Arial"/>
        </w:rPr>
      </w:pPr>
    </w:p>
    <w:p w:rsidR="009031A6" w:rsidRDefault="009031A6" w:rsidP="00D91715">
      <w:pPr>
        <w:spacing w:line="360" w:lineRule="auto"/>
        <w:jc w:val="both"/>
        <w:rPr>
          <w:rFonts w:cs="Arial"/>
        </w:rPr>
      </w:pPr>
    </w:p>
    <w:p w:rsidR="009031A6" w:rsidRDefault="009031A6" w:rsidP="00D91715">
      <w:pPr>
        <w:spacing w:line="360" w:lineRule="auto"/>
        <w:jc w:val="both"/>
        <w:rPr>
          <w:rFonts w:cs="Arial"/>
        </w:rPr>
      </w:pPr>
    </w:p>
    <w:p w:rsidR="009031A6" w:rsidRDefault="009031A6" w:rsidP="00D91715">
      <w:pPr>
        <w:spacing w:line="360" w:lineRule="auto"/>
        <w:jc w:val="both"/>
        <w:rPr>
          <w:rFonts w:cs="Arial"/>
        </w:rPr>
      </w:pPr>
    </w:p>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Default="009031A6" w:rsidP="0093459B"/>
    <w:p w:rsidR="009031A6" w:rsidRPr="00E34EBA" w:rsidRDefault="009031A6" w:rsidP="00D91715">
      <w:pPr>
        <w:spacing w:line="360" w:lineRule="auto"/>
        <w:jc w:val="center"/>
        <w:rPr>
          <w:rFonts w:cs="Arial"/>
          <w:b/>
          <w:bCs/>
        </w:rPr>
      </w:pPr>
      <w:r w:rsidRPr="00E34EBA">
        <w:rPr>
          <w:rFonts w:cs="Arial"/>
          <w:b/>
          <w:bCs/>
        </w:rPr>
        <w:t>INFORME A LA ADMINISTRACIÓN</w:t>
      </w:r>
    </w:p>
    <w:p w:rsidR="009031A6" w:rsidRDefault="009031A6" w:rsidP="00D91715">
      <w:pPr>
        <w:spacing w:line="360" w:lineRule="auto"/>
        <w:jc w:val="both"/>
        <w:rPr>
          <w:rFonts w:cs="Arial"/>
        </w:rPr>
      </w:pPr>
    </w:p>
    <w:p w:rsidR="009031A6" w:rsidRPr="00AA2722" w:rsidRDefault="009031A6" w:rsidP="00D91715">
      <w:pPr>
        <w:spacing w:line="360" w:lineRule="auto"/>
        <w:jc w:val="both"/>
        <w:rPr>
          <w:rFonts w:cs="Arial"/>
        </w:rPr>
      </w:pPr>
      <w:r w:rsidRPr="00AA2722">
        <w:rPr>
          <w:rFonts w:cs="Arial"/>
        </w:rPr>
        <w:t xml:space="preserve">El Tribunal de Cuentas ha examinado los estados financieros </w:t>
      </w:r>
      <w:r w:rsidRPr="00244442">
        <w:rPr>
          <w:rFonts w:cs="Arial"/>
        </w:rPr>
        <w:t>de</w:t>
      </w:r>
      <w:r>
        <w:rPr>
          <w:rFonts w:cs="Arial"/>
        </w:rPr>
        <w:t>l Segundo Fidecomiso Financiero de Recuperación de Carteras BROU (Fidecomiso II)</w:t>
      </w:r>
      <w:r w:rsidRPr="0092243F">
        <w:rPr>
          <w:rFonts w:cs="Arial"/>
        </w:rPr>
        <w:t>,  por el ejercicio finalizado el 31/12/2017 y ha emitido su</w:t>
      </w:r>
      <w:r w:rsidRPr="00AA2722">
        <w:rPr>
          <w:rFonts w:cs="Arial"/>
        </w:rPr>
        <w:t xml:space="preserve"> Dictamen.</w:t>
      </w:r>
    </w:p>
    <w:p w:rsidR="009031A6" w:rsidRPr="00AA2722" w:rsidRDefault="009031A6" w:rsidP="00D91715">
      <w:pPr>
        <w:spacing w:line="360" w:lineRule="auto"/>
        <w:jc w:val="both"/>
        <w:rPr>
          <w:rFonts w:cs="Arial"/>
        </w:rPr>
      </w:pPr>
      <w:r w:rsidRPr="00AA2722">
        <w:rPr>
          <w:rFonts w:cs="Arial"/>
        </w:rPr>
        <w:t>Este informe contiene consideraciones relativas a la evaluación de control interno. Se incluyen además, comentarios que se ha entendido pertinente exponer relacionados</w:t>
      </w:r>
      <w:r>
        <w:rPr>
          <w:rFonts w:cs="Arial"/>
        </w:rPr>
        <w:t xml:space="preserve"> con la presentación de los estados financieros.</w:t>
      </w:r>
    </w:p>
    <w:p w:rsidR="009031A6" w:rsidRDefault="009031A6" w:rsidP="00D91715">
      <w:pPr>
        <w:spacing w:line="360" w:lineRule="auto"/>
        <w:jc w:val="both"/>
        <w:rPr>
          <w:rFonts w:cs="Arial"/>
        </w:rPr>
      </w:pPr>
      <w:r w:rsidRPr="00AA2722">
        <w:rPr>
          <w:rFonts w:cs="Arial"/>
        </w:rPr>
        <w:t>También se agregan las principales recomendaciones que deberá atender el Organismo.</w:t>
      </w:r>
    </w:p>
    <w:p w:rsidR="009031A6" w:rsidRPr="00AA2722" w:rsidRDefault="009031A6" w:rsidP="00D91715">
      <w:pPr>
        <w:spacing w:line="360" w:lineRule="auto"/>
        <w:jc w:val="both"/>
        <w:rPr>
          <w:rFonts w:cs="Arial"/>
        </w:rPr>
      </w:pPr>
    </w:p>
    <w:p w:rsidR="009031A6" w:rsidRPr="00AA2722" w:rsidRDefault="00986BF4" w:rsidP="00D91715">
      <w:pPr>
        <w:spacing w:line="360" w:lineRule="auto"/>
        <w:jc w:val="both"/>
        <w:rPr>
          <w:rFonts w:cs="Arial"/>
          <w:b/>
        </w:rPr>
      </w:pPr>
      <w:r>
        <w:rPr>
          <w:rFonts w:cs="Arial"/>
          <w:b/>
        </w:rPr>
        <w:t>Presentación de los Estados</w:t>
      </w:r>
    </w:p>
    <w:p w:rsidR="009031A6" w:rsidRDefault="009031A6" w:rsidP="00D91715">
      <w:pPr>
        <w:spacing w:line="360" w:lineRule="auto"/>
        <w:jc w:val="both"/>
        <w:rPr>
          <w:rFonts w:cs="Arial"/>
          <w:spacing w:val="-3"/>
          <w:lang w:val="es-ES_tradnl"/>
        </w:rPr>
      </w:pPr>
      <w:r w:rsidRPr="00AA2722">
        <w:rPr>
          <w:rFonts w:cs="Arial"/>
          <w:bCs/>
        </w:rPr>
        <w:t xml:space="preserve">Los estados financieros </w:t>
      </w:r>
      <w:r w:rsidRPr="00244442">
        <w:rPr>
          <w:rFonts w:cs="Arial"/>
        </w:rPr>
        <w:t>de</w:t>
      </w:r>
      <w:r>
        <w:rPr>
          <w:rFonts w:cs="Arial"/>
        </w:rPr>
        <w:t xml:space="preserve">l Fidecomiso II </w:t>
      </w:r>
      <w:r w:rsidRPr="00AA2722">
        <w:rPr>
          <w:rFonts w:cs="Arial"/>
          <w:bCs/>
        </w:rPr>
        <w:t>correspondientes al ejercicio finalizado el 31/12</w:t>
      </w:r>
      <w:r w:rsidRPr="00AE032A">
        <w:rPr>
          <w:rFonts w:cs="Arial"/>
          <w:bCs/>
        </w:rPr>
        <w:t xml:space="preserve">/2017 </w:t>
      </w:r>
      <w:r>
        <w:rPr>
          <w:rFonts w:cs="Arial"/>
          <w:bCs/>
        </w:rPr>
        <w:t>fueron aprobados por e</w:t>
      </w:r>
      <w:r w:rsidRPr="00983313">
        <w:rPr>
          <w:rFonts w:cs="Arial"/>
        </w:rPr>
        <w:t>l Directorio de</w:t>
      </w:r>
      <w:r w:rsidRPr="00742319">
        <w:rPr>
          <w:rFonts w:cs="Arial"/>
        </w:rPr>
        <w:t xml:space="preserve"> </w:t>
      </w:r>
      <w:r>
        <w:rPr>
          <w:rFonts w:cs="Arial"/>
        </w:rPr>
        <w:t xml:space="preserve">República </w:t>
      </w:r>
      <w:proofErr w:type="spellStart"/>
      <w:r>
        <w:rPr>
          <w:rFonts w:cs="Arial"/>
        </w:rPr>
        <w:t>Afisa</w:t>
      </w:r>
      <w:proofErr w:type="spellEnd"/>
      <w:r>
        <w:rPr>
          <w:rFonts w:cs="Arial"/>
        </w:rPr>
        <w:t xml:space="preserve"> como agente fiduciario del fideicomiso</w:t>
      </w:r>
      <w:r>
        <w:rPr>
          <w:rFonts w:cs="Arial"/>
          <w:bCs/>
        </w:rPr>
        <w:t xml:space="preserve"> el 06/04/2018 y</w:t>
      </w:r>
      <w:r w:rsidRPr="00AE032A">
        <w:rPr>
          <w:rFonts w:cs="Arial"/>
          <w:spacing w:val="-3"/>
          <w:lang w:val="es-ES_tradnl"/>
        </w:rPr>
        <w:t xml:space="preserve"> remitidos</w:t>
      </w:r>
      <w:r w:rsidRPr="00AA2722">
        <w:rPr>
          <w:rFonts w:cs="Arial"/>
          <w:spacing w:val="-3"/>
          <w:lang w:val="es-ES_tradnl"/>
        </w:rPr>
        <w:t xml:space="preserve"> par</w:t>
      </w:r>
      <w:r>
        <w:rPr>
          <w:rFonts w:cs="Arial"/>
          <w:spacing w:val="-3"/>
          <w:lang w:val="es-ES_tradnl"/>
        </w:rPr>
        <w:t>a su examen a este Tribunal el 26/04/2018.</w:t>
      </w:r>
    </w:p>
    <w:p w:rsidR="009031A6" w:rsidRDefault="009031A6" w:rsidP="00D91715">
      <w:pPr>
        <w:spacing w:line="360" w:lineRule="auto"/>
        <w:jc w:val="both"/>
        <w:rPr>
          <w:rFonts w:cs="Arial"/>
          <w:spacing w:val="-3"/>
          <w:lang w:val="es-ES_tradnl"/>
        </w:rPr>
      </w:pPr>
      <w:r w:rsidRPr="00AA2722">
        <w:rPr>
          <w:rFonts w:cs="Arial"/>
          <w:spacing w:val="-3"/>
          <w:lang w:val="es-ES_tradnl"/>
        </w:rPr>
        <w:t xml:space="preserve">Dichos estados se presentan de acuerdo a </w:t>
      </w:r>
      <w:r>
        <w:rPr>
          <w:rFonts w:cs="Arial"/>
          <w:spacing w:val="-3"/>
          <w:lang w:val="es-ES_tradnl"/>
        </w:rPr>
        <w:t xml:space="preserve">las normas contables adecuadas en Uruguay aplicables al fideicomiso, </w:t>
      </w:r>
      <w:r>
        <w:rPr>
          <w:rFonts w:cs="Arial"/>
        </w:rPr>
        <w:t>las Normas Particulares 3.8 y 3.12 del Banco Central del Uruguay</w:t>
      </w:r>
      <w:r>
        <w:rPr>
          <w:rFonts w:cs="Arial"/>
          <w:spacing w:val="-3"/>
          <w:lang w:val="es-ES_tradnl"/>
        </w:rPr>
        <w:t xml:space="preserve"> y a los criterios establecidos </w:t>
      </w:r>
      <w:r w:rsidRPr="00AA2722">
        <w:rPr>
          <w:rFonts w:cs="Arial"/>
          <w:spacing w:val="-3"/>
          <w:lang w:val="es-ES_tradnl"/>
        </w:rPr>
        <w:t xml:space="preserve"> por la Ordenanza Nº 89.</w:t>
      </w:r>
    </w:p>
    <w:p w:rsidR="009031A6" w:rsidRDefault="009031A6" w:rsidP="00D91715">
      <w:pPr>
        <w:pStyle w:val="Prrafodelista"/>
        <w:spacing w:after="200" w:line="360" w:lineRule="auto"/>
        <w:rPr>
          <w:rFonts w:cs="Arial"/>
        </w:rPr>
      </w:pPr>
    </w:p>
    <w:p w:rsidR="00986BF4" w:rsidRDefault="009031A6" w:rsidP="00986BF4">
      <w:pPr>
        <w:spacing w:after="200" w:line="360" w:lineRule="auto"/>
        <w:jc w:val="both"/>
        <w:rPr>
          <w:rFonts w:cs="Arial"/>
          <w:b/>
        </w:rPr>
      </w:pPr>
      <w:r>
        <w:rPr>
          <w:rFonts w:cs="Arial"/>
          <w:b/>
        </w:rPr>
        <w:t>Evaluación de</w:t>
      </w:r>
      <w:r w:rsidRPr="00D076E3">
        <w:rPr>
          <w:rFonts w:cs="Arial"/>
          <w:b/>
        </w:rPr>
        <w:t xml:space="preserve"> control interno</w:t>
      </w:r>
    </w:p>
    <w:p w:rsidR="009031A6" w:rsidRPr="00417E45" w:rsidRDefault="009031A6" w:rsidP="00986BF4">
      <w:pPr>
        <w:spacing w:after="200" w:line="360" w:lineRule="auto"/>
        <w:jc w:val="both"/>
        <w:rPr>
          <w:rFonts w:cs="Arial"/>
        </w:rPr>
      </w:pPr>
      <w:r>
        <w:rPr>
          <w:rFonts w:cs="Arial"/>
        </w:rPr>
        <w:t>Además de las situaciones señaladas en el párrafo Bases para la Opinión Calificada del Dictamen, e</w:t>
      </w:r>
      <w:r w:rsidRPr="00AA7190">
        <w:rPr>
          <w:rFonts w:cs="Arial"/>
        </w:rPr>
        <w:t>l examen de los aspectos de control interno relevantes para la preparación y presentación razonable de los estados financieros</w:t>
      </w:r>
      <w:r>
        <w:rPr>
          <w:rFonts w:cs="Arial"/>
        </w:rPr>
        <w:t>,</w:t>
      </w:r>
      <w:r w:rsidRPr="00AA7190">
        <w:rPr>
          <w:rFonts w:cs="Arial"/>
        </w:rPr>
        <w:t xml:space="preserve"> permitió constatar la siguiente debilidad:</w:t>
      </w:r>
    </w:p>
    <w:p w:rsidR="009031A6" w:rsidRDefault="009031A6" w:rsidP="00D91715">
      <w:pPr>
        <w:pStyle w:val="Prrafodelista"/>
        <w:numPr>
          <w:ilvl w:val="0"/>
          <w:numId w:val="16"/>
        </w:numPr>
        <w:spacing w:after="200" w:line="360" w:lineRule="auto"/>
        <w:jc w:val="both"/>
        <w:rPr>
          <w:rFonts w:cs="Arial"/>
        </w:rPr>
      </w:pPr>
      <w:r>
        <w:rPr>
          <w:rFonts w:cs="Arial"/>
          <w:lang w:val="es-CO"/>
        </w:rPr>
        <w:t xml:space="preserve">No se cuenta con el cuadro de riesgos por </w:t>
      </w:r>
      <w:r w:rsidR="00986BF4">
        <w:rPr>
          <w:rFonts w:cs="Arial"/>
          <w:lang w:val="es-CO"/>
        </w:rPr>
        <w:t>deudor al cierre del ejercicio.</w:t>
      </w:r>
    </w:p>
    <w:p w:rsidR="009031A6" w:rsidRDefault="009031A6" w:rsidP="00D91715">
      <w:pPr>
        <w:pStyle w:val="Prrafodelista"/>
        <w:spacing w:after="200" w:line="360" w:lineRule="auto"/>
        <w:jc w:val="both"/>
        <w:rPr>
          <w:rFonts w:cs="Arial"/>
        </w:rPr>
      </w:pPr>
    </w:p>
    <w:p w:rsidR="009031A6" w:rsidRPr="00AE032A" w:rsidRDefault="009031A6" w:rsidP="00D91715">
      <w:pPr>
        <w:spacing w:line="360" w:lineRule="auto"/>
        <w:jc w:val="both"/>
        <w:rPr>
          <w:rFonts w:cs="Arial"/>
          <w:b/>
        </w:rPr>
      </w:pPr>
      <w:r w:rsidRPr="00AA2722">
        <w:rPr>
          <w:rFonts w:cs="Arial"/>
          <w:b/>
        </w:rPr>
        <w:t>Recomendaciones</w:t>
      </w:r>
    </w:p>
    <w:p w:rsidR="009031A6" w:rsidRPr="00AA2722" w:rsidRDefault="009031A6" w:rsidP="00D91715">
      <w:pPr>
        <w:spacing w:line="360" w:lineRule="auto"/>
        <w:ind w:left="1425"/>
        <w:jc w:val="both"/>
        <w:rPr>
          <w:rFonts w:cs="Arial"/>
        </w:rPr>
      </w:pPr>
    </w:p>
    <w:p w:rsidR="009031A6" w:rsidRPr="00AA2722" w:rsidRDefault="009031A6" w:rsidP="00D91715">
      <w:pPr>
        <w:spacing w:line="360" w:lineRule="auto"/>
        <w:jc w:val="both"/>
        <w:rPr>
          <w:rFonts w:cs="Arial"/>
          <w:b/>
          <w:bCs/>
        </w:rPr>
      </w:pPr>
      <w:r w:rsidRPr="00AA2722">
        <w:rPr>
          <w:rFonts w:cs="Arial"/>
          <w:b/>
          <w:bCs/>
        </w:rPr>
        <w:t>Recomendaciones del presente ejercicio.</w:t>
      </w:r>
    </w:p>
    <w:p w:rsidR="009031A6" w:rsidRPr="00AA2722" w:rsidRDefault="009031A6" w:rsidP="00D91715">
      <w:pPr>
        <w:widowControl w:val="0"/>
        <w:spacing w:line="360" w:lineRule="auto"/>
        <w:jc w:val="both"/>
        <w:rPr>
          <w:rFonts w:cs="Arial"/>
          <w:snapToGrid w:val="0"/>
          <w:highlight w:val="yellow"/>
        </w:rPr>
      </w:pPr>
    </w:p>
    <w:p w:rsidR="009031A6" w:rsidRPr="00065004" w:rsidRDefault="009031A6" w:rsidP="00D91715">
      <w:pPr>
        <w:pStyle w:val="Prrafodelista"/>
        <w:numPr>
          <w:ilvl w:val="0"/>
          <w:numId w:val="15"/>
        </w:numPr>
        <w:spacing w:after="200" w:line="360" w:lineRule="auto"/>
        <w:jc w:val="both"/>
        <w:rPr>
          <w:rFonts w:cs="Arial"/>
        </w:rPr>
      </w:pPr>
      <w:r w:rsidRPr="00065004">
        <w:rPr>
          <w:rFonts w:cs="Arial"/>
        </w:rPr>
        <w:t xml:space="preserve">Clasificar </w:t>
      </w:r>
      <w:r>
        <w:rPr>
          <w:rFonts w:cs="Arial"/>
        </w:rPr>
        <w:t>activos y pasivos</w:t>
      </w:r>
      <w:r w:rsidRPr="00065004">
        <w:rPr>
          <w:rFonts w:cs="Arial"/>
          <w:lang w:val="es-CO"/>
        </w:rPr>
        <w:t xml:space="preserve"> </w:t>
      </w:r>
      <w:r>
        <w:rPr>
          <w:rFonts w:cs="Arial"/>
          <w:lang w:val="es-CO"/>
        </w:rPr>
        <w:t xml:space="preserve">en </w:t>
      </w:r>
      <w:r w:rsidRPr="00065004">
        <w:rPr>
          <w:rFonts w:cs="Arial"/>
          <w:lang w:val="es-CO"/>
        </w:rPr>
        <w:t xml:space="preserve">corrientes </w:t>
      </w:r>
      <w:r>
        <w:rPr>
          <w:rFonts w:cs="Arial"/>
          <w:lang w:val="es-CO"/>
        </w:rPr>
        <w:t>y</w:t>
      </w:r>
      <w:r w:rsidRPr="00065004">
        <w:rPr>
          <w:rFonts w:cs="Arial"/>
          <w:lang w:val="es-CO"/>
        </w:rPr>
        <w:t xml:space="preserve"> no corrientes</w:t>
      </w:r>
      <w:r>
        <w:rPr>
          <w:rFonts w:cs="Arial"/>
          <w:lang w:val="es-CO"/>
        </w:rPr>
        <w:t>.</w:t>
      </w:r>
    </w:p>
    <w:p w:rsidR="009031A6" w:rsidRDefault="009031A6" w:rsidP="00D91715">
      <w:pPr>
        <w:pStyle w:val="Prrafodelista"/>
        <w:numPr>
          <w:ilvl w:val="0"/>
          <w:numId w:val="15"/>
        </w:numPr>
        <w:spacing w:after="200" w:line="360" w:lineRule="auto"/>
        <w:jc w:val="both"/>
        <w:rPr>
          <w:rFonts w:cs="Arial"/>
        </w:rPr>
      </w:pPr>
      <w:r>
        <w:rPr>
          <w:rFonts w:cs="Arial"/>
        </w:rPr>
        <w:t>Ajustar el saldo del rubro cobranzas a imputar, identificando cada pago al deudor correspondiente.</w:t>
      </w:r>
    </w:p>
    <w:p w:rsidR="009031A6" w:rsidRPr="0088295D" w:rsidRDefault="009031A6" w:rsidP="00D91715">
      <w:pPr>
        <w:pStyle w:val="Prrafodelista"/>
        <w:widowControl w:val="0"/>
        <w:numPr>
          <w:ilvl w:val="0"/>
          <w:numId w:val="15"/>
        </w:numPr>
        <w:spacing w:after="200" w:line="360" w:lineRule="auto"/>
        <w:jc w:val="both"/>
        <w:rPr>
          <w:rFonts w:cs="Arial"/>
          <w:snapToGrid w:val="0"/>
        </w:rPr>
      </w:pPr>
      <w:r w:rsidRPr="0088295D">
        <w:rPr>
          <w:rFonts w:cs="Arial"/>
        </w:rPr>
        <w:t>Preparar el cuadro de riesgos por deudor al cierre de cada ejercicio.</w:t>
      </w:r>
    </w:p>
    <w:p w:rsidR="009031A6" w:rsidRDefault="009031A6" w:rsidP="0088295D">
      <w:pPr>
        <w:spacing w:line="360" w:lineRule="auto"/>
        <w:jc w:val="right"/>
        <w:rPr>
          <w:rFonts w:cs="Arial"/>
          <w:snapToGrid w:val="0"/>
        </w:rPr>
      </w:pPr>
      <w:r w:rsidRPr="00A243F5">
        <w:rPr>
          <w:rFonts w:cs="Arial"/>
          <w:snapToGrid w:val="0"/>
        </w:rPr>
        <w:t xml:space="preserve">Montevideo, </w:t>
      </w:r>
      <w:r>
        <w:rPr>
          <w:rFonts w:cs="Arial"/>
          <w:snapToGrid w:val="0"/>
        </w:rPr>
        <w:t>11 de febrero de 2019</w:t>
      </w:r>
    </w:p>
    <w:p w:rsidR="009031A6" w:rsidRPr="009031A6" w:rsidRDefault="009031A6" w:rsidP="009031A6">
      <w:pPr>
        <w:spacing w:line="360" w:lineRule="auto"/>
        <w:rPr>
          <w:rFonts w:cs="Arial"/>
          <w:spacing w:val="-3"/>
          <w:highlight w:val="yellow"/>
        </w:rPr>
      </w:pPr>
      <w:proofErr w:type="spellStart"/>
      <w:proofErr w:type="gramStart"/>
      <w:r>
        <w:rPr>
          <w:rFonts w:cs="Arial"/>
          <w:snapToGrid w:val="0"/>
        </w:rPr>
        <w:t>ag</w:t>
      </w:r>
      <w:proofErr w:type="spellEnd"/>
      <w:proofErr w:type="gramEnd"/>
    </w:p>
    <w:sectPr w:rsidR="009031A6" w:rsidRPr="009031A6" w:rsidSect="003C1B90">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FE0" w:rsidRDefault="00855FE0">
      <w:r>
        <w:separator/>
      </w:r>
    </w:p>
  </w:endnote>
  <w:endnote w:type="continuationSeparator" w:id="0">
    <w:p w:rsidR="00855FE0" w:rsidRDefault="0085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A3" w:rsidRDefault="0035252C">
    <w:pPr>
      <w:pStyle w:val="Piedepgina"/>
      <w:jc w:val="center"/>
    </w:pPr>
    <w:r>
      <w:fldChar w:fldCharType="begin"/>
    </w:r>
    <w:r w:rsidR="00ED7930">
      <w:instrText>PAGE   \* MERGEFORMAT</w:instrText>
    </w:r>
    <w:r>
      <w:fldChar w:fldCharType="separate"/>
    </w:r>
    <w:r w:rsidR="003E5E1B">
      <w:rPr>
        <w:noProof/>
      </w:rPr>
      <w:t>1</w:t>
    </w:r>
    <w:r>
      <w:rPr>
        <w:noProof/>
      </w:rPr>
      <w:fldChar w:fldCharType="end"/>
    </w:r>
  </w:p>
  <w:p w:rsidR="006D16A3" w:rsidRDefault="006D16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FE0" w:rsidRDefault="00855FE0">
      <w:r>
        <w:separator/>
      </w:r>
    </w:p>
  </w:footnote>
  <w:footnote w:type="continuationSeparator" w:id="0">
    <w:p w:rsidR="00855FE0" w:rsidRDefault="00855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
    <w:nsid w:val="0A2F577D"/>
    <w:multiLevelType w:val="hybridMultilevel"/>
    <w:tmpl w:val="E84C4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950059"/>
    <w:multiLevelType w:val="hybridMultilevel"/>
    <w:tmpl w:val="3342F33E"/>
    <w:lvl w:ilvl="0" w:tplc="0C0A0001">
      <w:start w:val="1"/>
      <w:numFmt w:val="bullet"/>
      <w:lvlText w:val=""/>
      <w:lvlJc w:val="left"/>
      <w:pPr>
        <w:ind w:left="1137" w:hanging="360"/>
      </w:pPr>
      <w:rPr>
        <w:rFonts w:ascii="Symbol" w:hAnsi="Symbol" w:hint="default"/>
      </w:rPr>
    </w:lvl>
    <w:lvl w:ilvl="1" w:tplc="0C0A0003" w:tentative="1">
      <w:start w:val="1"/>
      <w:numFmt w:val="bullet"/>
      <w:lvlText w:val="o"/>
      <w:lvlJc w:val="left"/>
      <w:pPr>
        <w:ind w:left="1857" w:hanging="360"/>
      </w:pPr>
      <w:rPr>
        <w:rFonts w:ascii="Courier New" w:hAnsi="Courier New" w:cs="Courier New" w:hint="default"/>
      </w:rPr>
    </w:lvl>
    <w:lvl w:ilvl="2" w:tplc="0C0A0005" w:tentative="1">
      <w:start w:val="1"/>
      <w:numFmt w:val="bullet"/>
      <w:lvlText w:val=""/>
      <w:lvlJc w:val="left"/>
      <w:pPr>
        <w:ind w:left="2577" w:hanging="360"/>
      </w:pPr>
      <w:rPr>
        <w:rFonts w:ascii="Wingdings" w:hAnsi="Wingdings" w:hint="default"/>
      </w:rPr>
    </w:lvl>
    <w:lvl w:ilvl="3" w:tplc="0C0A0001">
      <w:start w:val="1"/>
      <w:numFmt w:val="bullet"/>
      <w:lvlText w:val=""/>
      <w:lvlJc w:val="left"/>
      <w:pPr>
        <w:ind w:left="3297" w:hanging="360"/>
      </w:pPr>
      <w:rPr>
        <w:rFonts w:ascii="Symbol" w:hAnsi="Symbol" w:hint="default"/>
      </w:rPr>
    </w:lvl>
    <w:lvl w:ilvl="4" w:tplc="0C0A0003" w:tentative="1">
      <w:start w:val="1"/>
      <w:numFmt w:val="bullet"/>
      <w:lvlText w:val="o"/>
      <w:lvlJc w:val="left"/>
      <w:pPr>
        <w:ind w:left="4017" w:hanging="360"/>
      </w:pPr>
      <w:rPr>
        <w:rFonts w:ascii="Courier New" w:hAnsi="Courier New" w:cs="Courier New" w:hint="default"/>
      </w:rPr>
    </w:lvl>
    <w:lvl w:ilvl="5" w:tplc="0C0A0005" w:tentative="1">
      <w:start w:val="1"/>
      <w:numFmt w:val="bullet"/>
      <w:lvlText w:val=""/>
      <w:lvlJc w:val="left"/>
      <w:pPr>
        <w:ind w:left="4737" w:hanging="360"/>
      </w:pPr>
      <w:rPr>
        <w:rFonts w:ascii="Wingdings" w:hAnsi="Wingdings" w:hint="default"/>
      </w:rPr>
    </w:lvl>
    <w:lvl w:ilvl="6" w:tplc="0C0A0001" w:tentative="1">
      <w:start w:val="1"/>
      <w:numFmt w:val="bullet"/>
      <w:lvlText w:val=""/>
      <w:lvlJc w:val="left"/>
      <w:pPr>
        <w:ind w:left="5457" w:hanging="360"/>
      </w:pPr>
      <w:rPr>
        <w:rFonts w:ascii="Symbol" w:hAnsi="Symbol" w:hint="default"/>
      </w:rPr>
    </w:lvl>
    <w:lvl w:ilvl="7" w:tplc="0C0A0003" w:tentative="1">
      <w:start w:val="1"/>
      <w:numFmt w:val="bullet"/>
      <w:lvlText w:val="o"/>
      <w:lvlJc w:val="left"/>
      <w:pPr>
        <w:ind w:left="6177" w:hanging="360"/>
      </w:pPr>
      <w:rPr>
        <w:rFonts w:ascii="Courier New" w:hAnsi="Courier New" w:cs="Courier New" w:hint="default"/>
      </w:rPr>
    </w:lvl>
    <w:lvl w:ilvl="8" w:tplc="0C0A0005" w:tentative="1">
      <w:start w:val="1"/>
      <w:numFmt w:val="bullet"/>
      <w:lvlText w:val=""/>
      <w:lvlJc w:val="left"/>
      <w:pPr>
        <w:ind w:left="6897" w:hanging="360"/>
      </w:pPr>
      <w:rPr>
        <w:rFonts w:ascii="Wingdings" w:hAnsi="Wingdings" w:hint="default"/>
      </w:rPr>
    </w:lvl>
  </w:abstractNum>
  <w:abstractNum w:abstractNumId="3">
    <w:nsid w:val="10692F04"/>
    <w:multiLevelType w:val="hybridMultilevel"/>
    <w:tmpl w:val="A4C490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5">
    <w:nsid w:val="159C4132"/>
    <w:multiLevelType w:val="hybridMultilevel"/>
    <w:tmpl w:val="9C4EE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D80722"/>
    <w:multiLevelType w:val="hybridMultilevel"/>
    <w:tmpl w:val="9C5E426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7">
    <w:nsid w:val="2D821A56"/>
    <w:multiLevelType w:val="hybridMultilevel"/>
    <w:tmpl w:val="A01E1EA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35E84177"/>
    <w:multiLevelType w:val="hybridMultilevel"/>
    <w:tmpl w:val="73D63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B3B0C5E"/>
    <w:multiLevelType w:val="hybridMultilevel"/>
    <w:tmpl w:val="6C9C058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0">
    <w:nsid w:val="3D7B4968"/>
    <w:multiLevelType w:val="hybridMultilevel"/>
    <w:tmpl w:val="D898B93C"/>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3E366FEC"/>
    <w:multiLevelType w:val="hybridMultilevel"/>
    <w:tmpl w:val="DC06847E"/>
    <w:lvl w:ilvl="0" w:tplc="38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418C51BC"/>
    <w:multiLevelType w:val="hybridMultilevel"/>
    <w:tmpl w:val="2FF644F4"/>
    <w:lvl w:ilvl="0" w:tplc="0C0A0001">
      <w:start w:val="1"/>
      <w:numFmt w:val="bullet"/>
      <w:lvlText w:val=""/>
      <w:lvlJc w:val="left"/>
      <w:pPr>
        <w:ind w:left="1069" w:hanging="360"/>
      </w:pPr>
      <w:rPr>
        <w:rFonts w:ascii="Symbol" w:hAnsi="Symbol" w:hint="default"/>
      </w:rPr>
    </w:lvl>
    <w:lvl w:ilvl="1" w:tplc="E536DE02">
      <w:numFmt w:val="bullet"/>
      <w:lvlText w:val="-"/>
      <w:lvlJc w:val="left"/>
      <w:pPr>
        <w:ind w:left="1789" w:hanging="360"/>
      </w:pPr>
      <w:rPr>
        <w:rFonts w:ascii="Arial" w:eastAsiaTheme="minorEastAsia" w:hAnsi="Arial" w:cs="Arial"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439B58CA"/>
    <w:multiLevelType w:val="hybridMultilevel"/>
    <w:tmpl w:val="7D1C1BA6"/>
    <w:lvl w:ilvl="0" w:tplc="E21E369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A25D27"/>
    <w:multiLevelType w:val="hybridMultilevel"/>
    <w:tmpl w:val="546E7164"/>
    <w:lvl w:ilvl="0" w:tplc="6EE6D126">
      <w:start w:val="1"/>
      <w:numFmt w:val="bullet"/>
      <w:lvlText w:val="-"/>
      <w:lvlJc w:val="left"/>
      <w:pPr>
        <w:ind w:left="1080" w:hanging="360"/>
      </w:pPr>
      <w:rPr>
        <w:rFonts w:ascii="Calibri" w:eastAsiaTheme="minorEastAsia"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2F973B1"/>
    <w:multiLevelType w:val="hybridMultilevel"/>
    <w:tmpl w:val="EA344ECC"/>
    <w:lvl w:ilvl="0" w:tplc="38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561D697B"/>
    <w:multiLevelType w:val="hybridMultilevel"/>
    <w:tmpl w:val="6382F31A"/>
    <w:lvl w:ilvl="0" w:tplc="2794B730">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61E858F0"/>
    <w:multiLevelType w:val="hybridMultilevel"/>
    <w:tmpl w:val="838868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3A033E3"/>
    <w:multiLevelType w:val="hybridMultilevel"/>
    <w:tmpl w:val="14AC8A2C"/>
    <w:lvl w:ilvl="0" w:tplc="7402DCB6">
      <w:start w:val="1"/>
      <w:numFmt w:val="decimal"/>
      <w:lvlText w:val="%1)"/>
      <w:lvlJc w:val="left"/>
      <w:pPr>
        <w:tabs>
          <w:tab w:val="num" w:pos="360"/>
        </w:tabs>
        <w:ind w:left="340" w:hanging="340"/>
      </w:pPr>
      <w:rPr>
        <w:rFonts w:ascii="Arial" w:hAnsi="Arial" w:hint="default"/>
        <w:b/>
        <w:sz w:val="24"/>
      </w:rPr>
    </w:lvl>
    <w:lvl w:ilvl="1" w:tplc="2F3A4A26">
      <w:start w:val="4"/>
      <w:numFmt w:val="decimal"/>
      <w:lvlText w:val="%2."/>
      <w:lvlJc w:val="left"/>
      <w:pPr>
        <w:tabs>
          <w:tab w:val="num" w:pos="1515"/>
        </w:tabs>
        <w:ind w:left="1515" w:hanging="43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75576337"/>
    <w:multiLevelType w:val="hybridMultilevel"/>
    <w:tmpl w:val="9AB8333E"/>
    <w:lvl w:ilvl="0" w:tplc="CBC4D09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nsid w:val="7CB16367"/>
    <w:multiLevelType w:val="multilevel"/>
    <w:tmpl w:val="641E48A8"/>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D353920"/>
    <w:multiLevelType w:val="hybridMultilevel"/>
    <w:tmpl w:val="711EE51A"/>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17"/>
  </w:num>
  <w:num w:numId="4">
    <w:abstractNumId w:val="14"/>
  </w:num>
  <w:num w:numId="5">
    <w:abstractNumId w:val="3"/>
  </w:num>
  <w:num w:numId="6">
    <w:abstractNumId w:val="13"/>
  </w:num>
  <w:num w:numId="7">
    <w:abstractNumId w:val="21"/>
  </w:num>
  <w:num w:numId="8">
    <w:abstractNumId w:val="2"/>
  </w:num>
  <w:num w:numId="9">
    <w:abstractNumId w:val="12"/>
  </w:num>
  <w:num w:numId="10">
    <w:abstractNumId w:val="19"/>
  </w:num>
  <w:num w:numId="11">
    <w:abstractNumId w:val="6"/>
  </w:num>
  <w:num w:numId="12">
    <w:abstractNumId w:val="9"/>
  </w:num>
  <w:num w:numId="13">
    <w:abstractNumId w:val="22"/>
  </w:num>
  <w:num w:numId="14">
    <w:abstractNumId w:val="4"/>
  </w:num>
  <w:num w:numId="15">
    <w:abstractNumId w:val="0"/>
  </w:num>
  <w:num w:numId="16">
    <w:abstractNumId w:val="1"/>
  </w:num>
  <w:num w:numId="17">
    <w:abstractNumId w:val="10"/>
  </w:num>
  <w:num w:numId="18">
    <w:abstractNumId w:val="5"/>
  </w:num>
  <w:num w:numId="19">
    <w:abstractNumId w:val="15"/>
  </w:num>
  <w:num w:numId="20">
    <w:abstractNumId w:val="11"/>
  </w:num>
  <w:num w:numId="21">
    <w:abstractNumId w:val="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E5"/>
    <w:rsid w:val="000025D1"/>
    <w:rsid w:val="00040A62"/>
    <w:rsid w:val="0004390D"/>
    <w:rsid w:val="000462D7"/>
    <w:rsid w:val="000545A7"/>
    <w:rsid w:val="00054E71"/>
    <w:rsid w:val="0006239B"/>
    <w:rsid w:val="00065004"/>
    <w:rsid w:val="0006756F"/>
    <w:rsid w:val="000767E2"/>
    <w:rsid w:val="00077FF2"/>
    <w:rsid w:val="00094B8C"/>
    <w:rsid w:val="000B1809"/>
    <w:rsid w:val="000B43FA"/>
    <w:rsid w:val="000E6277"/>
    <w:rsid w:val="00107CEF"/>
    <w:rsid w:val="00153C45"/>
    <w:rsid w:val="00180316"/>
    <w:rsid w:val="001814B0"/>
    <w:rsid w:val="001A0F59"/>
    <w:rsid w:val="001B5744"/>
    <w:rsid w:val="001C69B9"/>
    <w:rsid w:val="001E0DFD"/>
    <w:rsid w:val="001E2C44"/>
    <w:rsid w:val="00230346"/>
    <w:rsid w:val="00233B51"/>
    <w:rsid w:val="00247E12"/>
    <w:rsid w:val="00250135"/>
    <w:rsid w:val="00250BF7"/>
    <w:rsid w:val="002614CF"/>
    <w:rsid w:val="00280C9C"/>
    <w:rsid w:val="002A5C07"/>
    <w:rsid w:val="002C2E8A"/>
    <w:rsid w:val="002C4C99"/>
    <w:rsid w:val="002D2118"/>
    <w:rsid w:val="002D6EB2"/>
    <w:rsid w:val="002E27FB"/>
    <w:rsid w:val="002E4C7E"/>
    <w:rsid w:val="002F55F1"/>
    <w:rsid w:val="00301C77"/>
    <w:rsid w:val="003062E4"/>
    <w:rsid w:val="00311196"/>
    <w:rsid w:val="00311791"/>
    <w:rsid w:val="00312717"/>
    <w:rsid w:val="00322627"/>
    <w:rsid w:val="00330727"/>
    <w:rsid w:val="003355DD"/>
    <w:rsid w:val="003477FC"/>
    <w:rsid w:val="0035214D"/>
    <w:rsid w:val="0035252C"/>
    <w:rsid w:val="00364145"/>
    <w:rsid w:val="003666E9"/>
    <w:rsid w:val="003913B4"/>
    <w:rsid w:val="003A240C"/>
    <w:rsid w:val="003C1B90"/>
    <w:rsid w:val="003C708D"/>
    <w:rsid w:val="003D06B6"/>
    <w:rsid w:val="003D2A75"/>
    <w:rsid w:val="003D4D22"/>
    <w:rsid w:val="003E5E1B"/>
    <w:rsid w:val="003F1D50"/>
    <w:rsid w:val="003F522B"/>
    <w:rsid w:val="00406834"/>
    <w:rsid w:val="0042277C"/>
    <w:rsid w:val="004302AD"/>
    <w:rsid w:val="00436C84"/>
    <w:rsid w:val="004475AB"/>
    <w:rsid w:val="00465C91"/>
    <w:rsid w:val="004725D8"/>
    <w:rsid w:val="00490C6F"/>
    <w:rsid w:val="00493250"/>
    <w:rsid w:val="004A4F12"/>
    <w:rsid w:val="004B2B4A"/>
    <w:rsid w:val="004C7E62"/>
    <w:rsid w:val="004E4E50"/>
    <w:rsid w:val="004F274F"/>
    <w:rsid w:val="004F5D03"/>
    <w:rsid w:val="004F5D27"/>
    <w:rsid w:val="00513BA7"/>
    <w:rsid w:val="00517E2B"/>
    <w:rsid w:val="00521427"/>
    <w:rsid w:val="00536905"/>
    <w:rsid w:val="00541D94"/>
    <w:rsid w:val="005456D7"/>
    <w:rsid w:val="00556652"/>
    <w:rsid w:val="00576698"/>
    <w:rsid w:val="00583CD1"/>
    <w:rsid w:val="005D34E2"/>
    <w:rsid w:val="005E04AD"/>
    <w:rsid w:val="005E7B6B"/>
    <w:rsid w:val="005F148D"/>
    <w:rsid w:val="005F4E55"/>
    <w:rsid w:val="005F632B"/>
    <w:rsid w:val="006033C6"/>
    <w:rsid w:val="006053FF"/>
    <w:rsid w:val="00615CDD"/>
    <w:rsid w:val="00654516"/>
    <w:rsid w:val="00675789"/>
    <w:rsid w:val="00687763"/>
    <w:rsid w:val="00694B26"/>
    <w:rsid w:val="006A2AAF"/>
    <w:rsid w:val="006A54C9"/>
    <w:rsid w:val="006A7EA0"/>
    <w:rsid w:val="006C0572"/>
    <w:rsid w:val="006D16A3"/>
    <w:rsid w:val="006D2A9E"/>
    <w:rsid w:val="006D358F"/>
    <w:rsid w:val="006D6C79"/>
    <w:rsid w:val="006E16D8"/>
    <w:rsid w:val="006E3C73"/>
    <w:rsid w:val="006F4F60"/>
    <w:rsid w:val="00700D10"/>
    <w:rsid w:val="00703442"/>
    <w:rsid w:val="007162A2"/>
    <w:rsid w:val="00742319"/>
    <w:rsid w:val="007534F1"/>
    <w:rsid w:val="00764720"/>
    <w:rsid w:val="007706A4"/>
    <w:rsid w:val="007713C1"/>
    <w:rsid w:val="00773273"/>
    <w:rsid w:val="00774355"/>
    <w:rsid w:val="007760AE"/>
    <w:rsid w:val="00792E5F"/>
    <w:rsid w:val="00793B93"/>
    <w:rsid w:val="007A1B0B"/>
    <w:rsid w:val="007C4273"/>
    <w:rsid w:val="007F3182"/>
    <w:rsid w:val="008014A5"/>
    <w:rsid w:val="00820725"/>
    <w:rsid w:val="00840756"/>
    <w:rsid w:val="00855FE0"/>
    <w:rsid w:val="00874380"/>
    <w:rsid w:val="00896835"/>
    <w:rsid w:val="008A74C8"/>
    <w:rsid w:val="008B18BD"/>
    <w:rsid w:val="008B5A42"/>
    <w:rsid w:val="008E1A91"/>
    <w:rsid w:val="009031A6"/>
    <w:rsid w:val="0092243F"/>
    <w:rsid w:val="00925321"/>
    <w:rsid w:val="0093459B"/>
    <w:rsid w:val="00935828"/>
    <w:rsid w:val="00967B22"/>
    <w:rsid w:val="0097537B"/>
    <w:rsid w:val="00980337"/>
    <w:rsid w:val="00986BF4"/>
    <w:rsid w:val="00986EBB"/>
    <w:rsid w:val="009A1708"/>
    <w:rsid w:val="009B6F0B"/>
    <w:rsid w:val="009C49D7"/>
    <w:rsid w:val="009D365A"/>
    <w:rsid w:val="009F1650"/>
    <w:rsid w:val="009F43FA"/>
    <w:rsid w:val="00A142CB"/>
    <w:rsid w:val="00A17179"/>
    <w:rsid w:val="00A243F5"/>
    <w:rsid w:val="00A34708"/>
    <w:rsid w:val="00A47C62"/>
    <w:rsid w:val="00A52286"/>
    <w:rsid w:val="00A554B2"/>
    <w:rsid w:val="00A60D8A"/>
    <w:rsid w:val="00A772CA"/>
    <w:rsid w:val="00A818E5"/>
    <w:rsid w:val="00A84C52"/>
    <w:rsid w:val="00A86D63"/>
    <w:rsid w:val="00A97A80"/>
    <w:rsid w:val="00AA2722"/>
    <w:rsid w:val="00AA2E55"/>
    <w:rsid w:val="00AB358C"/>
    <w:rsid w:val="00AD19CE"/>
    <w:rsid w:val="00AD706B"/>
    <w:rsid w:val="00AE032A"/>
    <w:rsid w:val="00AE1398"/>
    <w:rsid w:val="00AE4692"/>
    <w:rsid w:val="00AF491C"/>
    <w:rsid w:val="00AF4DE0"/>
    <w:rsid w:val="00B05A33"/>
    <w:rsid w:val="00B2515C"/>
    <w:rsid w:val="00B32262"/>
    <w:rsid w:val="00B44743"/>
    <w:rsid w:val="00B60BDE"/>
    <w:rsid w:val="00B745BD"/>
    <w:rsid w:val="00B8709B"/>
    <w:rsid w:val="00B91D0A"/>
    <w:rsid w:val="00BA6F7F"/>
    <w:rsid w:val="00BB010C"/>
    <w:rsid w:val="00C03634"/>
    <w:rsid w:val="00C04601"/>
    <w:rsid w:val="00C0583D"/>
    <w:rsid w:val="00C07CDE"/>
    <w:rsid w:val="00C25153"/>
    <w:rsid w:val="00C27421"/>
    <w:rsid w:val="00C377CD"/>
    <w:rsid w:val="00C42E6B"/>
    <w:rsid w:val="00C54E73"/>
    <w:rsid w:val="00CB5C92"/>
    <w:rsid w:val="00CC3726"/>
    <w:rsid w:val="00CC4370"/>
    <w:rsid w:val="00CD77A4"/>
    <w:rsid w:val="00CE006F"/>
    <w:rsid w:val="00D05546"/>
    <w:rsid w:val="00D20CC0"/>
    <w:rsid w:val="00D36AB7"/>
    <w:rsid w:val="00D40DEE"/>
    <w:rsid w:val="00D44F86"/>
    <w:rsid w:val="00D64824"/>
    <w:rsid w:val="00D8002A"/>
    <w:rsid w:val="00DA7DF5"/>
    <w:rsid w:val="00DB30F2"/>
    <w:rsid w:val="00DC2D5A"/>
    <w:rsid w:val="00DC3E2A"/>
    <w:rsid w:val="00DE5897"/>
    <w:rsid w:val="00DE693F"/>
    <w:rsid w:val="00DF1BBC"/>
    <w:rsid w:val="00DF6AFD"/>
    <w:rsid w:val="00E03B6E"/>
    <w:rsid w:val="00E13FF5"/>
    <w:rsid w:val="00E15DD2"/>
    <w:rsid w:val="00E16F0D"/>
    <w:rsid w:val="00E27191"/>
    <w:rsid w:val="00E371EE"/>
    <w:rsid w:val="00E4191C"/>
    <w:rsid w:val="00E453EB"/>
    <w:rsid w:val="00E500E8"/>
    <w:rsid w:val="00E575A9"/>
    <w:rsid w:val="00E622B8"/>
    <w:rsid w:val="00E63329"/>
    <w:rsid w:val="00E64D07"/>
    <w:rsid w:val="00E92D80"/>
    <w:rsid w:val="00E95C77"/>
    <w:rsid w:val="00EA4591"/>
    <w:rsid w:val="00EB00C1"/>
    <w:rsid w:val="00EB2489"/>
    <w:rsid w:val="00EC34F6"/>
    <w:rsid w:val="00ED5A7B"/>
    <w:rsid w:val="00ED5E1E"/>
    <w:rsid w:val="00ED7930"/>
    <w:rsid w:val="00EE0C51"/>
    <w:rsid w:val="00EE2C74"/>
    <w:rsid w:val="00EF09C8"/>
    <w:rsid w:val="00EF4441"/>
    <w:rsid w:val="00EF6AE8"/>
    <w:rsid w:val="00F00442"/>
    <w:rsid w:val="00F031E4"/>
    <w:rsid w:val="00F05EE0"/>
    <w:rsid w:val="00F10CCE"/>
    <w:rsid w:val="00F132E5"/>
    <w:rsid w:val="00F1413C"/>
    <w:rsid w:val="00F142F7"/>
    <w:rsid w:val="00F229FE"/>
    <w:rsid w:val="00F328EA"/>
    <w:rsid w:val="00F42A1B"/>
    <w:rsid w:val="00F77DB2"/>
    <w:rsid w:val="00FA764A"/>
    <w:rsid w:val="00FB2000"/>
    <w:rsid w:val="00FE22FD"/>
    <w:rsid w:val="00FF5142"/>
    <w:rsid w:val="00FF77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2">
    <w:name w:val="heading 2"/>
    <w:basedOn w:val="Normal"/>
    <w:next w:val="Normal"/>
    <w:link w:val="Ttulo2Car"/>
    <w:uiPriority w:val="9"/>
    <w:semiHidden/>
    <w:unhideWhenUsed/>
    <w:qFormat/>
    <w:rsid w:val="009345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 w:type="paragraph" w:customStyle="1" w:styleId="Sangradetindependiente">
    <w:name w:val="SangrÌa de t. independiente"/>
    <w:basedOn w:val="Normal"/>
    <w:rsid w:val="007534F1"/>
    <w:pPr>
      <w:tabs>
        <w:tab w:val="left" w:pos="860"/>
      </w:tabs>
      <w:spacing w:after="260"/>
      <w:jc w:val="both"/>
    </w:pPr>
    <w:rPr>
      <w:rFonts w:ascii="Times" w:hAnsi="Times"/>
      <w:sz w:val="22"/>
      <w:szCs w:val="20"/>
    </w:rPr>
  </w:style>
  <w:style w:type="paragraph" w:styleId="Textodeglobo">
    <w:name w:val="Balloon Text"/>
    <w:basedOn w:val="Normal"/>
    <w:link w:val="TextodegloboCar"/>
    <w:uiPriority w:val="99"/>
    <w:semiHidden/>
    <w:unhideWhenUsed/>
    <w:rsid w:val="00280C9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9C"/>
    <w:rPr>
      <w:rFonts w:ascii="Tahoma" w:hAnsi="Tahoma" w:cs="Tahoma"/>
      <w:sz w:val="16"/>
      <w:szCs w:val="16"/>
      <w:lang w:val="es-ES" w:eastAsia="es-ES"/>
    </w:rPr>
  </w:style>
  <w:style w:type="paragraph" w:styleId="Encabezado">
    <w:name w:val="header"/>
    <w:basedOn w:val="Normal"/>
    <w:link w:val="EncabezadoCar"/>
    <w:unhideWhenUsed/>
    <w:rsid w:val="00C27421"/>
    <w:pPr>
      <w:tabs>
        <w:tab w:val="center" w:pos="4252"/>
        <w:tab w:val="right" w:pos="8504"/>
      </w:tabs>
    </w:pPr>
  </w:style>
  <w:style w:type="character" w:customStyle="1" w:styleId="EncabezadoCar">
    <w:name w:val="Encabezado Car"/>
    <w:basedOn w:val="Fuentedeprrafopredeter"/>
    <w:link w:val="Encabezado"/>
    <w:rsid w:val="00C27421"/>
    <w:rPr>
      <w:rFonts w:ascii="Arial" w:hAnsi="Arial"/>
      <w:sz w:val="24"/>
      <w:szCs w:val="24"/>
      <w:lang w:val="es-ES" w:eastAsia="es-ES"/>
    </w:rPr>
  </w:style>
  <w:style w:type="paragraph" w:customStyle="1" w:styleId="Textonormal">
    <w:name w:val="Texto normal"/>
    <w:basedOn w:val="Textoindependiente"/>
    <w:rsid w:val="00F1413C"/>
    <w:pPr>
      <w:widowControl w:val="0"/>
      <w:tabs>
        <w:tab w:val="left" w:pos="-720"/>
      </w:tabs>
      <w:suppressAutoHyphens/>
      <w:jc w:val="both"/>
    </w:pPr>
    <w:rPr>
      <w:rFonts w:ascii="Courier" w:hAnsi="Courier" w:cs="Courier"/>
      <w:spacing w:val="-3"/>
      <w:sz w:val="24"/>
      <w:szCs w:val="20"/>
      <w:lang w:val="es-ES_tradnl" w:eastAsia="zh-CN"/>
    </w:rPr>
  </w:style>
  <w:style w:type="paragraph" w:styleId="HTMLconformatoprevio">
    <w:name w:val="HTML Preformatted"/>
    <w:basedOn w:val="Normal"/>
    <w:link w:val="HTMLconformatoprevioCar"/>
    <w:uiPriority w:val="99"/>
    <w:semiHidden/>
    <w:unhideWhenUsed/>
    <w:rsid w:val="0034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477FC"/>
    <w:rPr>
      <w:rFonts w:ascii="Courier New" w:hAnsi="Courier New" w:cs="Courier New"/>
      <w:lang w:val="es-ES" w:eastAsia="es-ES"/>
    </w:rPr>
  </w:style>
  <w:style w:type="character" w:styleId="Refdecomentario">
    <w:name w:val="annotation reference"/>
    <w:basedOn w:val="Fuentedeprrafopredeter"/>
    <w:uiPriority w:val="99"/>
    <w:semiHidden/>
    <w:unhideWhenUsed/>
    <w:rsid w:val="003355DD"/>
    <w:rPr>
      <w:sz w:val="16"/>
      <w:szCs w:val="16"/>
    </w:rPr>
  </w:style>
  <w:style w:type="paragraph" w:styleId="Textocomentario">
    <w:name w:val="annotation text"/>
    <w:basedOn w:val="Normal"/>
    <w:link w:val="TextocomentarioCar"/>
    <w:uiPriority w:val="99"/>
    <w:semiHidden/>
    <w:unhideWhenUsed/>
    <w:rsid w:val="003355DD"/>
    <w:rPr>
      <w:sz w:val="20"/>
      <w:szCs w:val="20"/>
    </w:rPr>
  </w:style>
  <w:style w:type="character" w:customStyle="1" w:styleId="TextocomentarioCar">
    <w:name w:val="Texto comentario Car"/>
    <w:basedOn w:val="Fuentedeprrafopredeter"/>
    <w:link w:val="Textocomentario"/>
    <w:uiPriority w:val="99"/>
    <w:semiHidden/>
    <w:rsid w:val="003355DD"/>
    <w:rPr>
      <w:rFonts w:ascii="Arial" w:hAnsi="Arial"/>
      <w:lang w:val="es-ES" w:eastAsia="es-ES"/>
    </w:rPr>
  </w:style>
  <w:style w:type="character" w:customStyle="1" w:styleId="Ttulo2Car">
    <w:name w:val="Título 2 Car"/>
    <w:basedOn w:val="Fuentedeprrafopredeter"/>
    <w:link w:val="Ttulo2"/>
    <w:uiPriority w:val="9"/>
    <w:semiHidden/>
    <w:rsid w:val="0093459B"/>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2">
    <w:name w:val="heading 2"/>
    <w:basedOn w:val="Normal"/>
    <w:next w:val="Normal"/>
    <w:link w:val="Ttulo2Car"/>
    <w:uiPriority w:val="9"/>
    <w:semiHidden/>
    <w:unhideWhenUsed/>
    <w:qFormat/>
    <w:rsid w:val="009345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 w:type="paragraph" w:customStyle="1" w:styleId="Sangradetindependiente">
    <w:name w:val="SangrÌa de t. independiente"/>
    <w:basedOn w:val="Normal"/>
    <w:rsid w:val="007534F1"/>
    <w:pPr>
      <w:tabs>
        <w:tab w:val="left" w:pos="860"/>
      </w:tabs>
      <w:spacing w:after="260"/>
      <w:jc w:val="both"/>
    </w:pPr>
    <w:rPr>
      <w:rFonts w:ascii="Times" w:hAnsi="Times"/>
      <w:sz w:val="22"/>
      <w:szCs w:val="20"/>
    </w:rPr>
  </w:style>
  <w:style w:type="paragraph" w:styleId="Textodeglobo">
    <w:name w:val="Balloon Text"/>
    <w:basedOn w:val="Normal"/>
    <w:link w:val="TextodegloboCar"/>
    <w:uiPriority w:val="99"/>
    <w:semiHidden/>
    <w:unhideWhenUsed/>
    <w:rsid w:val="00280C9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9C"/>
    <w:rPr>
      <w:rFonts w:ascii="Tahoma" w:hAnsi="Tahoma" w:cs="Tahoma"/>
      <w:sz w:val="16"/>
      <w:szCs w:val="16"/>
      <w:lang w:val="es-ES" w:eastAsia="es-ES"/>
    </w:rPr>
  </w:style>
  <w:style w:type="paragraph" w:styleId="Encabezado">
    <w:name w:val="header"/>
    <w:basedOn w:val="Normal"/>
    <w:link w:val="EncabezadoCar"/>
    <w:unhideWhenUsed/>
    <w:rsid w:val="00C27421"/>
    <w:pPr>
      <w:tabs>
        <w:tab w:val="center" w:pos="4252"/>
        <w:tab w:val="right" w:pos="8504"/>
      </w:tabs>
    </w:pPr>
  </w:style>
  <w:style w:type="character" w:customStyle="1" w:styleId="EncabezadoCar">
    <w:name w:val="Encabezado Car"/>
    <w:basedOn w:val="Fuentedeprrafopredeter"/>
    <w:link w:val="Encabezado"/>
    <w:rsid w:val="00C27421"/>
    <w:rPr>
      <w:rFonts w:ascii="Arial" w:hAnsi="Arial"/>
      <w:sz w:val="24"/>
      <w:szCs w:val="24"/>
      <w:lang w:val="es-ES" w:eastAsia="es-ES"/>
    </w:rPr>
  </w:style>
  <w:style w:type="paragraph" w:customStyle="1" w:styleId="Textonormal">
    <w:name w:val="Texto normal"/>
    <w:basedOn w:val="Textoindependiente"/>
    <w:rsid w:val="00F1413C"/>
    <w:pPr>
      <w:widowControl w:val="0"/>
      <w:tabs>
        <w:tab w:val="left" w:pos="-720"/>
      </w:tabs>
      <w:suppressAutoHyphens/>
      <w:jc w:val="both"/>
    </w:pPr>
    <w:rPr>
      <w:rFonts w:ascii="Courier" w:hAnsi="Courier" w:cs="Courier"/>
      <w:spacing w:val="-3"/>
      <w:sz w:val="24"/>
      <w:szCs w:val="20"/>
      <w:lang w:val="es-ES_tradnl" w:eastAsia="zh-CN"/>
    </w:rPr>
  </w:style>
  <w:style w:type="paragraph" w:styleId="HTMLconformatoprevio">
    <w:name w:val="HTML Preformatted"/>
    <w:basedOn w:val="Normal"/>
    <w:link w:val="HTMLconformatoprevioCar"/>
    <w:uiPriority w:val="99"/>
    <w:semiHidden/>
    <w:unhideWhenUsed/>
    <w:rsid w:val="0034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477FC"/>
    <w:rPr>
      <w:rFonts w:ascii="Courier New" w:hAnsi="Courier New" w:cs="Courier New"/>
      <w:lang w:val="es-ES" w:eastAsia="es-ES"/>
    </w:rPr>
  </w:style>
  <w:style w:type="character" w:styleId="Refdecomentario">
    <w:name w:val="annotation reference"/>
    <w:basedOn w:val="Fuentedeprrafopredeter"/>
    <w:uiPriority w:val="99"/>
    <w:semiHidden/>
    <w:unhideWhenUsed/>
    <w:rsid w:val="003355DD"/>
    <w:rPr>
      <w:sz w:val="16"/>
      <w:szCs w:val="16"/>
    </w:rPr>
  </w:style>
  <w:style w:type="paragraph" w:styleId="Textocomentario">
    <w:name w:val="annotation text"/>
    <w:basedOn w:val="Normal"/>
    <w:link w:val="TextocomentarioCar"/>
    <w:uiPriority w:val="99"/>
    <w:semiHidden/>
    <w:unhideWhenUsed/>
    <w:rsid w:val="003355DD"/>
    <w:rPr>
      <w:sz w:val="20"/>
      <w:szCs w:val="20"/>
    </w:rPr>
  </w:style>
  <w:style w:type="character" w:customStyle="1" w:styleId="TextocomentarioCar">
    <w:name w:val="Texto comentario Car"/>
    <w:basedOn w:val="Fuentedeprrafopredeter"/>
    <w:link w:val="Textocomentario"/>
    <w:uiPriority w:val="99"/>
    <w:semiHidden/>
    <w:rsid w:val="003355DD"/>
    <w:rPr>
      <w:rFonts w:ascii="Arial" w:hAnsi="Arial"/>
      <w:lang w:val="es-ES" w:eastAsia="es-ES"/>
    </w:rPr>
  </w:style>
  <w:style w:type="character" w:customStyle="1" w:styleId="Ttulo2Car">
    <w:name w:val="Título 2 Car"/>
    <w:basedOn w:val="Fuentedeprrafopredeter"/>
    <w:link w:val="Ttulo2"/>
    <w:uiPriority w:val="9"/>
    <w:semiHidden/>
    <w:rsid w:val="0093459B"/>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6928-A4C4-4092-9FF9-2DA1A269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1378</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13</cp:revision>
  <cp:lastPrinted>2018-06-21T18:32:00Z</cp:lastPrinted>
  <dcterms:created xsi:type="dcterms:W3CDTF">2019-02-20T17:47:00Z</dcterms:created>
  <dcterms:modified xsi:type="dcterms:W3CDTF">2019-03-20T15:56:00Z</dcterms:modified>
</cp:coreProperties>
</file>