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39A" w:rsidRPr="00786EEB" w:rsidRDefault="00C9039A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426/19</w:t>
      </w:r>
    </w:p>
    <w:p w:rsidR="00C9039A" w:rsidRDefault="00C9039A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C9039A" w:rsidRPr="00C9039A" w:rsidRDefault="00C9039A" w:rsidP="00C9039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C9039A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C9039A" w:rsidRPr="00C9039A" w:rsidRDefault="00C9039A" w:rsidP="00C9039A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9039A" w:rsidRPr="00C9039A" w:rsidRDefault="00C9039A" w:rsidP="00C9039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C9039A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C9039A" w:rsidRPr="00C9039A" w:rsidRDefault="00C9039A" w:rsidP="00C9039A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9039A" w:rsidRPr="00C9039A" w:rsidRDefault="00C9039A" w:rsidP="00C9039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C9039A">
        <w:rPr>
          <w:rFonts w:ascii="Arial" w:hAnsi="Arial" w:cs="Arial"/>
          <w:b/>
          <w:sz w:val="24"/>
          <w:szCs w:val="24"/>
          <w:lang w:val="es-ES_tradnl"/>
        </w:rPr>
        <w:t>EN SESION DE FECHA 13 DE FEBRERO DE 2019</w:t>
      </w:r>
    </w:p>
    <w:p w:rsidR="00C9039A" w:rsidRPr="00C9039A" w:rsidRDefault="00C9039A" w:rsidP="00C9039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9039A" w:rsidRPr="00256905" w:rsidRDefault="00C9039A" w:rsidP="00C9039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UY"/>
        </w:rPr>
      </w:pPr>
      <w:r w:rsidRPr="00256905">
        <w:rPr>
          <w:rFonts w:ascii="Arial" w:hAnsi="Arial" w:cs="Arial"/>
          <w:b/>
          <w:sz w:val="24"/>
          <w:szCs w:val="24"/>
          <w:lang w:val="es-UY"/>
        </w:rPr>
        <w:t xml:space="preserve">(E. E. Nº </w:t>
      </w:r>
      <w:r w:rsidRPr="00C9039A">
        <w:rPr>
          <w:rFonts w:ascii="Arial" w:hAnsi="Arial" w:cs="Arial"/>
          <w:b/>
          <w:sz w:val="24"/>
          <w:szCs w:val="24"/>
        </w:rPr>
        <w:t>2019-17-1-0000541</w:t>
      </w:r>
      <w:r w:rsidRPr="00256905">
        <w:rPr>
          <w:rFonts w:ascii="Arial" w:hAnsi="Arial" w:cs="Arial"/>
          <w:b/>
          <w:sz w:val="24"/>
          <w:szCs w:val="24"/>
          <w:lang w:val="es-UY"/>
        </w:rPr>
        <w:t xml:space="preserve">, </w:t>
      </w:r>
      <w:proofErr w:type="spellStart"/>
      <w:r w:rsidRPr="00256905">
        <w:rPr>
          <w:rFonts w:ascii="Arial" w:hAnsi="Arial" w:cs="Arial"/>
          <w:b/>
          <w:sz w:val="24"/>
          <w:szCs w:val="24"/>
          <w:lang w:val="es-UY"/>
        </w:rPr>
        <w:t>Ent</w:t>
      </w:r>
      <w:proofErr w:type="spellEnd"/>
      <w:r w:rsidRPr="00256905">
        <w:rPr>
          <w:rFonts w:ascii="Arial" w:hAnsi="Arial" w:cs="Arial"/>
          <w:b/>
          <w:sz w:val="24"/>
          <w:szCs w:val="24"/>
          <w:lang w:val="es-UY"/>
        </w:rPr>
        <w:t>. N°412/19)</w:t>
      </w:r>
    </w:p>
    <w:p w:rsidR="00C9039A" w:rsidRPr="00256905" w:rsidRDefault="00C9039A">
      <w:pPr>
        <w:rPr>
          <w:lang w:val="es-UY"/>
        </w:rPr>
      </w:pPr>
    </w:p>
    <w:p w:rsidR="00741F46" w:rsidRDefault="00C9039A" w:rsidP="00C9039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VISTO:</w:t>
      </w:r>
      <w:r w:rsidR="00424C6A">
        <w:rPr>
          <w:rFonts w:ascii="Arial" w:hAnsi="Arial" w:cs="Arial"/>
          <w:b/>
          <w:sz w:val="24"/>
          <w:szCs w:val="24"/>
        </w:rPr>
        <w:t xml:space="preserve"> </w:t>
      </w:r>
      <w:r w:rsidR="00424C6A" w:rsidRPr="00424C6A">
        <w:rPr>
          <w:rFonts w:ascii="Arial" w:hAnsi="Arial" w:cs="Arial"/>
          <w:sz w:val="24"/>
          <w:szCs w:val="24"/>
        </w:rPr>
        <w:t>las actua</w:t>
      </w:r>
      <w:r w:rsidR="00424C6A">
        <w:rPr>
          <w:rFonts w:ascii="Arial" w:hAnsi="Arial" w:cs="Arial"/>
          <w:sz w:val="24"/>
          <w:szCs w:val="24"/>
        </w:rPr>
        <w:t xml:space="preserve">ciones </w:t>
      </w:r>
      <w:r w:rsidR="0070694D">
        <w:rPr>
          <w:rFonts w:ascii="Arial" w:hAnsi="Arial" w:cs="Arial"/>
          <w:sz w:val="24"/>
          <w:szCs w:val="24"/>
        </w:rPr>
        <w:t>remitidas p</w:t>
      </w:r>
      <w:r w:rsidR="00741F46">
        <w:rPr>
          <w:rFonts w:ascii="Arial" w:hAnsi="Arial" w:cs="Arial"/>
          <w:sz w:val="24"/>
          <w:szCs w:val="24"/>
        </w:rPr>
        <w:t>o</w:t>
      </w:r>
      <w:r w:rsidR="0070694D">
        <w:rPr>
          <w:rFonts w:ascii="Arial" w:hAnsi="Arial" w:cs="Arial"/>
          <w:sz w:val="24"/>
          <w:szCs w:val="24"/>
        </w:rPr>
        <w:t>r el Min</w:t>
      </w:r>
      <w:r w:rsidR="00741F46">
        <w:rPr>
          <w:rFonts w:ascii="Arial" w:hAnsi="Arial" w:cs="Arial"/>
          <w:sz w:val="24"/>
          <w:szCs w:val="24"/>
        </w:rPr>
        <w:t>i</w:t>
      </w:r>
      <w:r w:rsidR="0070694D">
        <w:rPr>
          <w:rFonts w:ascii="Arial" w:hAnsi="Arial" w:cs="Arial"/>
          <w:sz w:val="24"/>
          <w:szCs w:val="24"/>
        </w:rPr>
        <w:t xml:space="preserve">sterio de </w:t>
      </w:r>
      <w:r w:rsidR="00741F46">
        <w:rPr>
          <w:rFonts w:ascii="Arial" w:hAnsi="Arial" w:cs="Arial"/>
          <w:sz w:val="24"/>
          <w:szCs w:val="24"/>
        </w:rPr>
        <w:t>T</w:t>
      </w:r>
      <w:r w:rsidR="0070694D">
        <w:rPr>
          <w:rFonts w:ascii="Arial" w:hAnsi="Arial" w:cs="Arial"/>
          <w:sz w:val="24"/>
          <w:szCs w:val="24"/>
        </w:rPr>
        <w:t xml:space="preserve">ransporte y </w:t>
      </w:r>
      <w:r w:rsidR="00741F46">
        <w:rPr>
          <w:rFonts w:ascii="Arial" w:hAnsi="Arial" w:cs="Arial"/>
          <w:sz w:val="24"/>
          <w:szCs w:val="24"/>
        </w:rPr>
        <w:t>O</w:t>
      </w:r>
      <w:r w:rsidR="0070694D">
        <w:rPr>
          <w:rFonts w:ascii="Arial" w:hAnsi="Arial" w:cs="Arial"/>
          <w:sz w:val="24"/>
          <w:szCs w:val="24"/>
        </w:rPr>
        <w:t>bras Públicas</w:t>
      </w:r>
      <w:r w:rsidR="00766C56">
        <w:rPr>
          <w:rFonts w:ascii="Arial" w:hAnsi="Arial" w:cs="Arial"/>
          <w:sz w:val="24"/>
          <w:szCs w:val="24"/>
        </w:rPr>
        <w:t xml:space="preserve"> (MTOP)</w:t>
      </w:r>
      <w:r w:rsidR="00741F46">
        <w:rPr>
          <w:rFonts w:ascii="Arial" w:hAnsi="Arial" w:cs="Arial"/>
          <w:sz w:val="24"/>
          <w:szCs w:val="24"/>
        </w:rPr>
        <w:t xml:space="preserve">, relacionadas con el acuerdo transaccional con el Scotiabank Uruguay S.A.; </w:t>
      </w:r>
    </w:p>
    <w:p w:rsidR="00766C56" w:rsidRDefault="00741F46" w:rsidP="00C9039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41F46">
        <w:rPr>
          <w:rFonts w:ascii="Arial" w:hAnsi="Arial" w:cs="Arial"/>
          <w:b/>
          <w:sz w:val="24"/>
          <w:szCs w:val="24"/>
        </w:rPr>
        <w:t>RE</w:t>
      </w:r>
      <w:r>
        <w:rPr>
          <w:rFonts w:ascii="Arial" w:hAnsi="Arial" w:cs="Arial"/>
          <w:b/>
          <w:sz w:val="24"/>
          <w:szCs w:val="24"/>
        </w:rPr>
        <w:t>S</w:t>
      </w:r>
      <w:r w:rsidRPr="00741F46">
        <w:rPr>
          <w:rFonts w:ascii="Arial" w:hAnsi="Arial" w:cs="Arial"/>
          <w:b/>
          <w:sz w:val="24"/>
          <w:szCs w:val="24"/>
        </w:rPr>
        <w:t>ULTANDO: 1)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41F46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300A2">
        <w:rPr>
          <w:rFonts w:ascii="Arial" w:hAnsi="Arial" w:cs="Arial"/>
          <w:sz w:val="24"/>
          <w:szCs w:val="24"/>
        </w:rPr>
        <w:t>durante el año</w:t>
      </w:r>
      <w:r w:rsidRPr="00741F46">
        <w:rPr>
          <w:rFonts w:ascii="Arial" w:hAnsi="Arial" w:cs="Arial"/>
          <w:sz w:val="24"/>
          <w:szCs w:val="24"/>
        </w:rPr>
        <w:t xml:space="preserve"> 2007, el MTOP </w:t>
      </w:r>
      <w:r>
        <w:rPr>
          <w:rFonts w:ascii="Arial" w:hAnsi="Arial" w:cs="Arial"/>
          <w:sz w:val="24"/>
          <w:szCs w:val="24"/>
        </w:rPr>
        <w:t xml:space="preserve">a través de la Dirección Nacional de Hidrografía </w:t>
      </w:r>
      <w:r w:rsidR="00766C56">
        <w:rPr>
          <w:rFonts w:ascii="Arial" w:hAnsi="Arial" w:cs="Arial"/>
          <w:sz w:val="24"/>
          <w:szCs w:val="24"/>
        </w:rPr>
        <w:t xml:space="preserve">(DNH) </w:t>
      </w:r>
      <w:r w:rsidRPr="00741F46">
        <w:rPr>
          <w:rFonts w:ascii="Arial" w:hAnsi="Arial" w:cs="Arial"/>
          <w:sz w:val="24"/>
          <w:szCs w:val="24"/>
        </w:rPr>
        <w:t>convocó dos licitaciones</w:t>
      </w:r>
      <w:r>
        <w:rPr>
          <w:rFonts w:ascii="Arial" w:hAnsi="Arial" w:cs="Arial"/>
          <w:sz w:val="24"/>
          <w:szCs w:val="24"/>
        </w:rPr>
        <w:t>,</w:t>
      </w:r>
      <w:r w:rsidR="00F0251C">
        <w:rPr>
          <w:rFonts w:ascii="Arial" w:hAnsi="Arial" w:cs="Arial"/>
          <w:sz w:val="24"/>
          <w:szCs w:val="24"/>
        </w:rPr>
        <w:t xml:space="preserve"> a saber: </w:t>
      </w:r>
      <w:r w:rsidR="00C9039A">
        <w:rPr>
          <w:rFonts w:ascii="Arial" w:hAnsi="Arial" w:cs="Arial"/>
          <w:sz w:val="24"/>
          <w:szCs w:val="24"/>
        </w:rPr>
        <w:t xml:space="preserve">     </w:t>
      </w:r>
      <w:r w:rsidR="00B300A2">
        <w:rPr>
          <w:rFonts w:ascii="Arial" w:hAnsi="Arial" w:cs="Arial"/>
          <w:sz w:val="24"/>
          <w:szCs w:val="24"/>
        </w:rPr>
        <w:t>Nº</w:t>
      </w:r>
      <w:r w:rsidR="00F0251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1/2007 para el </w:t>
      </w:r>
      <w:r w:rsidR="00F0251C">
        <w:rPr>
          <w:rFonts w:ascii="Arial" w:hAnsi="Arial" w:cs="Arial"/>
          <w:sz w:val="24"/>
          <w:szCs w:val="24"/>
        </w:rPr>
        <w:t>“R</w:t>
      </w:r>
      <w:r>
        <w:rPr>
          <w:rFonts w:ascii="Arial" w:hAnsi="Arial" w:cs="Arial"/>
          <w:sz w:val="24"/>
          <w:szCs w:val="24"/>
        </w:rPr>
        <w:t>eacondicionamiento y reparación de estructuras en el puerto de Punta del Este: Obra 1 Muelle oficial, muelle de transición, marinas 1 y 2</w:t>
      </w:r>
      <w:r w:rsidR="00F0251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y muros de rivera a bajo nivel</w:t>
      </w:r>
      <w:r w:rsidR="00B300A2">
        <w:rPr>
          <w:rFonts w:ascii="Arial" w:hAnsi="Arial" w:cs="Arial"/>
          <w:sz w:val="24"/>
          <w:szCs w:val="24"/>
        </w:rPr>
        <w:t>”; y Nº</w:t>
      </w:r>
      <w:r w:rsidR="00F0251C">
        <w:rPr>
          <w:rFonts w:ascii="Arial" w:hAnsi="Arial" w:cs="Arial"/>
          <w:sz w:val="24"/>
          <w:szCs w:val="24"/>
        </w:rPr>
        <w:t xml:space="preserve"> 2/2007</w:t>
      </w:r>
      <w:r w:rsidR="00766C56">
        <w:rPr>
          <w:rFonts w:ascii="Arial" w:hAnsi="Arial" w:cs="Arial"/>
          <w:sz w:val="24"/>
          <w:szCs w:val="24"/>
        </w:rPr>
        <w:t>, para el “Reacondicionamiento y reparaci</w:t>
      </w:r>
      <w:r w:rsidR="00D53662">
        <w:rPr>
          <w:rFonts w:ascii="Arial" w:hAnsi="Arial" w:cs="Arial"/>
          <w:sz w:val="24"/>
          <w:szCs w:val="24"/>
        </w:rPr>
        <w:t>ó</w:t>
      </w:r>
      <w:r w:rsidR="00766C56">
        <w:rPr>
          <w:rFonts w:ascii="Arial" w:hAnsi="Arial" w:cs="Arial"/>
          <w:sz w:val="24"/>
          <w:szCs w:val="24"/>
        </w:rPr>
        <w:t>n de estructuras en el Puerto de Punta del Este, Obra 2: Escollera y Muelle interior</w:t>
      </w:r>
      <w:r w:rsidR="00B300A2">
        <w:rPr>
          <w:rFonts w:ascii="Arial" w:hAnsi="Arial" w:cs="Arial"/>
          <w:sz w:val="24"/>
          <w:szCs w:val="24"/>
        </w:rPr>
        <w:t>”</w:t>
      </w:r>
      <w:r w:rsidR="00766C56">
        <w:rPr>
          <w:rFonts w:ascii="Arial" w:hAnsi="Arial" w:cs="Arial"/>
          <w:sz w:val="24"/>
          <w:szCs w:val="24"/>
        </w:rPr>
        <w:t xml:space="preserve">; </w:t>
      </w:r>
    </w:p>
    <w:p w:rsidR="00766C56" w:rsidRDefault="00766C56" w:rsidP="00C9039A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766C56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ambas obras fueron adjudicadas a Constructora Santa María S.A., por resolución del Poder Ejecutivo de fecha 8/10/2007; </w:t>
      </w:r>
    </w:p>
    <w:p w:rsidR="00766C56" w:rsidRDefault="00766C56" w:rsidP="00C9039A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766C56">
        <w:rPr>
          <w:rFonts w:ascii="Arial" w:hAnsi="Arial" w:cs="Arial"/>
          <w:b/>
          <w:sz w:val="24"/>
          <w:szCs w:val="24"/>
        </w:rPr>
        <w:t xml:space="preserve">3) </w:t>
      </w:r>
      <w:r w:rsidRPr="00766C56">
        <w:rPr>
          <w:rFonts w:ascii="Arial" w:hAnsi="Arial" w:cs="Arial"/>
          <w:sz w:val="24"/>
          <w:szCs w:val="24"/>
        </w:rPr>
        <w:t>que con fecha 26/8/2010</w:t>
      </w:r>
      <w:r>
        <w:rPr>
          <w:rFonts w:ascii="Arial" w:hAnsi="Arial" w:cs="Arial"/>
          <w:sz w:val="24"/>
          <w:szCs w:val="24"/>
        </w:rPr>
        <w:t xml:space="preserve"> la DNH y CSM suscribieron un acta de acuerdo de rescisión de contrato;</w:t>
      </w:r>
    </w:p>
    <w:p w:rsidR="00C9039A" w:rsidRDefault="00766C56" w:rsidP="00C9039A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766C56">
        <w:rPr>
          <w:rFonts w:ascii="Arial" w:hAnsi="Arial" w:cs="Arial"/>
          <w:b/>
          <w:sz w:val="24"/>
          <w:szCs w:val="24"/>
        </w:rPr>
        <w:t xml:space="preserve">4) </w:t>
      </w:r>
      <w:r>
        <w:rPr>
          <w:rFonts w:ascii="Arial" w:hAnsi="Arial" w:cs="Arial"/>
          <w:sz w:val="24"/>
          <w:szCs w:val="24"/>
        </w:rPr>
        <w:t>que con fecha 29/3/2011, la adjudicataria manifestó discrepancias con los certificados emitidos por la Dirección de Obra de la DNH correspondientes a los meses de noviembre y Diciembre de 201</w:t>
      </w:r>
      <w:r w:rsidR="00B300A2">
        <w:rPr>
          <w:rFonts w:ascii="Arial" w:hAnsi="Arial" w:cs="Arial"/>
          <w:sz w:val="24"/>
          <w:szCs w:val="24"/>
        </w:rPr>
        <w:t>0 y solicitó la intervención de un</w:t>
      </w:r>
      <w:r>
        <w:rPr>
          <w:rFonts w:ascii="Arial" w:hAnsi="Arial" w:cs="Arial"/>
          <w:sz w:val="24"/>
          <w:szCs w:val="24"/>
        </w:rPr>
        <w:t xml:space="preserve"> conciliador</w:t>
      </w:r>
      <w:r w:rsidR="00B300A2">
        <w:rPr>
          <w:rFonts w:ascii="Arial" w:hAnsi="Arial" w:cs="Arial"/>
          <w:sz w:val="24"/>
          <w:szCs w:val="24"/>
        </w:rPr>
        <w:t xml:space="preserve"> en los términos previstos en el contrato (artículo 24.1 de las Condiciones Especiales de la Contratación). Dicho conciliador fue </w:t>
      </w:r>
      <w:r w:rsidR="00B300A2">
        <w:rPr>
          <w:rFonts w:ascii="Arial" w:hAnsi="Arial" w:cs="Arial"/>
          <w:sz w:val="24"/>
          <w:szCs w:val="24"/>
        </w:rPr>
        <w:lastRenderedPageBreak/>
        <w:t>designado de</w:t>
      </w:r>
      <w:r w:rsidR="005820C2">
        <w:rPr>
          <w:rFonts w:ascii="Arial" w:hAnsi="Arial" w:cs="Arial"/>
          <w:sz w:val="24"/>
          <w:szCs w:val="24"/>
        </w:rPr>
        <w:t xml:space="preserve"> común acuerdo al Ing. Ariel Nieto, quien entregó su informe el 30/4/2012;</w:t>
      </w:r>
    </w:p>
    <w:p w:rsidR="00C9039A" w:rsidRDefault="005820C2" w:rsidP="00C9039A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5820C2">
        <w:rPr>
          <w:rFonts w:ascii="Arial" w:hAnsi="Arial" w:cs="Arial"/>
          <w:b/>
          <w:sz w:val="24"/>
          <w:szCs w:val="24"/>
        </w:rPr>
        <w:t>5)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300A2">
        <w:rPr>
          <w:rFonts w:ascii="Arial" w:hAnsi="Arial" w:cs="Arial"/>
          <w:sz w:val="24"/>
          <w:szCs w:val="24"/>
        </w:rPr>
        <w:t>que la empresa CSM</w:t>
      </w:r>
      <w:r w:rsidRPr="005820C2">
        <w:rPr>
          <w:rFonts w:ascii="Arial" w:hAnsi="Arial" w:cs="Arial"/>
          <w:sz w:val="24"/>
          <w:szCs w:val="24"/>
        </w:rPr>
        <w:t xml:space="preserve"> manifestó su discrepancia con el informe y solicitó dar inicio al procedimiento de arbitraje. El MTOP rechazó participar en dicho pro</w:t>
      </w:r>
      <w:r w:rsidR="00B300A2">
        <w:rPr>
          <w:rFonts w:ascii="Arial" w:hAnsi="Arial" w:cs="Arial"/>
          <w:sz w:val="24"/>
          <w:szCs w:val="24"/>
        </w:rPr>
        <w:t>cedimiento mientras estuviera en trámite</w:t>
      </w:r>
      <w:r w:rsidRPr="005820C2">
        <w:rPr>
          <w:rFonts w:ascii="Arial" w:hAnsi="Arial" w:cs="Arial"/>
          <w:sz w:val="24"/>
          <w:szCs w:val="24"/>
        </w:rPr>
        <w:t xml:space="preserve"> la Acción de Nulidad ante el Tribunal de lo Contencioso Administrativo</w:t>
      </w:r>
      <w:r>
        <w:rPr>
          <w:rFonts w:ascii="Arial" w:hAnsi="Arial" w:cs="Arial"/>
          <w:sz w:val="24"/>
          <w:szCs w:val="24"/>
        </w:rPr>
        <w:t xml:space="preserve"> (TCA). Con fecha 9/10/2014, el TCA emitió su fallo declarando que carecía de jurisdicción</w:t>
      </w:r>
      <w:r w:rsidR="00B300A2">
        <w:rPr>
          <w:rFonts w:ascii="Arial" w:hAnsi="Arial" w:cs="Arial"/>
          <w:sz w:val="24"/>
          <w:szCs w:val="24"/>
        </w:rPr>
        <w:t xml:space="preserve"> para entender en la cuestión planteada</w:t>
      </w:r>
      <w:r>
        <w:rPr>
          <w:rFonts w:ascii="Arial" w:hAnsi="Arial" w:cs="Arial"/>
          <w:sz w:val="24"/>
          <w:szCs w:val="24"/>
        </w:rPr>
        <w:t xml:space="preserve">; </w:t>
      </w:r>
    </w:p>
    <w:p w:rsidR="00C9039A" w:rsidRDefault="005820C2" w:rsidP="00C9039A">
      <w:pPr>
        <w:spacing w:after="0" w:line="360" w:lineRule="auto"/>
        <w:ind w:firstLine="2694"/>
        <w:jc w:val="both"/>
        <w:rPr>
          <w:rFonts w:ascii="Arial" w:hAnsi="Arial" w:cs="Arial"/>
          <w:b/>
          <w:sz w:val="24"/>
          <w:szCs w:val="24"/>
        </w:rPr>
      </w:pPr>
      <w:r w:rsidRPr="005820C2">
        <w:rPr>
          <w:rFonts w:ascii="Arial" w:hAnsi="Arial" w:cs="Arial"/>
          <w:b/>
          <w:sz w:val="24"/>
          <w:szCs w:val="24"/>
        </w:rPr>
        <w:t xml:space="preserve">6) </w:t>
      </w:r>
      <w:r w:rsidR="00B300A2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CSM tramitó el otorgamiento de compromiso arbitral ante el Juzgado Letrado Civil</w:t>
      </w:r>
      <w:r w:rsidR="00B300A2">
        <w:rPr>
          <w:rFonts w:ascii="Arial" w:hAnsi="Arial" w:cs="Arial"/>
          <w:sz w:val="24"/>
          <w:szCs w:val="24"/>
        </w:rPr>
        <w:t xml:space="preserve"> de 2º. Turno. Por </w:t>
      </w:r>
      <w:r w:rsidR="00256905">
        <w:rPr>
          <w:rFonts w:ascii="Arial" w:hAnsi="Arial" w:cs="Arial"/>
          <w:sz w:val="24"/>
          <w:szCs w:val="24"/>
        </w:rPr>
        <w:t>S</w:t>
      </w:r>
      <w:r w:rsidR="00B300A2">
        <w:rPr>
          <w:rFonts w:ascii="Arial" w:hAnsi="Arial" w:cs="Arial"/>
          <w:sz w:val="24"/>
          <w:szCs w:val="24"/>
        </w:rPr>
        <w:t>entencia Nº</w:t>
      </w:r>
      <w:r>
        <w:rPr>
          <w:rFonts w:ascii="Arial" w:hAnsi="Arial" w:cs="Arial"/>
          <w:sz w:val="24"/>
          <w:szCs w:val="24"/>
        </w:rPr>
        <w:t xml:space="preserve"> 946/2017, se resolvió dicho otorgamiento y  se designó a los árbitros Dr. Leonardo Costa por parte del MTOP, al Dr. Augusto Durán Martínez</w:t>
      </w:r>
      <w:r w:rsidR="0060490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por parte de CSM, decisi</w:t>
      </w:r>
      <w:r w:rsidR="00604900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>n ratificada por Scotiabank</w:t>
      </w:r>
      <w:r w:rsidR="00B300A2">
        <w:rPr>
          <w:rFonts w:ascii="Arial" w:hAnsi="Arial" w:cs="Arial"/>
          <w:sz w:val="24"/>
          <w:szCs w:val="24"/>
        </w:rPr>
        <w:t xml:space="preserve"> Uruguay S.A., y por</w:t>
      </w:r>
      <w:r w:rsidR="00604900">
        <w:rPr>
          <w:rFonts w:ascii="Arial" w:hAnsi="Arial" w:cs="Arial"/>
          <w:sz w:val="24"/>
          <w:szCs w:val="24"/>
        </w:rPr>
        <w:t xml:space="preserve"> designación expresa</w:t>
      </w:r>
      <w:r w:rsidR="00B300A2">
        <w:rPr>
          <w:rFonts w:ascii="Arial" w:hAnsi="Arial" w:cs="Arial"/>
          <w:sz w:val="24"/>
          <w:szCs w:val="24"/>
        </w:rPr>
        <w:t xml:space="preserve"> del Juzgado</w:t>
      </w:r>
      <w:r w:rsidR="000E4AF7">
        <w:rPr>
          <w:rFonts w:ascii="Arial" w:hAnsi="Arial" w:cs="Arial"/>
          <w:sz w:val="24"/>
          <w:szCs w:val="24"/>
        </w:rPr>
        <w:t>,</w:t>
      </w:r>
      <w:r w:rsidR="00604900">
        <w:rPr>
          <w:rFonts w:ascii="Arial" w:hAnsi="Arial" w:cs="Arial"/>
          <w:sz w:val="24"/>
          <w:szCs w:val="24"/>
        </w:rPr>
        <w:t xml:space="preserve"> al Dr. Alejandro Santi como tercer árbitro y </w:t>
      </w:r>
      <w:r w:rsidR="000E4AF7">
        <w:rPr>
          <w:rFonts w:ascii="Arial" w:hAnsi="Arial" w:cs="Arial"/>
          <w:sz w:val="24"/>
          <w:szCs w:val="24"/>
        </w:rPr>
        <w:t>p</w:t>
      </w:r>
      <w:r w:rsidR="00604900">
        <w:rPr>
          <w:rFonts w:ascii="Arial" w:hAnsi="Arial" w:cs="Arial"/>
          <w:sz w:val="24"/>
          <w:szCs w:val="24"/>
        </w:rPr>
        <w:t xml:space="preserve">residente del </w:t>
      </w:r>
      <w:r w:rsidR="000E4AF7">
        <w:rPr>
          <w:rFonts w:ascii="Arial" w:hAnsi="Arial" w:cs="Arial"/>
          <w:sz w:val="24"/>
          <w:szCs w:val="24"/>
        </w:rPr>
        <w:t>t</w:t>
      </w:r>
      <w:r w:rsidR="00604900">
        <w:rPr>
          <w:rFonts w:ascii="Arial" w:hAnsi="Arial" w:cs="Arial"/>
          <w:sz w:val="24"/>
          <w:szCs w:val="24"/>
        </w:rPr>
        <w:t xml:space="preserve">ribunal arbitral; </w:t>
      </w:r>
      <w:r>
        <w:rPr>
          <w:rFonts w:ascii="Arial" w:hAnsi="Arial" w:cs="Arial"/>
          <w:sz w:val="24"/>
          <w:szCs w:val="24"/>
        </w:rPr>
        <w:t xml:space="preserve">   </w:t>
      </w:r>
      <w:r w:rsidRPr="005820C2">
        <w:rPr>
          <w:rFonts w:ascii="Arial" w:hAnsi="Arial" w:cs="Arial"/>
          <w:b/>
          <w:sz w:val="24"/>
          <w:szCs w:val="24"/>
        </w:rPr>
        <w:t xml:space="preserve">      </w:t>
      </w:r>
      <w:r w:rsidR="00B300A2">
        <w:rPr>
          <w:rFonts w:ascii="Arial" w:hAnsi="Arial" w:cs="Arial"/>
          <w:b/>
          <w:sz w:val="24"/>
          <w:szCs w:val="24"/>
        </w:rPr>
        <w:t xml:space="preserve">     </w:t>
      </w:r>
    </w:p>
    <w:p w:rsidR="00C9039A" w:rsidRDefault="00604900" w:rsidP="00C9039A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7) </w:t>
      </w:r>
      <w:r>
        <w:rPr>
          <w:rFonts w:ascii="Arial" w:hAnsi="Arial" w:cs="Arial"/>
          <w:sz w:val="24"/>
          <w:szCs w:val="24"/>
        </w:rPr>
        <w:t xml:space="preserve">que por documento privado la firma CSM cedió al Nuevo Banco Comercial, hoy Scotiabank Uruguay S.A. los créditos de </w:t>
      </w:r>
      <w:r w:rsidR="00B300A2">
        <w:rPr>
          <w:rFonts w:ascii="Arial" w:hAnsi="Arial" w:cs="Arial"/>
          <w:sz w:val="24"/>
          <w:szCs w:val="24"/>
        </w:rPr>
        <w:t xml:space="preserve">los </w:t>
      </w:r>
      <w:r>
        <w:rPr>
          <w:rFonts w:ascii="Arial" w:hAnsi="Arial" w:cs="Arial"/>
          <w:sz w:val="24"/>
          <w:szCs w:val="24"/>
        </w:rPr>
        <w:t>que era titular contra MTOP-DNH</w:t>
      </w:r>
      <w:r w:rsidR="005C227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hasta un monto de U$S 3:000.000; </w:t>
      </w:r>
    </w:p>
    <w:p w:rsidR="00C9039A" w:rsidRDefault="00604900" w:rsidP="00C9039A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604900">
        <w:rPr>
          <w:rFonts w:ascii="Arial" w:hAnsi="Arial" w:cs="Arial"/>
          <w:b/>
          <w:sz w:val="24"/>
          <w:szCs w:val="24"/>
        </w:rPr>
        <w:t xml:space="preserve">8) </w:t>
      </w:r>
      <w:r w:rsidRPr="00604900">
        <w:rPr>
          <w:rFonts w:ascii="Arial" w:hAnsi="Arial" w:cs="Arial"/>
          <w:sz w:val="24"/>
          <w:szCs w:val="24"/>
        </w:rPr>
        <w:t>que con fecha 24/9/2018, se dio inicio al p</w:t>
      </w:r>
      <w:r w:rsidR="00256905">
        <w:rPr>
          <w:rFonts w:ascii="Arial" w:hAnsi="Arial" w:cs="Arial"/>
          <w:sz w:val="24"/>
          <w:szCs w:val="24"/>
        </w:rPr>
        <w:t xml:space="preserve">roceso arbitral, y se fijó </w:t>
      </w:r>
      <w:r w:rsidR="005C2276">
        <w:rPr>
          <w:rFonts w:ascii="Arial" w:hAnsi="Arial" w:cs="Arial"/>
          <w:sz w:val="24"/>
          <w:szCs w:val="24"/>
        </w:rPr>
        <w:t xml:space="preserve">como monto provisional del asunto en </w:t>
      </w:r>
      <w:r>
        <w:rPr>
          <w:rFonts w:ascii="Arial" w:hAnsi="Arial" w:cs="Arial"/>
          <w:sz w:val="24"/>
          <w:szCs w:val="24"/>
        </w:rPr>
        <w:t xml:space="preserve"> la suma de</w:t>
      </w:r>
      <w:r w:rsidR="00256905">
        <w:rPr>
          <w:rFonts w:ascii="Arial" w:hAnsi="Arial" w:cs="Arial"/>
          <w:sz w:val="24"/>
          <w:szCs w:val="24"/>
        </w:rPr>
        <w:t xml:space="preserve">                    </w:t>
      </w:r>
      <w:r>
        <w:rPr>
          <w:rFonts w:ascii="Arial" w:hAnsi="Arial" w:cs="Arial"/>
          <w:sz w:val="24"/>
          <w:szCs w:val="24"/>
        </w:rPr>
        <w:t xml:space="preserve">$ 77:370.365; </w:t>
      </w:r>
    </w:p>
    <w:p w:rsidR="00C9039A" w:rsidRDefault="009C113E" w:rsidP="00C9039A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9C113E">
        <w:rPr>
          <w:rFonts w:ascii="Arial" w:hAnsi="Arial" w:cs="Arial"/>
          <w:b/>
          <w:sz w:val="24"/>
          <w:szCs w:val="24"/>
        </w:rPr>
        <w:t xml:space="preserve">9) </w:t>
      </w:r>
      <w:r w:rsidR="005C2276">
        <w:rPr>
          <w:rFonts w:ascii="Arial" w:hAnsi="Arial" w:cs="Arial"/>
          <w:sz w:val="24"/>
          <w:szCs w:val="24"/>
        </w:rPr>
        <w:t>que para precaver el litigio, se llegó a un</w:t>
      </w:r>
      <w:r>
        <w:rPr>
          <w:rFonts w:ascii="Arial" w:hAnsi="Arial" w:cs="Arial"/>
          <w:sz w:val="24"/>
          <w:szCs w:val="24"/>
        </w:rPr>
        <w:t xml:space="preserve"> acuerdo transaccional, </w:t>
      </w:r>
      <w:r w:rsidR="005C2276">
        <w:rPr>
          <w:rFonts w:ascii="Arial" w:hAnsi="Arial" w:cs="Arial"/>
          <w:sz w:val="24"/>
          <w:szCs w:val="24"/>
        </w:rPr>
        <w:t xml:space="preserve">por </w:t>
      </w:r>
      <w:r>
        <w:rPr>
          <w:rFonts w:ascii="Arial" w:hAnsi="Arial" w:cs="Arial"/>
          <w:sz w:val="24"/>
          <w:szCs w:val="24"/>
        </w:rPr>
        <w:t xml:space="preserve">el </w:t>
      </w:r>
      <w:r w:rsidR="005C2276">
        <w:rPr>
          <w:rFonts w:ascii="Arial" w:hAnsi="Arial" w:cs="Arial"/>
          <w:sz w:val="24"/>
          <w:szCs w:val="24"/>
        </w:rPr>
        <w:t xml:space="preserve">que el </w:t>
      </w:r>
      <w:r>
        <w:rPr>
          <w:rFonts w:ascii="Arial" w:hAnsi="Arial" w:cs="Arial"/>
          <w:sz w:val="24"/>
          <w:szCs w:val="24"/>
        </w:rPr>
        <w:t>MTOP se obligó a abonar al Scotiabank Uruguay S.A., la suma de $ 22:846.058, a noviembre de 2018, en un plazo de 60 días a partir de su presentación ante el Tribunal arbitral. Las partes también acordaron sufragar cada una el 50% de los honor</w:t>
      </w:r>
      <w:r w:rsidR="005C2276">
        <w:rPr>
          <w:rFonts w:ascii="Arial" w:hAnsi="Arial" w:cs="Arial"/>
          <w:sz w:val="24"/>
          <w:szCs w:val="24"/>
        </w:rPr>
        <w:t>arios  del Tribunal más IVA</w:t>
      </w:r>
      <w:r>
        <w:rPr>
          <w:rFonts w:ascii="Arial" w:hAnsi="Arial" w:cs="Arial"/>
          <w:sz w:val="24"/>
          <w:szCs w:val="24"/>
        </w:rPr>
        <w:t xml:space="preserve">, así como los gastos administrativos del Centro de Conciliación y Arbitraje –Corte de Arbitraje Internacional para el Mercosur–Bolsa de Comercio; </w:t>
      </w:r>
    </w:p>
    <w:p w:rsidR="00424C6A" w:rsidRDefault="009C113E" w:rsidP="00C9039A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9C113E">
        <w:rPr>
          <w:rFonts w:ascii="Arial" w:hAnsi="Arial" w:cs="Arial"/>
          <w:b/>
          <w:sz w:val="24"/>
          <w:szCs w:val="24"/>
        </w:rPr>
        <w:t xml:space="preserve">10) </w:t>
      </w:r>
      <w:r w:rsidR="005C2276">
        <w:rPr>
          <w:rFonts w:ascii="Arial" w:hAnsi="Arial" w:cs="Arial"/>
          <w:sz w:val="24"/>
          <w:szCs w:val="24"/>
        </w:rPr>
        <w:t>que se adjunta</w:t>
      </w:r>
      <w:r w:rsidR="00F174F1">
        <w:rPr>
          <w:rFonts w:ascii="Arial" w:hAnsi="Arial" w:cs="Arial"/>
          <w:sz w:val="24"/>
          <w:szCs w:val="24"/>
        </w:rPr>
        <w:t xml:space="preserve"> proyecto de resolución del Ministerio actuante, disponiendo el pago del acuerdo transaccional por la suma de $ 22:846.058</w:t>
      </w:r>
      <w:r w:rsidR="003972C5">
        <w:rPr>
          <w:rFonts w:ascii="Arial" w:hAnsi="Arial" w:cs="Arial"/>
          <w:sz w:val="24"/>
          <w:szCs w:val="24"/>
        </w:rPr>
        <w:t xml:space="preserve">, </w:t>
      </w:r>
      <w:r w:rsidR="005C2276">
        <w:rPr>
          <w:rFonts w:ascii="Arial" w:hAnsi="Arial" w:cs="Arial"/>
          <w:sz w:val="24"/>
          <w:szCs w:val="24"/>
        </w:rPr>
        <w:t xml:space="preserve">y </w:t>
      </w:r>
      <w:r w:rsidR="009D4796">
        <w:rPr>
          <w:rFonts w:ascii="Arial" w:hAnsi="Arial" w:cs="Arial"/>
          <w:sz w:val="24"/>
          <w:szCs w:val="24"/>
        </w:rPr>
        <w:t>D</w:t>
      </w:r>
      <w:r w:rsidR="005C2276">
        <w:rPr>
          <w:rFonts w:ascii="Arial" w:hAnsi="Arial" w:cs="Arial"/>
          <w:sz w:val="24"/>
          <w:szCs w:val="24"/>
        </w:rPr>
        <w:t xml:space="preserve">ocumento de </w:t>
      </w:r>
      <w:r w:rsidR="009D4796">
        <w:rPr>
          <w:rFonts w:ascii="Arial" w:hAnsi="Arial" w:cs="Arial"/>
          <w:sz w:val="24"/>
          <w:szCs w:val="24"/>
        </w:rPr>
        <w:t>A</w:t>
      </w:r>
      <w:r w:rsidR="005C2276">
        <w:rPr>
          <w:rFonts w:ascii="Arial" w:hAnsi="Arial" w:cs="Arial"/>
          <w:sz w:val="24"/>
          <w:szCs w:val="24"/>
        </w:rPr>
        <w:t xml:space="preserve">fectación Nº </w:t>
      </w:r>
      <w:r w:rsidR="00F174F1">
        <w:rPr>
          <w:rFonts w:ascii="Arial" w:hAnsi="Arial" w:cs="Arial"/>
          <w:sz w:val="24"/>
          <w:szCs w:val="24"/>
        </w:rPr>
        <w:t xml:space="preserve"> 000045 de fecha 14/1/19, por </w:t>
      </w:r>
      <w:r w:rsidR="005211A1">
        <w:rPr>
          <w:rFonts w:ascii="Arial" w:hAnsi="Arial" w:cs="Arial"/>
          <w:sz w:val="24"/>
          <w:szCs w:val="24"/>
        </w:rPr>
        <w:lastRenderedPageBreak/>
        <w:t>dicha su</w:t>
      </w:r>
      <w:r w:rsidR="00F174F1">
        <w:rPr>
          <w:rFonts w:ascii="Arial" w:hAnsi="Arial" w:cs="Arial"/>
          <w:sz w:val="24"/>
          <w:szCs w:val="24"/>
        </w:rPr>
        <w:t>ma</w:t>
      </w:r>
      <w:r w:rsidR="005211A1">
        <w:rPr>
          <w:rFonts w:ascii="Arial" w:hAnsi="Arial" w:cs="Arial"/>
          <w:sz w:val="24"/>
          <w:szCs w:val="24"/>
        </w:rPr>
        <w:t>,</w:t>
      </w:r>
      <w:r w:rsidR="00F174F1">
        <w:rPr>
          <w:rFonts w:ascii="Arial" w:hAnsi="Arial" w:cs="Arial"/>
          <w:sz w:val="24"/>
          <w:szCs w:val="24"/>
        </w:rPr>
        <w:t xml:space="preserve"> con cargo al </w:t>
      </w:r>
      <w:r w:rsidR="0027225F">
        <w:rPr>
          <w:rFonts w:ascii="Arial" w:hAnsi="Arial" w:cs="Arial"/>
          <w:sz w:val="24"/>
          <w:szCs w:val="24"/>
        </w:rPr>
        <w:t>P</w:t>
      </w:r>
      <w:r w:rsidR="00F174F1">
        <w:rPr>
          <w:rFonts w:ascii="Arial" w:hAnsi="Arial" w:cs="Arial"/>
          <w:sz w:val="24"/>
          <w:szCs w:val="24"/>
        </w:rPr>
        <w:t xml:space="preserve">rograma 363, Proyecto 757 </w:t>
      </w:r>
      <w:r w:rsidR="0027225F">
        <w:rPr>
          <w:rFonts w:ascii="Arial" w:hAnsi="Arial" w:cs="Arial"/>
          <w:sz w:val="24"/>
          <w:szCs w:val="24"/>
        </w:rPr>
        <w:t>O</w:t>
      </w:r>
      <w:r w:rsidR="00F174F1">
        <w:rPr>
          <w:rFonts w:ascii="Arial" w:hAnsi="Arial" w:cs="Arial"/>
          <w:sz w:val="24"/>
          <w:szCs w:val="24"/>
        </w:rPr>
        <w:t>bjeto de</w:t>
      </w:r>
      <w:r w:rsidR="0027225F">
        <w:rPr>
          <w:rFonts w:ascii="Arial" w:hAnsi="Arial" w:cs="Arial"/>
          <w:sz w:val="24"/>
          <w:szCs w:val="24"/>
        </w:rPr>
        <w:t>l</w:t>
      </w:r>
      <w:r w:rsidR="00F174F1">
        <w:rPr>
          <w:rFonts w:ascii="Arial" w:hAnsi="Arial" w:cs="Arial"/>
          <w:sz w:val="24"/>
          <w:szCs w:val="24"/>
        </w:rPr>
        <w:t xml:space="preserve"> Gasto 591, del Ejercicio 2019; </w:t>
      </w:r>
    </w:p>
    <w:p w:rsidR="00D7071E" w:rsidRPr="00D7071E" w:rsidRDefault="00D7071E" w:rsidP="00C9039A">
      <w:pPr>
        <w:tabs>
          <w:tab w:val="left" w:pos="-720"/>
        </w:tabs>
        <w:suppressAutoHyphens/>
        <w:spacing w:after="0" w:line="360" w:lineRule="auto"/>
        <w:ind w:firstLine="851"/>
        <w:jc w:val="both"/>
        <w:rPr>
          <w:rFonts w:ascii="Arial" w:hAnsi="Arial" w:cs="Arial"/>
          <w:bCs/>
          <w:spacing w:val="-3"/>
          <w:sz w:val="24"/>
          <w:szCs w:val="24"/>
          <w:lang w:val="es-ES_tradnl"/>
        </w:rPr>
      </w:pPr>
      <w:r w:rsidRPr="00D7071E">
        <w:rPr>
          <w:rFonts w:ascii="Arial" w:hAnsi="Arial" w:cs="Arial"/>
          <w:b/>
          <w:spacing w:val="-3"/>
          <w:sz w:val="24"/>
          <w:szCs w:val="24"/>
        </w:rPr>
        <w:t>C</w:t>
      </w:r>
      <w:r w:rsidRPr="00D7071E">
        <w:rPr>
          <w:rFonts w:ascii="Arial" w:hAnsi="Arial" w:cs="Arial"/>
          <w:b/>
          <w:spacing w:val="-3"/>
          <w:sz w:val="24"/>
          <w:szCs w:val="24"/>
          <w:lang w:val="es-ES_tradnl"/>
        </w:rPr>
        <w:t xml:space="preserve">ONSIDERANDO: 1) </w:t>
      </w:r>
      <w:r w:rsidR="005C2276">
        <w:rPr>
          <w:rFonts w:ascii="Arial" w:hAnsi="Arial" w:cs="Arial"/>
          <w:bCs/>
          <w:spacing w:val="-3"/>
          <w:sz w:val="24"/>
          <w:szCs w:val="24"/>
          <w:lang w:val="es-ES_tradnl"/>
        </w:rPr>
        <w:t>que este</w:t>
      </w:r>
      <w:r w:rsidRPr="00D7071E">
        <w:rPr>
          <w:rFonts w:ascii="Arial" w:hAnsi="Arial" w:cs="Arial"/>
          <w:bCs/>
          <w:spacing w:val="-3"/>
          <w:sz w:val="24"/>
          <w:szCs w:val="24"/>
          <w:lang w:val="es-ES_tradnl"/>
        </w:rPr>
        <w:t xml:space="preserve"> Tribu</w:t>
      </w:r>
      <w:r w:rsidR="005C2276">
        <w:rPr>
          <w:rFonts w:ascii="Arial" w:hAnsi="Arial" w:cs="Arial"/>
          <w:bCs/>
          <w:spacing w:val="-3"/>
          <w:sz w:val="24"/>
          <w:szCs w:val="24"/>
          <w:lang w:val="es-ES_tradnl"/>
        </w:rPr>
        <w:t>nal, con</w:t>
      </w:r>
      <w:r w:rsidRPr="00D7071E">
        <w:rPr>
          <w:rFonts w:ascii="Arial" w:hAnsi="Arial" w:cs="Arial"/>
          <w:b/>
          <w:spacing w:val="-3"/>
          <w:sz w:val="24"/>
          <w:szCs w:val="24"/>
          <w:lang w:val="es-ES_tradnl"/>
        </w:rPr>
        <w:t xml:space="preserve"> </w:t>
      </w:r>
      <w:r w:rsidRPr="00D7071E">
        <w:rPr>
          <w:rFonts w:ascii="Arial" w:hAnsi="Arial" w:cs="Arial"/>
          <w:bCs/>
          <w:spacing w:val="-3"/>
          <w:sz w:val="24"/>
          <w:szCs w:val="24"/>
          <w:lang w:val="es-ES_tradnl"/>
        </w:rPr>
        <w:t xml:space="preserve">fecha 18 de junio de 2008 en la redacción dada por el </w:t>
      </w:r>
      <w:r w:rsidR="0027225F">
        <w:rPr>
          <w:rFonts w:ascii="Arial" w:hAnsi="Arial" w:cs="Arial"/>
          <w:bCs/>
          <w:spacing w:val="-3"/>
          <w:sz w:val="24"/>
          <w:szCs w:val="24"/>
          <w:lang w:val="es-ES_tradnl"/>
        </w:rPr>
        <w:t>A</w:t>
      </w:r>
      <w:r w:rsidRPr="00D7071E">
        <w:rPr>
          <w:rFonts w:ascii="Arial" w:hAnsi="Arial" w:cs="Arial"/>
          <w:bCs/>
          <w:spacing w:val="-3"/>
          <w:sz w:val="24"/>
          <w:szCs w:val="24"/>
          <w:lang w:val="es-ES_tradnl"/>
        </w:rPr>
        <w:t>rtículo 2 de la Resol</w:t>
      </w:r>
      <w:r w:rsidR="005C2276">
        <w:rPr>
          <w:rFonts w:ascii="Arial" w:hAnsi="Arial" w:cs="Arial"/>
          <w:bCs/>
          <w:spacing w:val="-3"/>
          <w:sz w:val="24"/>
          <w:szCs w:val="24"/>
          <w:lang w:val="es-ES_tradnl"/>
        </w:rPr>
        <w:t xml:space="preserve">ución de este Tribunal de 23 de diciembre de 2009, </w:t>
      </w:r>
      <w:r w:rsidRPr="00D7071E">
        <w:rPr>
          <w:rFonts w:ascii="Arial" w:hAnsi="Arial" w:cs="Arial"/>
          <w:bCs/>
          <w:spacing w:val="-3"/>
          <w:sz w:val="24"/>
          <w:szCs w:val="24"/>
          <w:lang w:val="es-ES_tradnl"/>
        </w:rPr>
        <w:t>dispuso que se deben remitir al mismo, para su intervención, todos los gastos emergentes de transacciones  extrajudiciales y laudos  arbitrales, cualquiera sea su monto;</w:t>
      </w:r>
    </w:p>
    <w:p w:rsidR="00D7071E" w:rsidRPr="00D7071E" w:rsidRDefault="00D7071E" w:rsidP="00C9039A">
      <w:pPr>
        <w:tabs>
          <w:tab w:val="left" w:pos="-720"/>
        </w:tabs>
        <w:suppressAutoHyphens/>
        <w:spacing w:after="0" w:line="360" w:lineRule="auto"/>
        <w:ind w:firstLine="2977"/>
        <w:jc w:val="both"/>
        <w:rPr>
          <w:rFonts w:ascii="Arial" w:hAnsi="Arial" w:cs="Arial"/>
          <w:bCs/>
          <w:spacing w:val="-3"/>
          <w:sz w:val="24"/>
          <w:szCs w:val="24"/>
          <w:lang w:val="es-ES_tradnl"/>
        </w:rPr>
      </w:pPr>
      <w:r w:rsidRPr="00D7071E">
        <w:rPr>
          <w:rFonts w:ascii="Arial" w:hAnsi="Arial" w:cs="Arial"/>
          <w:b/>
          <w:bCs/>
          <w:spacing w:val="-3"/>
          <w:sz w:val="24"/>
          <w:szCs w:val="24"/>
          <w:lang w:val="es-ES_tradnl"/>
        </w:rPr>
        <w:t xml:space="preserve">2) </w:t>
      </w:r>
      <w:r w:rsidRPr="00D7071E">
        <w:rPr>
          <w:rFonts w:ascii="Arial" w:hAnsi="Arial" w:cs="Arial"/>
          <w:bCs/>
          <w:spacing w:val="-3"/>
          <w:sz w:val="24"/>
          <w:szCs w:val="24"/>
        </w:rPr>
        <w:t>que</w:t>
      </w:r>
      <w:r w:rsidR="005C2276">
        <w:rPr>
          <w:rFonts w:ascii="Arial" w:hAnsi="Arial" w:cs="Arial"/>
          <w:bCs/>
          <w:spacing w:val="-3"/>
          <w:sz w:val="24"/>
          <w:szCs w:val="24"/>
        </w:rPr>
        <w:t xml:space="preserve"> la transacción remitida </w:t>
      </w:r>
      <w:r w:rsidR="0027225F">
        <w:rPr>
          <w:rFonts w:ascii="Arial" w:hAnsi="Arial" w:cs="Arial"/>
          <w:bCs/>
          <w:spacing w:val="-3"/>
          <w:sz w:val="24"/>
          <w:szCs w:val="24"/>
        </w:rPr>
        <w:t xml:space="preserve">no merece objeciones legales, y </w:t>
      </w:r>
      <w:r w:rsidRPr="00D7071E">
        <w:rPr>
          <w:rFonts w:ascii="Arial" w:hAnsi="Arial" w:cs="Arial"/>
          <w:bCs/>
          <w:spacing w:val="-3"/>
          <w:sz w:val="24"/>
          <w:szCs w:val="24"/>
        </w:rPr>
        <w:t>los aspectos que refieren a oportunidad o conveniencia de la transacción remitida, constituyen una cuestión de mérito cuya apreciación no encuadra en el ámbito de competencia de este Tribunal;</w:t>
      </w:r>
      <w:r w:rsidRPr="00D7071E">
        <w:rPr>
          <w:rFonts w:ascii="Arial" w:hAnsi="Arial" w:cs="Arial"/>
          <w:bCs/>
          <w:spacing w:val="-3"/>
          <w:sz w:val="24"/>
          <w:szCs w:val="24"/>
          <w:lang w:val="es-ES_tradnl"/>
        </w:rPr>
        <w:t xml:space="preserve">                                 </w:t>
      </w:r>
      <w:r w:rsidRPr="00D7071E">
        <w:rPr>
          <w:rFonts w:ascii="Arial" w:hAnsi="Arial" w:cs="Arial"/>
          <w:b/>
          <w:spacing w:val="-3"/>
          <w:sz w:val="24"/>
          <w:szCs w:val="24"/>
          <w:lang w:val="es-ES_tradnl"/>
        </w:rPr>
        <w:t xml:space="preserve">                      </w:t>
      </w:r>
    </w:p>
    <w:p w:rsidR="00D7071E" w:rsidRPr="00D7071E" w:rsidRDefault="00D7071E" w:rsidP="0027225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7071E">
        <w:rPr>
          <w:rFonts w:ascii="Arial" w:hAnsi="Arial" w:cs="Arial"/>
          <w:b/>
          <w:spacing w:val="-3"/>
          <w:sz w:val="24"/>
          <w:szCs w:val="24"/>
          <w:lang w:val="es-ES_tradnl"/>
        </w:rPr>
        <w:t>ATENTO:</w:t>
      </w:r>
      <w:r w:rsidRPr="00D7071E">
        <w:rPr>
          <w:rFonts w:ascii="Arial" w:hAnsi="Arial" w:cs="Arial"/>
          <w:spacing w:val="-3"/>
          <w:sz w:val="24"/>
          <w:szCs w:val="24"/>
          <w:lang w:val="es-ES_tradnl"/>
        </w:rPr>
        <w:t xml:space="preserve"> </w:t>
      </w:r>
      <w:r w:rsidRPr="00D7071E">
        <w:rPr>
          <w:rFonts w:ascii="Arial" w:hAnsi="Arial" w:cs="Arial"/>
          <w:sz w:val="24"/>
          <w:szCs w:val="24"/>
        </w:rPr>
        <w:t xml:space="preserve">a lo precedentemente expuesto, a lo dispuesto por el </w:t>
      </w:r>
      <w:r w:rsidR="0027225F">
        <w:rPr>
          <w:rFonts w:ascii="Arial" w:hAnsi="Arial" w:cs="Arial"/>
          <w:sz w:val="24"/>
          <w:szCs w:val="24"/>
        </w:rPr>
        <w:t xml:space="preserve">       A</w:t>
      </w:r>
      <w:r w:rsidRPr="00D7071E">
        <w:rPr>
          <w:rFonts w:ascii="Arial" w:hAnsi="Arial" w:cs="Arial"/>
          <w:sz w:val="24"/>
          <w:szCs w:val="24"/>
        </w:rPr>
        <w:t xml:space="preserve">rt. 211 </w:t>
      </w:r>
      <w:r w:rsidR="0027225F">
        <w:rPr>
          <w:rFonts w:ascii="Arial" w:hAnsi="Arial" w:cs="Arial"/>
          <w:sz w:val="24"/>
          <w:szCs w:val="24"/>
        </w:rPr>
        <w:t>L</w:t>
      </w:r>
      <w:r w:rsidR="006F432B">
        <w:rPr>
          <w:rFonts w:ascii="Arial" w:hAnsi="Arial" w:cs="Arial"/>
          <w:sz w:val="24"/>
          <w:szCs w:val="24"/>
        </w:rPr>
        <w:t>iteral</w:t>
      </w:r>
      <w:r w:rsidRPr="00D7071E">
        <w:rPr>
          <w:rFonts w:ascii="Arial" w:hAnsi="Arial" w:cs="Arial"/>
          <w:sz w:val="24"/>
          <w:szCs w:val="24"/>
        </w:rPr>
        <w:t xml:space="preserve"> B) de la Constitución de la República;</w:t>
      </w:r>
    </w:p>
    <w:p w:rsidR="00D7071E" w:rsidRPr="00C9039A" w:rsidRDefault="00D7071E" w:rsidP="00C9039A">
      <w:pPr>
        <w:pStyle w:val="Ttulo1"/>
        <w:widowControl/>
        <w:tabs>
          <w:tab w:val="clear" w:pos="4218"/>
        </w:tabs>
        <w:suppressAutoHyphens w:val="0"/>
        <w:autoSpaceDE w:val="0"/>
        <w:autoSpaceDN w:val="0"/>
        <w:adjustRightInd w:val="0"/>
        <w:rPr>
          <w:rFonts w:ascii="Arial" w:hAnsi="Arial" w:cs="Arial"/>
          <w:bCs/>
          <w:snapToGrid/>
          <w:spacing w:val="0"/>
          <w:szCs w:val="24"/>
          <w:lang w:val="es-ES"/>
        </w:rPr>
      </w:pPr>
      <w:r w:rsidRPr="00D7071E">
        <w:rPr>
          <w:rFonts w:ascii="Arial" w:hAnsi="Arial" w:cs="Arial"/>
          <w:bCs/>
          <w:snapToGrid/>
          <w:spacing w:val="0"/>
          <w:szCs w:val="24"/>
          <w:lang w:val="es-ES"/>
        </w:rPr>
        <w:t>EL TRIBUNAL ACUERDA</w:t>
      </w:r>
    </w:p>
    <w:p w:rsidR="00D7071E" w:rsidRPr="00D7071E" w:rsidRDefault="00D7071E" w:rsidP="00C9039A">
      <w:pPr>
        <w:tabs>
          <w:tab w:val="left" w:pos="-720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spacing w:val="-3"/>
          <w:sz w:val="24"/>
          <w:szCs w:val="24"/>
          <w:lang w:val="es-ES_tradnl"/>
        </w:rPr>
      </w:pPr>
      <w:r w:rsidRPr="00D7071E">
        <w:rPr>
          <w:rFonts w:ascii="Arial" w:hAnsi="Arial" w:cs="Arial"/>
          <w:b/>
          <w:bCs/>
          <w:sz w:val="24"/>
          <w:szCs w:val="24"/>
          <w:lang w:val="es-ES_tradnl"/>
        </w:rPr>
        <w:t>1)</w:t>
      </w:r>
      <w:r w:rsidRPr="00D7071E">
        <w:rPr>
          <w:rFonts w:ascii="Arial" w:hAnsi="Arial" w:cs="Arial"/>
          <w:spacing w:val="-3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 w:val="24"/>
          <w:szCs w:val="24"/>
          <w:lang w:val="es-ES_tradnl"/>
        </w:rPr>
        <w:t xml:space="preserve">Dictada la </w:t>
      </w:r>
      <w:r w:rsidR="0027225F">
        <w:rPr>
          <w:rFonts w:ascii="Arial" w:hAnsi="Arial" w:cs="Arial"/>
          <w:spacing w:val="-3"/>
          <w:sz w:val="24"/>
          <w:szCs w:val="24"/>
          <w:lang w:val="es-ES_tradnl"/>
        </w:rPr>
        <w:t>R</w:t>
      </w:r>
      <w:r>
        <w:rPr>
          <w:rFonts w:ascii="Arial" w:hAnsi="Arial" w:cs="Arial"/>
          <w:spacing w:val="-3"/>
          <w:sz w:val="24"/>
          <w:szCs w:val="24"/>
          <w:lang w:val="es-ES_tradnl"/>
        </w:rPr>
        <w:t xml:space="preserve">esolución por el </w:t>
      </w:r>
      <w:r w:rsidR="0027225F">
        <w:rPr>
          <w:rFonts w:ascii="Arial" w:hAnsi="Arial" w:cs="Arial"/>
          <w:spacing w:val="-3"/>
          <w:sz w:val="24"/>
          <w:szCs w:val="24"/>
          <w:lang w:val="es-ES_tradnl"/>
        </w:rPr>
        <w:t>O</w:t>
      </w:r>
      <w:r>
        <w:rPr>
          <w:rFonts w:ascii="Arial" w:hAnsi="Arial" w:cs="Arial"/>
          <w:spacing w:val="-3"/>
          <w:sz w:val="24"/>
          <w:szCs w:val="24"/>
          <w:lang w:val="es-ES_tradnl"/>
        </w:rPr>
        <w:t>rdenador competente, c</w:t>
      </w:r>
      <w:r w:rsidRPr="00D7071E">
        <w:rPr>
          <w:rFonts w:ascii="Arial" w:hAnsi="Arial" w:cs="Arial"/>
          <w:spacing w:val="-3"/>
          <w:sz w:val="24"/>
          <w:szCs w:val="24"/>
          <w:lang w:val="es-ES_tradnl"/>
        </w:rPr>
        <w:t xml:space="preserve">ometer al Contador </w:t>
      </w:r>
      <w:r>
        <w:rPr>
          <w:rFonts w:ascii="Arial" w:hAnsi="Arial" w:cs="Arial"/>
          <w:spacing w:val="-3"/>
          <w:sz w:val="24"/>
          <w:szCs w:val="24"/>
          <w:lang w:val="es-ES_tradnl"/>
        </w:rPr>
        <w:t xml:space="preserve">Auditor destacado ante el Ministerio de Transporte y Obras Públicas, </w:t>
      </w:r>
      <w:r w:rsidRPr="00D7071E">
        <w:rPr>
          <w:rFonts w:ascii="Arial" w:hAnsi="Arial" w:cs="Arial"/>
          <w:spacing w:val="-3"/>
          <w:sz w:val="24"/>
          <w:szCs w:val="24"/>
          <w:lang w:val="es-ES_tradnl"/>
        </w:rPr>
        <w:t xml:space="preserve">la intervención del </w:t>
      </w:r>
      <w:r>
        <w:rPr>
          <w:rFonts w:ascii="Arial" w:hAnsi="Arial" w:cs="Arial"/>
          <w:spacing w:val="-3"/>
          <w:sz w:val="24"/>
          <w:szCs w:val="24"/>
          <w:lang w:val="es-ES_tradnl"/>
        </w:rPr>
        <w:t xml:space="preserve">gasto </w:t>
      </w:r>
      <w:r w:rsidRPr="00D7071E">
        <w:rPr>
          <w:rFonts w:ascii="Arial" w:hAnsi="Arial" w:cs="Arial"/>
          <w:spacing w:val="-3"/>
          <w:sz w:val="24"/>
          <w:szCs w:val="24"/>
          <w:lang w:val="es-ES_tradnl"/>
        </w:rPr>
        <w:t xml:space="preserve">por un total de </w:t>
      </w:r>
      <w:r w:rsidRPr="00D7071E">
        <w:rPr>
          <w:rFonts w:ascii="Arial" w:hAnsi="Arial" w:cs="Arial"/>
          <w:sz w:val="24"/>
          <w:szCs w:val="24"/>
        </w:rPr>
        <w:t xml:space="preserve">$ </w:t>
      </w:r>
      <w:r w:rsidR="00412528">
        <w:rPr>
          <w:rFonts w:ascii="Arial" w:hAnsi="Arial" w:cs="Arial"/>
          <w:sz w:val="24"/>
          <w:szCs w:val="24"/>
        </w:rPr>
        <w:t>22:846.058</w:t>
      </w:r>
      <w:r w:rsidRPr="00D7071E">
        <w:rPr>
          <w:rFonts w:ascii="Arial" w:hAnsi="Arial" w:cs="Arial"/>
          <w:sz w:val="24"/>
          <w:szCs w:val="24"/>
        </w:rPr>
        <w:t>,</w:t>
      </w:r>
      <w:r w:rsidRPr="00D7071E">
        <w:rPr>
          <w:rFonts w:ascii="Arial" w:hAnsi="Arial" w:cs="Arial"/>
          <w:spacing w:val="-3"/>
          <w:sz w:val="24"/>
          <w:szCs w:val="24"/>
          <w:lang w:val="es-ES_tradnl"/>
        </w:rPr>
        <w:t xml:space="preserve"> previo control de su imputación con cargo a </w:t>
      </w:r>
      <w:r w:rsidR="0027225F">
        <w:rPr>
          <w:rFonts w:ascii="Arial" w:hAnsi="Arial" w:cs="Arial"/>
          <w:spacing w:val="-3"/>
          <w:sz w:val="24"/>
          <w:szCs w:val="24"/>
          <w:lang w:val="es-ES_tradnl"/>
        </w:rPr>
        <w:t>G</w:t>
      </w:r>
      <w:r w:rsidRPr="00D7071E">
        <w:rPr>
          <w:rFonts w:ascii="Arial" w:hAnsi="Arial" w:cs="Arial"/>
          <w:spacing w:val="-3"/>
          <w:sz w:val="24"/>
          <w:szCs w:val="24"/>
          <w:lang w:val="es-ES_tradnl"/>
        </w:rPr>
        <w:t>rupo adecuado con disponibilidad suficiente;</w:t>
      </w:r>
    </w:p>
    <w:p w:rsidR="00D7071E" w:rsidRPr="00D7071E" w:rsidRDefault="00D7071E" w:rsidP="00C9039A">
      <w:pPr>
        <w:tabs>
          <w:tab w:val="left" w:pos="-720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spacing w:val="-3"/>
          <w:sz w:val="24"/>
          <w:szCs w:val="24"/>
          <w:lang w:val="es-ES_tradnl"/>
        </w:rPr>
      </w:pPr>
      <w:r w:rsidRPr="00D7071E">
        <w:rPr>
          <w:rFonts w:ascii="Arial" w:hAnsi="Arial" w:cs="Arial"/>
          <w:b/>
          <w:bCs/>
          <w:spacing w:val="-3"/>
          <w:sz w:val="24"/>
          <w:szCs w:val="24"/>
          <w:lang w:val="es-ES_tradnl"/>
        </w:rPr>
        <w:t>2)</w:t>
      </w:r>
      <w:r w:rsidRPr="00D7071E">
        <w:rPr>
          <w:rFonts w:ascii="Arial" w:hAnsi="Arial" w:cs="Arial"/>
          <w:spacing w:val="-3"/>
          <w:sz w:val="24"/>
          <w:szCs w:val="24"/>
          <w:lang w:val="es-ES_tradnl"/>
        </w:rPr>
        <w:t xml:space="preserve">  Comunicar al Contador</w:t>
      </w:r>
      <w:r w:rsidR="00412528">
        <w:rPr>
          <w:rFonts w:ascii="Arial" w:hAnsi="Arial" w:cs="Arial"/>
          <w:spacing w:val="-3"/>
          <w:sz w:val="24"/>
          <w:szCs w:val="24"/>
          <w:lang w:val="es-ES_tradnl"/>
        </w:rPr>
        <w:t xml:space="preserve"> Auditor</w:t>
      </w:r>
      <w:r w:rsidRPr="00D7071E">
        <w:rPr>
          <w:rFonts w:ascii="Arial" w:hAnsi="Arial" w:cs="Arial"/>
          <w:spacing w:val="-3"/>
          <w:sz w:val="24"/>
          <w:szCs w:val="24"/>
          <w:lang w:val="es-ES_tradnl"/>
        </w:rPr>
        <w:t>; y</w:t>
      </w:r>
    </w:p>
    <w:p w:rsidR="00D7071E" w:rsidRDefault="00D7071E" w:rsidP="00C9039A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  <w:spacing w:val="-3"/>
          <w:sz w:val="24"/>
          <w:szCs w:val="24"/>
          <w:lang w:val="es-ES_tradnl"/>
        </w:rPr>
      </w:pPr>
      <w:r w:rsidRPr="00D7071E">
        <w:rPr>
          <w:rFonts w:ascii="Arial" w:hAnsi="Arial" w:cs="Arial"/>
          <w:b/>
          <w:bCs/>
          <w:spacing w:val="-3"/>
          <w:sz w:val="24"/>
          <w:szCs w:val="24"/>
          <w:lang w:val="es-ES_tradnl"/>
        </w:rPr>
        <w:t>3)</w:t>
      </w:r>
      <w:r w:rsidRPr="00D7071E">
        <w:rPr>
          <w:rFonts w:ascii="Arial" w:hAnsi="Arial" w:cs="Arial"/>
          <w:spacing w:val="-3"/>
          <w:sz w:val="24"/>
          <w:szCs w:val="24"/>
          <w:lang w:val="es-ES_tradnl"/>
        </w:rPr>
        <w:t xml:space="preserve">  </w:t>
      </w:r>
      <w:r w:rsidR="00C9039A">
        <w:rPr>
          <w:rFonts w:ascii="Arial" w:hAnsi="Arial" w:cs="Arial"/>
          <w:spacing w:val="-3"/>
          <w:sz w:val="24"/>
          <w:szCs w:val="24"/>
          <w:lang w:val="es-ES_tradnl"/>
        </w:rPr>
        <w:t>Devolver las actuaciones.</w:t>
      </w:r>
      <w:bookmarkStart w:id="0" w:name="_GoBack"/>
      <w:bookmarkEnd w:id="0"/>
    </w:p>
    <w:p w:rsidR="00C9039A" w:rsidRPr="00C9039A" w:rsidRDefault="00C9039A" w:rsidP="00C9039A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  <w:spacing w:val="-3"/>
          <w:sz w:val="20"/>
          <w:szCs w:val="20"/>
          <w:lang w:val="es-ES_tradnl"/>
        </w:rPr>
      </w:pPr>
      <w:r>
        <w:rPr>
          <w:rFonts w:ascii="Arial" w:hAnsi="Arial" w:cs="Arial"/>
          <w:spacing w:val="-3"/>
          <w:sz w:val="20"/>
          <w:szCs w:val="20"/>
          <w:lang w:val="es-ES_tradnl"/>
        </w:rPr>
        <w:t>CLC</w:t>
      </w:r>
    </w:p>
    <w:p w:rsidR="00D7071E" w:rsidRDefault="00D7071E" w:rsidP="00C9039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412528" w:rsidRDefault="00412528" w:rsidP="00C9039A">
      <w:pPr>
        <w:spacing w:after="0" w:line="360" w:lineRule="auto"/>
        <w:jc w:val="right"/>
        <w:rPr>
          <w:rFonts w:ascii="Arial" w:hAnsi="Arial" w:cs="Arial"/>
          <w:sz w:val="24"/>
          <w:szCs w:val="24"/>
          <w:lang w:val="es-ES_tradnl"/>
        </w:rPr>
      </w:pPr>
    </w:p>
    <w:sectPr w:rsidR="00412528" w:rsidSect="00C9039A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71E" w:rsidRDefault="00D7071E" w:rsidP="00D7071E">
      <w:pPr>
        <w:spacing w:after="0" w:line="240" w:lineRule="auto"/>
      </w:pPr>
      <w:r>
        <w:separator/>
      </w:r>
    </w:p>
  </w:endnote>
  <w:endnote w:type="continuationSeparator" w:id="0">
    <w:p w:rsidR="00D7071E" w:rsidRDefault="00D7071E" w:rsidP="00D70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71E" w:rsidRDefault="00D7071E" w:rsidP="00D7071E">
      <w:pPr>
        <w:spacing w:after="0" w:line="240" w:lineRule="auto"/>
      </w:pPr>
      <w:r>
        <w:separator/>
      </w:r>
    </w:p>
  </w:footnote>
  <w:footnote w:type="continuationSeparator" w:id="0">
    <w:p w:rsidR="00D7071E" w:rsidRDefault="00D7071E" w:rsidP="00D707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C6A"/>
    <w:rsid w:val="000E4AF7"/>
    <w:rsid w:val="00256905"/>
    <w:rsid w:val="0027225F"/>
    <w:rsid w:val="002A6C2D"/>
    <w:rsid w:val="003972C5"/>
    <w:rsid w:val="00412528"/>
    <w:rsid w:val="00424C6A"/>
    <w:rsid w:val="005211A1"/>
    <w:rsid w:val="005759EA"/>
    <w:rsid w:val="00581BC9"/>
    <w:rsid w:val="005820C2"/>
    <w:rsid w:val="005C2276"/>
    <w:rsid w:val="00604900"/>
    <w:rsid w:val="00626CBA"/>
    <w:rsid w:val="006A0B40"/>
    <w:rsid w:val="006F432B"/>
    <w:rsid w:val="0070694D"/>
    <w:rsid w:val="00741F46"/>
    <w:rsid w:val="00766C56"/>
    <w:rsid w:val="009C113E"/>
    <w:rsid w:val="009D4796"/>
    <w:rsid w:val="00B300A2"/>
    <w:rsid w:val="00C9039A"/>
    <w:rsid w:val="00CD1C25"/>
    <w:rsid w:val="00D53662"/>
    <w:rsid w:val="00D7071E"/>
    <w:rsid w:val="00F0251C"/>
    <w:rsid w:val="00F1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D7071E"/>
    <w:pPr>
      <w:keepNext/>
      <w:widowControl w:val="0"/>
      <w:tabs>
        <w:tab w:val="center" w:pos="4218"/>
      </w:tabs>
      <w:suppressAutoHyphens/>
      <w:spacing w:after="0" w:line="360" w:lineRule="auto"/>
      <w:jc w:val="center"/>
      <w:outlineLvl w:val="0"/>
    </w:pPr>
    <w:rPr>
      <w:rFonts w:ascii="Bookman Old Style" w:eastAsia="Times New Roman" w:hAnsi="Bookman Old Style" w:cs="Times New Roman"/>
      <w:b/>
      <w:snapToGrid w:val="0"/>
      <w:spacing w:val="-3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7071E"/>
    <w:rPr>
      <w:rFonts w:ascii="Bookman Old Style" w:eastAsia="Times New Roman" w:hAnsi="Bookman Old Style" w:cs="Times New Roman"/>
      <w:b/>
      <w:snapToGrid w:val="0"/>
      <w:spacing w:val="-3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D707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071E"/>
  </w:style>
  <w:style w:type="paragraph" w:styleId="Piedepgina">
    <w:name w:val="footer"/>
    <w:basedOn w:val="Normal"/>
    <w:link w:val="PiedepginaCar"/>
    <w:uiPriority w:val="99"/>
    <w:unhideWhenUsed/>
    <w:rsid w:val="00D707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07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D7071E"/>
    <w:pPr>
      <w:keepNext/>
      <w:widowControl w:val="0"/>
      <w:tabs>
        <w:tab w:val="center" w:pos="4218"/>
      </w:tabs>
      <w:suppressAutoHyphens/>
      <w:spacing w:after="0" w:line="360" w:lineRule="auto"/>
      <w:jc w:val="center"/>
      <w:outlineLvl w:val="0"/>
    </w:pPr>
    <w:rPr>
      <w:rFonts w:ascii="Bookman Old Style" w:eastAsia="Times New Roman" w:hAnsi="Bookman Old Style" w:cs="Times New Roman"/>
      <w:b/>
      <w:snapToGrid w:val="0"/>
      <w:spacing w:val="-3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7071E"/>
    <w:rPr>
      <w:rFonts w:ascii="Bookman Old Style" w:eastAsia="Times New Roman" w:hAnsi="Bookman Old Style" w:cs="Times New Roman"/>
      <w:b/>
      <w:snapToGrid w:val="0"/>
      <w:spacing w:val="-3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D707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071E"/>
  </w:style>
  <w:style w:type="paragraph" w:styleId="Piedepgina">
    <w:name w:val="footer"/>
    <w:basedOn w:val="Normal"/>
    <w:link w:val="PiedepginaCar"/>
    <w:uiPriority w:val="99"/>
    <w:unhideWhenUsed/>
    <w:rsid w:val="00D707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0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711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6</cp:revision>
  <cp:lastPrinted>2019-01-31T15:00:00Z</cp:lastPrinted>
  <dcterms:created xsi:type="dcterms:W3CDTF">2019-02-18T18:40:00Z</dcterms:created>
  <dcterms:modified xsi:type="dcterms:W3CDTF">2019-02-19T17:01:00Z</dcterms:modified>
</cp:coreProperties>
</file>