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337DD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420DD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358</w:t>
      </w:r>
      <w:r w:rsidRPr="00337DD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37DD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337DDC" w:rsidRPr="00337DDC" w:rsidRDefault="00337DDC" w:rsidP="00337D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37DD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337DDC" w:rsidRPr="00337DDC" w:rsidRDefault="00337DDC" w:rsidP="00337D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37DD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EN SESION DE FECHA 6 DE FEBRERO DE 2019</w:t>
      </w: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 w:rsidR="00F3136B" w:rsidRPr="00F3136B">
        <w:rPr>
          <w:rFonts w:ascii="Arial" w:eastAsia="Times New Roman" w:hAnsi="Arial" w:cs="Arial"/>
          <w:b/>
          <w:sz w:val="24"/>
          <w:szCs w:val="24"/>
          <w:lang w:eastAsia="es-ES"/>
        </w:rPr>
        <w:t>8</w:t>
      </w:r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 w:rsidR="00F3136B" w:rsidRPr="00F3136B">
        <w:rPr>
          <w:rFonts w:ascii="Arial" w:eastAsia="Times New Roman" w:hAnsi="Arial" w:cs="Arial"/>
          <w:b/>
          <w:sz w:val="24"/>
          <w:szCs w:val="24"/>
          <w:lang w:eastAsia="es-ES"/>
        </w:rPr>
        <w:t>7420</w:t>
      </w:r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 w:rsidR="00F3136B">
        <w:rPr>
          <w:rFonts w:ascii="Arial" w:eastAsia="Times New Roman" w:hAnsi="Arial" w:cs="Arial"/>
          <w:b/>
          <w:sz w:val="24"/>
          <w:szCs w:val="24"/>
          <w:lang w:eastAsia="es-ES"/>
        </w:rPr>
        <w:t>431</w:t>
      </w:r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 w:rsidR="00F3136B">
        <w:rPr>
          <w:rFonts w:ascii="Arial" w:eastAsia="Times New Roman" w:hAnsi="Arial" w:cs="Arial"/>
          <w:b/>
          <w:sz w:val="24"/>
          <w:szCs w:val="24"/>
          <w:lang w:eastAsia="es-ES"/>
        </w:rPr>
        <w:t>19</w:t>
      </w:r>
      <w:r w:rsidRPr="00337DDC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</w:p>
    <w:p w:rsidR="00337DDC" w:rsidRPr="00337DDC" w:rsidRDefault="00337DDC" w:rsidP="00337D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37DDC" w:rsidRPr="00337DDC" w:rsidRDefault="00337DDC" w:rsidP="00337DDC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val="es-ES_tradnl" w:eastAsia="es-ES"/>
        </w:rPr>
      </w:pPr>
    </w:p>
    <w:p w:rsidR="005B59E4" w:rsidRDefault="00BA3123" w:rsidP="00420D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actuaciones remitidas por la Intendencia de </w:t>
      </w:r>
      <w:r w:rsidR="005255B4">
        <w:rPr>
          <w:rFonts w:ascii="Arial" w:hAnsi="Arial" w:cs="Arial"/>
          <w:sz w:val="24"/>
          <w:szCs w:val="24"/>
        </w:rPr>
        <w:t xml:space="preserve">Paysandú </w:t>
      </w:r>
      <w:r>
        <w:rPr>
          <w:rFonts w:ascii="Arial" w:hAnsi="Arial" w:cs="Arial"/>
          <w:sz w:val="24"/>
          <w:szCs w:val="24"/>
        </w:rPr>
        <w:t xml:space="preserve">relacionadas con la </w:t>
      </w:r>
      <w:r w:rsidR="008A2508">
        <w:rPr>
          <w:rFonts w:ascii="Arial" w:hAnsi="Arial" w:cs="Arial"/>
          <w:sz w:val="24"/>
          <w:szCs w:val="24"/>
        </w:rPr>
        <w:t xml:space="preserve">reiteración del gasto derivado de la </w:t>
      </w:r>
      <w:r>
        <w:rPr>
          <w:rFonts w:ascii="Arial" w:hAnsi="Arial" w:cs="Arial"/>
          <w:sz w:val="24"/>
          <w:szCs w:val="24"/>
        </w:rPr>
        <w:t xml:space="preserve">compra directa </w:t>
      </w:r>
      <w:r w:rsidR="00A365DD">
        <w:rPr>
          <w:rFonts w:ascii="Arial" w:hAnsi="Arial" w:cs="Arial"/>
          <w:sz w:val="24"/>
          <w:szCs w:val="24"/>
        </w:rPr>
        <w:t xml:space="preserve"> de luminarias </w:t>
      </w:r>
      <w:r w:rsidR="00163229">
        <w:rPr>
          <w:rFonts w:ascii="Arial" w:hAnsi="Arial" w:cs="Arial"/>
          <w:sz w:val="24"/>
          <w:szCs w:val="24"/>
        </w:rPr>
        <w:t>obra  “Recambio de hasta el total de Luminarias medidas y colgadas en la red de UTE, de sodio a tecnología LED, en alumbrado público del Departamento de Paysandú”</w:t>
      </w:r>
      <w:r w:rsidR="005B59E4">
        <w:rPr>
          <w:rFonts w:ascii="Arial" w:hAnsi="Arial" w:cs="Arial"/>
          <w:sz w:val="24"/>
          <w:szCs w:val="24"/>
        </w:rPr>
        <w:t>;</w:t>
      </w:r>
    </w:p>
    <w:p w:rsidR="007D1FAA" w:rsidRDefault="007D1FAA" w:rsidP="00420D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D1FAA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 w:rsidR="005B59E4">
        <w:rPr>
          <w:rFonts w:ascii="Arial" w:hAnsi="Arial" w:cs="Arial"/>
          <w:sz w:val="24"/>
          <w:szCs w:val="24"/>
        </w:rPr>
        <w:t>que</w:t>
      </w:r>
      <w:r w:rsidR="00202C66">
        <w:rPr>
          <w:rFonts w:ascii="Arial" w:hAnsi="Arial" w:cs="Arial"/>
          <w:sz w:val="24"/>
          <w:szCs w:val="24"/>
        </w:rPr>
        <w:t xml:space="preserve"> con fecha 2 </w:t>
      </w:r>
      <w:r w:rsidR="00163229">
        <w:rPr>
          <w:rFonts w:ascii="Arial" w:hAnsi="Arial" w:cs="Arial"/>
          <w:sz w:val="24"/>
          <w:szCs w:val="24"/>
        </w:rPr>
        <w:t xml:space="preserve">de abril </w:t>
      </w:r>
      <w:r w:rsidR="00202C66">
        <w:rPr>
          <w:rFonts w:ascii="Arial" w:hAnsi="Arial" w:cs="Arial"/>
          <w:sz w:val="24"/>
          <w:szCs w:val="24"/>
        </w:rPr>
        <w:t>de 2018</w:t>
      </w:r>
      <w:r w:rsidR="005B59E4">
        <w:rPr>
          <w:rFonts w:ascii="Arial" w:hAnsi="Arial" w:cs="Arial"/>
          <w:sz w:val="24"/>
          <w:szCs w:val="24"/>
        </w:rPr>
        <w:t xml:space="preserve"> la Dirección </w:t>
      </w:r>
      <w:r w:rsidR="00163229">
        <w:rPr>
          <w:rFonts w:ascii="Arial" w:hAnsi="Arial" w:cs="Arial"/>
          <w:sz w:val="24"/>
          <w:szCs w:val="24"/>
        </w:rPr>
        <w:t xml:space="preserve"> de Asesoría Letrada </w:t>
      </w:r>
      <w:r w:rsidR="005B59E4">
        <w:rPr>
          <w:rFonts w:ascii="Arial" w:hAnsi="Arial" w:cs="Arial"/>
          <w:sz w:val="24"/>
          <w:szCs w:val="24"/>
        </w:rPr>
        <w:t xml:space="preserve">manifiesta que se configuran las </w:t>
      </w:r>
      <w:r w:rsidR="00207355">
        <w:rPr>
          <w:rFonts w:ascii="Arial" w:hAnsi="Arial" w:cs="Arial"/>
          <w:sz w:val="24"/>
          <w:szCs w:val="24"/>
        </w:rPr>
        <w:t>c</w:t>
      </w:r>
      <w:r w:rsidR="005B59E4">
        <w:rPr>
          <w:rFonts w:ascii="Arial" w:hAnsi="Arial" w:cs="Arial"/>
          <w:sz w:val="24"/>
          <w:szCs w:val="24"/>
        </w:rPr>
        <w:t>ausales de compra directa de lu</w:t>
      </w:r>
      <w:r w:rsidR="00207355">
        <w:rPr>
          <w:rFonts w:ascii="Arial" w:hAnsi="Arial" w:cs="Arial"/>
          <w:sz w:val="24"/>
          <w:szCs w:val="24"/>
        </w:rPr>
        <w:t>m</w:t>
      </w:r>
      <w:r w:rsidR="005B59E4">
        <w:rPr>
          <w:rFonts w:ascii="Arial" w:hAnsi="Arial" w:cs="Arial"/>
          <w:sz w:val="24"/>
          <w:szCs w:val="24"/>
        </w:rPr>
        <w:t xml:space="preserve">inarias amparada en la excepción prevista </w:t>
      </w:r>
      <w:r w:rsidR="00207355">
        <w:rPr>
          <w:rFonts w:ascii="Arial" w:hAnsi="Arial" w:cs="Arial"/>
          <w:sz w:val="24"/>
          <w:szCs w:val="24"/>
        </w:rPr>
        <w:t>en</w:t>
      </w:r>
      <w:r w:rsidR="00163229">
        <w:rPr>
          <w:rFonts w:ascii="Arial" w:hAnsi="Arial" w:cs="Arial"/>
          <w:sz w:val="24"/>
          <w:szCs w:val="24"/>
        </w:rPr>
        <w:t xml:space="preserve"> el </w:t>
      </w:r>
      <w:r w:rsidR="00420DD3">
        <w:rPr>
          <w:rFonts w:ascii="Arial" w:hAnsi="Arial" w:cs="Arial"/>
          <w:sz w:val="24"/>
          <w:szCs w:val="24"/>
        </w:rPr>
        <w:t>A</w:t>
      </w:r>
      <w:r w:rsidR="00163229">
        <w:rPr>
          <w:rFonts w:ascii="Arial" w:hAnsi="Arial" w:cs="Arial"/>
          <w:sz w:val="24"/>
          <w:szCs w:val="24"/>
        </w:rPr>
        <w:t>rt</w:t>
      </w:r>
      <w:r w:rsidR="00610231">
        <w:rPr>
          <w:rFonts w:ascii="Arial" w:hAnsi="Arial" w:cs="Arial"/>
          <w:sz w:val="24"/>
          <w:szCs w:val="24"/>
        </w:rPr>
        <w:t>ículo</w:t>
      </w:r>
      <w:r w:rsidR="00163229">
        <w:rPr>
          <w:rFonts w:ascii="Arial" w:hAnsi="Arial" w:cs="Arial"/>
          <w:sz w:val="24"/>
          <w:szCs w:val="24"/>
        </w:rPr>
        <w:t xml:space="preserve"> 33 </w:t>
      </w:r>
      <w:r w:rsidR="00420DD3">
        <w:rPr>
          <w:rFonts w:ascii="Arial" w:hAnsi="Arial" w:cs="Arial"/>
          <w:sz w:val="24"/>
          <w:szCs w:val="24"/>
        </w:rPr>
        <w:t>L</w:t>
      </w:r>
      <w:r w:rsidR="00163229">
        <w:rPr>
          <w:rFonts w:ascii="Arial" w:hAnsi="Arial" w:cs="Arial"/>
          <w:sz w:val="24"/>
          <w:szCs w:val="24"/>
        </w:rPr>
        <w:t>iteral C</w:t>
      </w:r>
      <w:r w:rsidR="00420DD3">
        <w:rPr>
          <w:rFonts w:ascii="Arial" w:hAnsi="Arial" w:cs="Arial"/>
          <w:sz w:val="24"/>
          <w:szCs w:val="24"/>
        </w:rPr>
        <w:t>)</w:t>
      </w:r>
      <w:r w:rsidR="00163229">
        <w:rPr>
          <w:rFonts w:ascii="Arial" w:hAnsi="Arial" w:cs="Arial"/>
          <w:sz w:val="24"/>
          <w:szCs w:val="24"/>
        </w:rPr>
        <w:t xml:space="preserve"> </w:t>
      </w:r>
      <w:r w:rsidR="00420DD3">
        <w:rPr>
          <w:rFonts w:ascii="Arial" w:hAnsi="Arial" w:cs="Arial"/>
          <w:sz w:val="24"/>
          <w:szCs w:val="24"/>
        </w:rPr>
        <w:t xml:space="preserve">            </w:t>
      </w:r>
      <w:r w:rsidR="00163229">
        <w:rPr>
          <w:rFonts w:ascii="Arial" w:hAnsi="Arial" w:cs="Arial"/>
          <w:sz w:val="24"/>
          <w:szCs w:val="24"/>
        </w:rPr>
        <w:t xml:space="preserve">numeral  26 </w:t>
      </w:r>
      <w:r w:rsidR="00207355">
        <w:rPr>
          <w:rFonts w:ascii="Arial" w:hAnsi="Arial" w:cs="Arial"/>
          <w:sz w:val="24"/>
          <w:szCs w:val="24"/>
        </w:rPr>
        <w:t>del TOCAF</w:t>
      </w:r>
      <w:r w:rsidR="00163229">
        <w:rPr>
          <w:rFonts w:ascii="Arial" w:hAnsi="Arial" w:cs="Arial"/>
          <w:sz w:val="24"/>
          <w:szCs w:val="24"/>
        </w:rPr>
        <w:t>;</w:t>
      </w:r>
    </w:p>
    <w:p w:rsidR="00163229" w:rsidRDefault="00163229" w:rsidP="00420DD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045F3">
        <w:rPr>
          <w:rFonts w:ascii="Arial" w:hAnsi="Arial" w:cs="Arial"/>
          <w:b/>
          <w:sz w:val="24"/>
          <w:szCs w:val="24"/>
        </w:rPr>
        <w:t>2</w:t>
      </w:r>
      <w:r w:rsidRPr="00420DD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el Intendente  por Resolución  de fecha 4/4/18 resolvió encomen</w:t>
      </w:r>
      <w:r w:rsidR="00E26AF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ar  al Departamento de Obras</w:t>
      </w:r>
      <w:r w:rsidR="00E26AF3">
        <w:rPr>
          <w:rFonts w:ascii="Arial" w:hAnsi="Arial" w:cs="Arial"/>
          <w:sz w:val="24"/>
          <w:szCs w:val="24"/>
        </w:rPr>
        <w:t xml:space="preserve"> realizar un proceso de contratación directa de una empresa  </w:t>
      </w:r>
      <w:r w:rsidR="00420DD3">
        <w:rPr>
          <w:rFonts w:ascii="Arial" w:hAnsi="Arial" w:cs="Arial"/>
          <w:sz w:val="24"/>
          <w:szCs w:val="24"/>
        </w:rPr>
        <w:t>de Servicio Energéticos (ESCO);</w:t>
      </w:r>
      <w:r w:rsidR="00E26AF3">
        <w:rPr>
          <w:rFonts w:ascii="Arial" w:hAnsi="Arial" w:cs="Arial"/>
          <w:sz w:val="24"/>
          <w:szCs w:val="24"/>
        </w:rPr>
        <w:t xml:space="preserve"> </w:t>
      </w:r>
    </w:p>
    <w:p w:rsidR="0023563C" w:rsidRPr="00E26AF3" w:rsidRDefault="0023563C" w:rsidP="00420DD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E26AF3">
        <w:rPr>
          <w:rFonts w:ascii="Arial" w:hAnsi="Arial" w:cs="Arial"/>
          <w:b/>
          <w:sz w:val="24"/>
          <w:szCs w:val="24"/>
        </w:rPr>
        <w:t xml:space="preserve"> </w:t>
      </w:r>
      <w:r w:rsidR="00E26AF3" w:rsidRPr="00E26AF3">
        <w:rPr>
          <w:rFonts w:ascii="Arial" w:hAnsi="Arial" w:cs="Arial"/>
          <w:sz w:val="24"/>
          <w:szCs w:val="24"/>
        </w:rPr>
        <w:t xml:space="preserve">que </w:t>
      </w:r>
      <w:r w:rsidR="009772D0">
        <w:rPr>
          <w:rFonts w:ascii="Arial" w:hAnsi="Arial" w:cs="Arial"/>
          <w:sz w:val="24"/>
          <w:szCs w:val="24"/>
        </w:rPr>
        <w:t>se invitó a cotizar a una serie de empresas para la realización  del recambio planteado;</w:t>
      </w:r>
      <w:r w:rsidR="00F045F3">
        <w:rPr>
          <w:rFonts w:ascii="Arial" w:hAnsi="Arial" w:cs="Arial"/>
          <w:sz w:val="24"/>
          <w:szCs w:val="24"/>
        </w:rPr>
        <w:t xml:space="preserve"> habiéndose presentado</w:t>
      </w:r>
      <w:r w:rsidR="009772D0">
        <w:rPr>
          <w:rFonts w:ascii="Arial" w:hAnsi="Arial" w:cs="Arial"/>
          <w:sz w:val="24"/>
          <w:szCs w:val="24"/>
        </w:rPr>
        <w:t xml:space="preserve"> </w:t>
      </w:r>
      <w:r w:rsidR="00E26AF3" w:rsidRPr="00E26AF3">
        <w:rPr>
          <w:rFonts w:ascii="Arial" w:hAnsi="Arial" w:cs="Arial"/>
          <w:sz w:val="24"/>
          <w:szCs w:val="24"/>
        </w:rPr>
        <w:t>las firmas</w:t>
      </w:r>
      <w:proofErr w:type="gramStart"/>
      <w:r w:rsidR="009772D0">
        <w:rPr>
          <w:rFonts w:ascii="Arial" w:hAnsi="Arial" w:cs="Arial"/>
          <w:sz w:val="24"/>
          <w:szCs w:val="24"/>
        </w:rPr>
        <w:t xml:space="preserve">: </w:t>
      </w:r>
      <w:r w:rsidR="00E26AF3" w:rsidRPr="00E26AF3">
        <w:rPr>
          <w:rFonts w:ascii="Arial" w:hAnsi="Arial" w:cs="Arial"/>
          <w:sz w:val="24"/>
          <w:szCs w:val="24"/>
        </w:rPr>
        <w:t xml:space="preserve"> SONDA</w:t>
      </w:r>
      <w:proofErr w:type="gramEnd"/>
      <w:r w:rsidR="00E26AF3" w:rsidRPr="00E26AF3">
        <w:rPr>
          <w:rFonts w:ascii="Arial" w:hAnsi="Arial" w:cs="Arial"/>
          <w:sz w:val="24"/>
          <w:szCs w:val="24"/>
        </w:rPr>
        <w:t xml:space="preserve"> SA; DARKO SA; PEUSA SA; IMSA SA; y NORDICA SA</w:t>
      </w:r>
      <w:r w:rsidR="007F1B6E" w:rsidRPr="00E26AF3">
        <w:rPr>
          <w:rFonts w:ascii="Arial" w:hAnsi="Arial" w:cs="Arial"/>
          <w:sz w:val="24"/>
          <w:szCs w:val="24"/>
        </w:rPr>
        <w:t>;</w:t>
      </w:r>
    </w:p>
    <w:p w:rsidR="00315A81" w:rsidRDefault="0023563C" w:rsidP="00420DD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A365DD">
        <w:rPr>
          <w:rFonts w:ascii="Arial" w:hAnsi="Arial" w:cs="Arial"/>
          <w:sz w:val="24"/>
          <w:szCs w:val="24"/>
        </w:rPr>
        <w:t>q</w:t>
      </w:r>
      <w:r w:rsidR="009E3830" w:rsidRPr="009E3830">
        <w:rPr>
          <w:rFonts w:ascii="Arial" w:hAnsi="Arial" w:cs="Arial"/>
          <w:sz w:val="24"/>
          <w:szCs w:val="24"/>
        </w:rPr>
        <w:t>ue el Intendente por Resolución de fecha 6/09/18 dispuso la formalización de un contrato con la empresa  SONDA SA, para llevar a cabo la obra de referencia</w:t>
      </w:r>
      <w:r w:rsidR="009E3830" w:rsidRPr="00420DD3">
        <w:rPr>
          <w:rFonts w:ascii="Arial" w:hAnsi="Arial" w:cs="Arial"/>
          <w:sz w:val="24"/>
          <w:szCs w:val="24"/>
        </w:rPr>
        <w:t>;</w:t>
      </w:r>
      <w:r w:rsidR="009E3830">
        <w:rPr>
          <w:rFonts w:ascii="Arial" w:hAnsi="Arial" w:cs="Arial"/>
          <w:b/>
          <w:sz w:val="24"/>
          <w:szCs w:val="24"/>
        </w:rPr>
        <w:t xml:space="preserve"> </w:t>
      </w:r>
      <w:r w:rsidR="009E3830" w:rsidRPr="009E3830">
        <w:rPr>
          <w:rFonts w:ascii="Arial" w:hAnsi="Arial" w:cs="Arial"/>
          <w:sz w:val="24"/>
          <w:szCs w:val="24"/>
        </w:rPr>
        <w:t>habiéndose notificado su designación a la firma  el 11/09/18;</w:t>
      </w:r>
    </w:p>
    <w:p w:rsidR="00931491" w:rsidRDefault="00A365DD" w:rsidP="00420DD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85D1D">
        <w:rPr>
          <w:rFonts w:ascii="Arial" w:hAnsi="Arial" w:cs="Arial"/>
          <w:b/>
          <w:sz w:val="24"/>
          <w:szCs w:val="24"/>
        </w:rPr>
        <w:t xml:space="preserve">) </w:t>
      </w:r>
      <w:r w:rsidR="00F85D1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por</w:t>
      </w:r>
      <w:r w:rsidR="00F85D1D">
        <w:rPr>
          <w:rFonts w:ascii="Arial" w:hAnsi="Arial" w:cs="Arial"/>
          <w:sz w:val="24"/>
          <w:szCs w:val="24"/>
        </w:rPr>
        <w:t xml:space="preserve"> Resolución del Intendente de fecha  13/12/18 se aprueba- ad referéndum de la intervención </w:t>
      </w:r>
      <w:r w:rsidR="00DF0963">
        <w:rPr>
          <w:rFonts w:ascii="Arial" w:hAnsi="Arial" w:cs="Arial"/>
          <w:sz w:val="24"/>
          <w:szCs w:val="24"/>
        </w:rPr>
        <w:t xml:space="preserve"> del Tribunal de C</w:t>
      </w:r>
      <w:r w:rsidR="00931491">
        <w:rPr>
          <w:rFonts w:ascii="Arial" w:hAnsi="Arial" w:cs="Arial"/>
          <w:sz w:val="24"/>
          <w:szCs w:val="24"/>
        </w:rPr>
        <w:t>uentas</w:t>
      </w:r>
      <w:r w:rsidR="00DF0963">
        <w:rPr>
          <w:rFonts w:ascii="Arial" w:hAnsi="Arial" w:cs="Arial"/>
          <w:sz w:val="24"/>
          <w:szCs w:val="24"/>
        </w:rPr>
        <w:t>-</w:t>
      </w:r>
      <w:r w:rsidR="00931491">
        <w:rPr>
          <w:rFonts w:ascii="Arial" w:hAnsi="Arial" w:cs="Arial"/>
          <w:sz w:val="24"/>
          <w:szCs w:val="24"/>
        </w:rPr>
        <w:t xml:space="preserve"> el contrato  con la Empresa SONDA SA</w:t>
      </w:r>
      <w:r w:rsidR="00DF0963">
        <w:rPr>
          <w:rFonts w:ascii="Arial" w:hAnsi="Arial" w:cs="Arial"/>
          <w:sz w:val="24"/>
          <w:szCs w:val="24"/>
        </w:rPr>
        <w:t>. Celebrado bajo la m</w:t>
      </w:r>
      <w:r w:rsidR="00931491">
        <w:rPr>
          <w:rFonts w:ascii="Arial" w:hAnsi="Arial" w:cs="Arial"/>
          <w:sz w:val="24"/>
          <w:szCs w:val="24"/>
        </w:rPr>
        <w:t xml:space="preserve">odalidad </w:t>
      </w:r>
      <w:r w:rsidR="00DF0963">
        <w:rPr>
          <w:rFonts w:ascii="Arial" w:hAnsi="Arial" w:cs="Arial"/>
          <w:sz w:val="24"/>
          <w:szCs w:val="24"/>
        </w:rPr>
        <w:t>de Contrato Remunerado por D</w:t>
      </w:r>
      <w:r w:rsidR="00931491">
        <w:rPr>
          <w:rFonts w:ascii="Arial" w:hAnsi="Arial" w:cs="Arial"/>
          <w:sz w:val="24"/>
          <w:szCs w:val="24"/>
        </w:rPr>
        <w:t>esempeño, en la variante “contrato de ahorros compartidos”;</w:t>
      </w:r>
    </w:p>
    <w:p w:rsidR="00A365DD" w:rsidRDefault="00A365DD" w:rsidP="0061023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este Tribunal en sesión de fecha </w:t>
      </w:r>
      <w:r w:rsidR="00704DE5">
        <w:rPr>
          <w:rFonts w:ascii="Arial" w:hAnsi="Arial" w:cs="Arial"/>
          <w:sz w:val="24"/>
          <w:szCs w:val="24"/>
        </w:rPr>
        <w:t xml:space="preserve">09/01/2019 este Tribunal adoptó la Resolución N° 52/2019 por la que se observa el gasto en </w:t>
      </w:r>
      <w:r w:rsidR="00704DE5">
        <w:rPr>
          <w:rFonts w:ascii="Arial" w:hAnsi="Arial" w:cs="Arial"/>
          <w:sz w:val="24"/>
          <w:szCs w:val="24"/>
        </w:rPr>
        <w:lastRenderedPageBreak/>
        <w:t>virtud de que la remisión de las actuaciones se realizó con posterioridad a la suscripción del contrato, configur</w:t>
      </w:r>
      <w:r w:rsidR="00610231">
        <w:rPr>
          <w:rFonts w:ascii="Arial" w:hAnsi="Arial" w:cs="Arial"/>
          <w:sz w:val="24"/>
          <w:szCs w:val="24"/>
        </w:rPr>
        <w:t>ándose  principio de ejecución;</w:t>
      </w:r>
    </w:p>
    <w:p w:rsidR="00FF1BF9" w:rsidRDefault="00704DE5" w:rsidP="0061023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por Resoluciones Nos. 288 y 363/2019 el Intendente dispuso la reiteración del gasto emergente de la contratación de la empresa SONDA</w:t>
      </w:r>
      <w:r w:rsidR="00FF1BF9">
        <w:rPr>
          <w:rFonts w:ascii="Arial" w:hAnsi="Arial" w:cs="Arial"/>
          <w:sz w:val="24"/>
          <w:szCs w:val="24"/>
        </w:rPr>
        <w:t>, expresando que no se configuró principio de ejecución en virtud de que la eficacia del contrato estuvo sujeta a la pr</w:t>
      </w:r>
      <w:r w:rsidR="00610231">
        <w:rPr>
          <w:rFonts w:ascii="Arial" w:hAnsi="Arial" w:cs="Arial"/>
          <w:sz w:val="24"/>
          <w:szCs w:val="24"/>
        </w:rPr>
        <w:t>evia intervención del Tribunal;</w:t>
      </w:r>
    </w:p>
    <w:p w:rsidR="00FF1BF9" w:rsidRPr="00FF1BF9" w:rsidRDefault="00704DE5" w:rsidP="00610231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0"/>
          <w:lang w:val="es-MX" w:eastAsia="es-ES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="00FF1BF9">
        <w:rPr>
          <w:rFonts w:ascii="Arial" w:hAnsi="Arial" w:cs="Arial"/>
          <w:b/>
          <w:sz w:val="24"/>
          <w:szCs w:val="24"/>
        </w:rPr>
        <w:t xml:space="preserve"> </w:t>
      </w:r>
      <w:r w:rsidR="00FF1BF9" w:rsidRPr="00FF1BF9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gasto;</w:t>
      </w:r>
    </w:p>
    <w:p w:rsidR="00FF1BF9" w:rsidRPr="00FF1BF9" w:rsidRDefault="00FF1BF9" w:rsidP="00610231">
      <w:pPr>
        <w:spacing w:after="0" w:line="360" w:lineRule="auto"/>
        <w:ind w:firstLine="2977"/>
        <w:jc w:val="both"/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</w:pPr>
      <w:r w:rsidRPr="00FF1BF9">
        <w:rPr>
          <w:rFonts w:ascii="Arial" w:eastAsia="Times New Roman" w:hAnsi="Arial" w:cs="Arial"/>
          <w:b/>
          <w:color w:val="000000"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 xml:space="preserve"> que en la especie lo expresado en la Resolución de reiteración</w:t>
      </w:r>
      <w:r w:rsidR="00CE3E8E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 xml:space="preserve"> no modifica los elementos tenidos en cuenta para observar el gasto</w:t>
      </w:r>
      <w:r w:rsidR="00FC5395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 xml:space="preserve"> ya que si bien la resolución de 13 de diciembre de 2018 es “ad </w:t>
      </w:r>
      <w:proofErr w:type="spellStart"/>
      <w:r w:rsidR="00FC5395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>referendum</w:t>
      </w:r>
      <w:proofErr w:type="spellEnd"/>
      <w:r w:rsidR="00FC5395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>” de la intervención de este Tribunal, por resolución de 6 de setiembre ya había dispuesto la formalización del contrato y se había notificado al adjudicatario con fecha 11 de setiembre</w:t>
      </w:r>
      <w:r w:rsidRPr="00FF1BF9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>;</w:t>
      </w:r>
    </w:p>
    <w:p w:rsidR="00FF1BF9" w:rsidRPr="00FF1BF9" w:rsidRDefault="00FF1BF9" w:rsidP="00610231">
      <w:pPr>
        <w:spacing w:after="0" w:line="360" w:lineRule="auto"/>
        <w:ind w:firstLine="2977"/>
        <w:jc w:val="both"/>
        <w:rPr>
          <w:rFonts w:ascii="Arial" w:eastAsia="Times New Roman" w:hAnsi="Arial" w:cs="Arial"/>
          <w:b/>
          <w:color w:val="000000"/>
          <w:sz w:val="24"/>
          <w:szCs w:val="20"/>
          <w:lang w:val="es-MX" w:eastAsia="es-ES"/>
        </w:rPr>
      </w:pPr>
      <w:r w:rsidRPr="00FF1BF9">
        <w:rPr>
          <w:rFonts w:ascii="Arial" w:eastAsia="Times New Roman" w:hAnsi="Arial" w:cs="Arial"/>
          <w:b/>
          <w:color w:val="000000"/>
          <w:sz w:val="24"/>
          <w:szCs w:val="20"/>
          <w:lang w:val="es-MX" w:eastAsia="es-ES"/>
        </w:rPr>
        <w:t>3)</w:t>
      </w:r>
      <w:r w:rsidRPr="00FF1BF9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 xml:space="preserve"> que en definitiva, se mantienen incambiadas las circunstancias que ameritaron la observación  del gasto;</w:t>
      </w:r>
      <w:r w:rsidRPr="00FF1BF9">
        <w:rPr>
          <w:rFonts w:ascii="Arial" w:eastAsia="Times New Roman" w:hAnsi="Arial" w:cs="Arial"/>
          <w:b/>
          <w:color w:val="000000"/>
          <w:sz w:val="24"/>
          <w:szCs w:val="20"/>
          <w:lang w:val="es-MX" w:eastAsia="es-ES"/>
        </w:rPr>
        <w:t xml:space="preserve"> </w:t>
      </w:r>
    </w:p>
    <w:p w:rsidR="00FF1BF9" w:rsidRDefault="00FF1BF9" w:rsidP="0061023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</w:pPr>
      <w:r w:rsidRPr="00FF1BF9">
        <w:rPr>
          <w:rFonts w:ascii="Arial" w:eastAsia="Times New Roman" w:hAnsi="Arial" w:cs="Arial"/>
          <w:b/>
          <w:color w:val="000000"/>
          <w:sz w:val="24"/>
          <w:szCs w:val="20"/>
          <w:lang w:val="es-MX" w:eastAsia="es-ES"/>
        </w:rPr>
        <w:t>ATENTO:</w:t>
      </w:r>
      <w:r w:rsidRPr="00FF1BF9"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  <w:t xml:space="preserve"> a lo precedentemente expuesto, a lo establecido en el Artículo 211 Literal B) de la Constitución de la República;</w:t>
      </w:r>
    </w:p>
    <w:p w:rsidR="00610231" w:rsidRDefault="00610231" w:rsidP="0061023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0"/>
          <w:lang w:val="es-MX" w:eastAsia="es-ES"/>
        </w:rPr>
      </w:pPr>
    </w:p>
    <w:p w:rsidR="00610231" w:rsidRPr="00FF1BF9" w:rsidRDefault="00610231" w:rsidP="0061023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</w:pPr>
    </w:p>
    <w:p w:rsidR="00FF1BF9" w:rsidRPr="00FF1BF9" w:rsidRDefault="00FF1BF9" w:rsidP="00610231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</w:pPr>
      <w:r w:rsidRPr="00FF1BF9">
        <w:rPr>
          <w:rFonts w:ascii="Arial" w:eastAsia="Times New Roman" w:hAnsi="Arial" w:cs="Times New Roman"/>
          <w:b/>
          <w:color w:val="000000"/>
          <w:sz w:val="24"/>
          <w:szCs w:val="20"/>
          <w:lang w:val="es-ES_tradnl" w:eastAsia="es-ES"/>
        </w:rPr>
        <w:t>EL TRIBUNAL ACUERDA</w:t>
      </w:r>
    </w:p>
    <w:p w:rsidR="00FF1BF9" w:rsidRPr="00610231" w:rsidRDefault="00FF1BF9" w:rsidP="0061023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610231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Mantener la observación del gasto de fecha </w:t>
      </w:r>
      <w:r w:rsidR="00CE3E8E" w:rsidRPr="00610231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09/01/2019</w:t>
      </w:r>
      <w:r w:rsidRPr="00610231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; </w:t>
      </w:r>
    </w:p>
    <w:p w:rsidR="00FF1BF9" w:rsidRPr="00610231" w:rsidRDefault="00FF1BF9" w:rsidP="0061023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610231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Dar cuenta a la Junta Departamental de Paysandú; y</w:t>
      </w:r>
    </w:p>
    <w:p w:rsidR="006406C2" w:rsidRDefault="00FF1BF9" w:rsidP="0061023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610231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Comunicar al Intendente y a la Contadora Delegada</w:t>
      </w:r>
      <w:r w:rsidR="00610231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</w:p>
    <w:p w:rsidR="00610231" w:rsidRDefault="00610231" w:rsidP="00610231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610231" w:rsidRPr="00610231" w:rsidRDefault="00610231" w:rsidP="00610231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ag</w:t>
      </w:r>
      <w:bookmarkStart w:id="0" w:name="_GoBack"/>
      <w:bookmarkEnd w:id="0"/>
    </w:p>
    <w:p w:rsidR="006406C2" w:rsidRDefault="006406C2" w:rsidP="00420DD3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sectPr w:rsidR="006406C2" w:rsidSect="00337DDC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DF" w:rsidRDefault="004E59DF" w:rsidP="004E59DF">
      <w:pPr>
        <w:spacing w:after="0" w:line="240" w:lineRule="auto"/>
      </w:pPr>
      <w:r>
        <w:separator/>
      </w:r>
    </w:p>
  </w:endnote>
  <w:endnote w:type="continuationSeparator" w:id="0">
    <w:p w:rsidR="004E59DF" w:rsidRDefault="004E59DF" w:rsidP="004E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83538"/>
      <w:docPartObj>
        <w:docPartGallery w:val="Page Numbers (Bottom of Page)"/>
        <w:docPartUnique/>
      </w:docPartObj>
    </w:sdtPr>
    <w:sdtContent>
      <w:p w:rsidR="004E59DF" w:rsidRDefault="004E59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231">
          <w:rPr>
            <w:noProof/>
          </w:rPr>
          <w:t>2</w:t>
        </w:r>
        <w:r>
          <w:fldChar w:fldCharType="end"/>
        </w:r>
      </w:p>
    </w:sdtContent>
  </w:sdt>
  <w:p w:rsidR="004E59DF" w:rsidRDefault="004E59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DF" w:rsidRDefault="004E59DF" w:rsidP="004E59DF">
      <w:pPr>
        <w:spacing w:after="0" w:line="240" w:lineRule="auto"/>
      </w:pPr>
      <w:r>
        <w:separator/>
      </w:r>
    </w:p>
  </w:footnote>
  <w:footnote w:type="continuationSeparator" w:id="0">
    <w:p w:rsidR="004E59DF" w:rsidRDefault="004E59DF" w:rsidP="004E5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C6652"/>
    <w:multiLevelType w:val="singleLevel"/>
    <w:tmpl w:val="9744A8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3"/>
    <w:rsid w:val="000512A1"/>
    <w:rsid w:val="000A3721"/>
    <w:rsid w:val="000F553D"/>
    <w:rsid w:val="00111381"/>
    <w:rsid w:val="00131F2F"/>
    <w:rsid w:val="00163229"/>
    <w:rsid w:val="00173BB1"/>
    <w:rsid w:val="00202C66"/>
    <w:rsid w:val="00207355"/>
    <w:rsid w:val="0023563C"/>
    <w:rsid w:val="00315A81"/>
    <w:rsid w:val="00337DDC"/>
    <w:rsid w:val="003457D7"/>
    <w:rsid w:val="00356F26"/>
    <w:rsid w:val="00420DD3"/>
    <w:rsid w:val="004E59DF"/>
    <w:rsid w:val="005255B4"/>
    <w:rsid w:val="00581427"/>
    <w:rsid w:val="005B59E4"/>
    <w:rsid w:val="005C7579"/>
    <w:rsid w:val="005D044D"/>
    <w:rsid w:val="0060542C"/>
    <w:rsid w:val="00610231"/>
    <w:rsid w:val="006406C2"/>
    <w:rsid w:val="006738AC"/>
    <w:rsid w:val="00704DE5"/>
    <w:rsid w:val="007D1FAA"/>
    <w:rsid w:val="007D6264"/>
    <w:rsid w:val="007F1B6E"/>
    <w:rsid w:val="00820D2D"/>
    <w:rsid w:val="008513D0"/>
    <w:rsid w:val="00886629"/>
    <w:rsid w:val="008A2508"/>
    <w:rsid w:val="00931491"/>
    <w:rsid w:val="009772D0"/>
    <w:rsid w:val="00982065"/>
    <w:rsid w:val="009E3830"/>
    <w:rsid w:val="00A365DD"/>
    <w:rsid w:val="00A94C31"/>
    <w:rsid w:val="00BA3123"/>
    <w:rsid w:val="00BC66BD"/>
    <w:rsid w:val="00CE3E8E"/>
    <w:rsid w:val="00D5183D"/>
    <w:rsid w:val="00DF0963"/>
    <w:rsid w:val="00E26AF3"/>
    <w:rsid w:val="00EB6AF5"/>
    <w:rsid w:val="00EF0323"/>
    <w:rsid w:val="00F045F3"/>
    <w:rsid w:val="00F3136B"/>
    <w:rsid w:val="00F85D1D"/>
    <w:rsid w:val="00FC5395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9DF"/>
  </w:style>
  <w:style w:type="paragraph" w:styleId="Piedepgina">
    <w:name w:val="footer"/>
    <w:basedOn w:val="Normal"/>
    <w:link w:val="PiedepginaCar"/>
    <w:uiPriority w:val="99"/>
    <w:unhideWhenUsed/>
    <w:rsid w:val="004E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9DF"/>
  </w:style>
  <w:style w:type="paragraph" w:styleId="Prrafodelista">
    <w:name w:val="List Paragraph"/>
    <w:basedOn w:val="Normal"/>
    <w:uiPriority w:val="34"/>
    <w:qFormat/>
    <w:rsid w:val="00610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9DF"/>
  </w:style>
  <w:style w:type="paragraph" w:styleId="Piedepgina">
    <w:name w:val="footer"/>
    <w:basedOn w:val="Normal"/>
    <w:link w:val="PiedepginaCar"/>
    <w:uiPriority w:val="99"/>
    <w:unhideWhenUsed/>
    <w:rsid w:val="004E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9DF"/>
  </w:style>
  <w:style w:type="paragraph" w:styleId="Prrafodelista">
    <w:name w:val="List Paragraph"/>
    <w:basedOn w:val="Normal"/>
    <w:uiPriority w:val="34"/>
    <w:qFormat/>
    <w:rsid w:val="0061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331E-A2AA-422B-B67D-6050DEC6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2018-12-27T19:40:00Z</cp:lastPrinted>
  <dcterms:created xsi:type="dcterms:W3CDTF">2019-02-06T16:54:00Z</dcterms:created>
  <dcterms:modified xsi:type="dcterms:W3CDTF">2019-02-06T17:17:00Z</dcterms:modified>
</cp:coreProperties>
</file>