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63" w:rsidRPr="00786EEB" w:rsidRDefault="007C696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391/19</w:t>
      </w:r>
    </w:p>
    <w:p w:rsidR="007C6963" w:rsidRDefault="007C696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7C6963" w:rsidRPr="00762B34" w:rsidRDefault="007C69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7C6963" w:rsidRPr="00762B34" w:rsidRDefault="007C69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C6963" w:rsidRPr="00762B34" w:rsidRDefault="007C69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7C6963" w:rsidRPr="00762B34" w:rsidRDefault="007C696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C6963" w:rsidRPr="00762B34" w:rsidRDefault="007C69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6 DE FEBRERO </w:t>
      </w:r>
      <w:r>
        <w:rPr>
          <w:rFonts w:ascii="Helvetica" w:hAnsi="Helvetica"/>
          <w:b/>
          <w:lang w:val="es-ES_tradnl"/>
        </w:rPr>
        <w:t>DE 2019</w:t>
      </w:r>
    </w:p>
    <w:p w:rsidR="007C6963" w:rsidRPr="00762B34" w:rsidRDefault="007C69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7C6963" w:rsidRPr="00762B34" w:rsidRDefault="007C696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2018-17-1-0007063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5454/18</w:t>
      </w:r>
      <w:r w:rsidRPr="00762B34">
        <w:rPr>
          <w:rFonts w:ascii="Arial" w:hAnsi="Arial" w:cs="Arial"/>
          <w:b/>
          <w:lang w:val="en-US"/>
        </w:rPr>
        <w:t>)</w:t>
      </w:r>
    </w:p>
    <w:p w:rsidR="007C6963" w:rsidRDefault="007C69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7C6963" w:rsidRDefault="00D343AD" w:rsidP="007C696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</w:t>
      </w:r>
      <w:r w:rsidR="00A2299D">
        <w:rPr>
          <w:rFonts w:ascii="Arial" w:hAnsi="Arial" w:cs="Arial"/>
        </w:rPr>
        <w:t>formulada</w:t>
      </w:r>
      <w:r>
        <w:rPr>
          <w:rFonts w:ascii="Arial" w:hAnsi="Arial" w:cs="Arial"/>
        </w:rPr>
        <w:t xml:space="preserve"> por el Contador Delegado de este Tribunal  </w:t>
      </w:r>
      <w:r w:rsidR="00A2299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la Administración de los Servicios de Salud del Estado (A.S.S.E.)</w:t>
      </w:r>
      <w:r w:rsidR="007C6963">
        <w:rPr>
          <w:rFonts w:ascii="Arial" w:hAnsi="Arial" w:cs="Arial"/>
        </w:rPr>
        <w:t>, referida a la aplicación del A</w:t>
      </w:r>
      <w:r>
        <w:rPr>
          <w:rFonts w:ascii="Arial" w:hAnsi="Arial" w:cs="Arial"/>
        </w:rPr>
        <w:t>rtículo 64 del TOCAF;</w:t>
      </w:r>
    </w:p>
    <w:p w:rsidR="007C6963" w:rsidRDefault="00D343AD" w:rsidP="007C6963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 xml:space="preserve">que el </w:t>
      </w:r>
      <w:r w:rsidR="00A2299D">
        <w:rPr>
          <w:rFonts w:ascii="Arial" w:hAnsi="Arial" w:cs="Arial"/>
        </w:rPr>
        <w:t xml:space="preserve">mencionado </w:t>
      </w:r>
      <w:r>
        <w:rPr>
          <w:rFonts w:ascii="Arial" w:hAnsi="Arial" w:cs="Arial"/>
        </w:rPr>
        <w:t>Contador  remite  nota de</w:t>
      </w:r>
      <w:r w:rsidR="00631CD6">
        <w:rPr>
          <w:rFonts w:ascii="Arial" w:hAnsi="Arial" w:cs="Arial"/>
        </w:rPr>
        <w:t xml:space="preserve">l 22 de noviembre de 2018, por </w:t>
      </w:r>
      <w:r>
        <w:rPr>
          <w:rFonts w:ascii="Arial" w:hAnsi="Arial" w:cs="Arial"/>
        </w:rPr>
        <w:t xml:space="preserve">medio de la cual consulta si las garantías de </w:t>
      </w:r>
      <w:r w:rsidR="001D6C9B">
        <w:rPr>
          <w:rFonts w:ascii="Arial" w:hAnsi="Arial" w:cs="Arial"/>
        </w:rPr>
        <w:t>mantenimiento</w:t>
      </w:r>
      <w:r>
        <w:rPr>
          <w:rFonts w:ascii="Arial" w:hAnsi="Arial" w:cs="Arial"/>
        </w:rPr>
        <w:t xml:space="preserve"> de la oferta y de fiel cumplimiento</w:t>
      </w:r>
      <w:r w:rsidR="00A2299D">
        <w:rPr>
          <w:rFonts w:ascii="Arial" w:hAnsi="Arial" w:cs="Arial"/>
        </w:rPr>
        <w:t xml:space="preserve"> de contrato</w:t>
      </w:r>
      <w:r w:rsidR="007C6963">
        <w:rPr>
          <w:rFonts w:ascii="Arial" w:hAnsi="Arial" w:cs="Arial"/>
        </w:rPr>
        <w:t xml:space="preserve"> establecidas en el Artí</w:t>
      </w:r>
      <w:r>
        <w:rPr>
          <w:rFonts w:ascii="Arial" w:hAnsi="Arial" w:cs="Arial"/>
        </w:rPr>
        <w:t>culo 64 del TOCAF, resultan exigibles para aquellas contra</w:t>
      </w:r>
      <w:r w:rsidR="001D6C9B">
        <w:rPr>
          <w:rFonts w:ascii="Arial" w:hAnsi="Arial" w:cs="Arial"/>
        </w:rPr>
        <w:t>taci</w:t>
      </w:r>
      <w:r w:rsidR="00924EC8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="00924EC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que son celebradas entre dos personas </w:t>
      </w:r>
      <w:r w:rsidR="001D6C9B">
        <w:rPr>
          <w:rFonts w:ascii="Arial" w:hAnsi="Arial" w:cs="Arial"/>
        </w:rPr>
        <w:t>jurídicas</w:t>
      </w:r>
      <w:r>
        <w:rPr>
          <w:rFonts w:ascii="Arial" w:hAnsi="Arial" w:cs="Arial"/>
        </w:rPr>
        <w:t xml:space="preserve"> esta</w:t>
      </w:r>
      <w:r w:rsidR="00A2299D">
        <w:rPr>
          <w:rFonts w:ascii="Arial" w:hAnsi="Arial" w:cs="Arial"/>
        </w:rPr>
        <w:t>ta</w:t>
      </w:r>
      <w:r>
        <w:rPr>
          <w:rFonts w:ascii="Arial" w:hAnsi="Arial" w:cs="Arial"/>
        </w:rPr>
        <w:t>les. En tal sentido, señala que en A</w:t>
      </w:r>
      <w:r w:rsidR="000B7EE9">
        <w:rPr>
          <w:rFonts w:ascii="Arial" w:hAnsi="Arial" w:cs="Arial"/>
        </w:rPr>
        <w:t>.</w:t>
      </w:r>
      <w:r>
        <w:rPr>
          <w:rFonts w:ascii="Arial" w:hAnsi="Arial" w:cs="Arial"/>
        </w:rPr>
        <w:t>S</w:t>
      </w:r>
      <w:r w:rsidR="000B7EE9">
        <w:rPr>
          <w:rFonts w:ascii="Arial" w:hAnsi="Arial" w:cs="Arial"/>
        </w:rPr>
        <w:t>.</w:t>
      </w:r>
      <w:r>
        <w:rPr>
          <w:rFonts w:ascii="Arial" w:hAnsi="Arial" w:cs="Arial"/>
        </w:rPr>
        <w:t>S</w:t>
      </w:r>
      <w:r w:rsidR="000B7EE9">
        <w:rPr>
          <w:rFonts w:ascii="Arial" w:hAnsi="Arial" w:cs="Arial"/>
        </w:rPr>
        <w:t>.</w:t>
      </w:r>
      <w:r>
        <w:rPr>
          <w:rFonts w:ascii="Arial" w:hAnsi="Arial" w:cs="Arial"/>
        </w:rPr>
        <w:t>E</w:t>
      </w:r>
      <w:r w:rsidR="000B7EE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existen </w:t>
      </w:r>
      <w:r w:rsidR="001D6C9B">
        <w:rPr>
          <w:rFonts w:ascii="Arial" w:hAnsi="Arial" w:cs="Arial"/>
        </w:rPr>
        <w:t>contrataciones</w:t>
      </w:r>
      <w:r>
        <w:rPr>
          <w:rFonts w:ascii="Arial" w:hAnsi="Arial" w:cs="Arial"/>
        </w:rPr>
        <w:t xml:space="preserve"> </w:t>
      </w:r>
      <w:r w:rsidR="001D6C9B">
        <w:rPr>
          <w:rFonts w:ascii="Arial" w:hAnsi="Arial" w:cs="Arial"/>
        </w:rPr>
        <w:t>celebradas</w:t>
      </w:r>
      <w:r w:rsidR="007C6963">
        <w:rPr>
          <w:rFonts w:ascii="Arial" w:hAnsi="Arial" w:cs="Arial"/>
        </w:rPr>
        <w:t xml:space="preserve"> al amparo del N</w:t>
      </w:r>
      <w:r>
        <w:rPr>
          <w:rFonts w:ascii="Arial" w:hAnsi="Arial" w:cs="Arial"/>
        </w:rPr>
        <w:t>um</w:t>
      </w:r>
      <w:r w:rsidR="001D6C9B">
        <w:rPr>
          <w:rFonts w:ascii="Arial" w:hAnsi="Arial" w:cs="Arial"/>
        </w:rPr>
        <w:t>e</w:t>
      </w:r>
      <w:r>
        <w:rPr>
          <w:rFonts w:ascii="Arial" w:hAnsi="Arial" w:cs="Arial"/>
        </w:rPr>
        <w:t>ra</w:t>
      </w:r>
      <w:r w:rsidR="001D6C9B">
        <w:rPr>
          <w:rFonts w:ascii="Arial" w:hAnsi="Arial" w:cs="Arial"/>
        </w:rPr>
        <w:t>l</w:t>
      </w:r>
      <w:r w:rsidR="007C6963">
        <w:rPr>
          <w:rFonts w:ascii="Arial" w:hAnsi="Arial" w:cs="Arial"/>
        </w:rPr>
        <w:t xml:space="preserve"> 1) del Literal c) del Artí</w:t>
      </w:r>
      <w:r>
        <w:rPr>
          <w:rFonts w:ascii="Arial" w:hAnsi="Arial" w:cs="Arial"/>
        </w:rPr>
        <w:t>culo 33 del TOCA</w:t>
      </w:r>
      <w:r w:rsidR="007C6963">
        <w:rPr>
          <w:rFonts w:ascii="Arial" w:hAnsi="Arial" w:cs="Arial"/>
        </w:rPr>
        <w:t>F que superan ampliamente el 40</w:t>
      </w:r>
      <w:r>
        <w:rPr>
          <w:rFonts w:ascii="Arial" w:hAnsi="Arial" w:cs="Arial"/>
        </w:rPr>
        <w:t xml:space="preserve">% del tope de la </w:t>
      </w:r>
      <w:r w:rsidR="001D6C9B">
        <w:rPr>
          <w:rFonts w:ascii="Arial" w:hAnsi="Arial" w:cs="Arial"/>
        </w:rPr>
        <w:t>licitación</w:t>
      </w:r>
      <w:r>
        <w:rPr>
          <w:rFonts w:ascii="Arial" w:hAnsi="Arial" w:cs="Arial"/>
        </w:rPr>
        <w:t xml:space="preserve"> abreviada, por lo cual si se considera exclusivamente el monto, </w:t>
      </w:r>
      <w:r w:rsidR="001D6C9B">
        <w:rPr>
          <w:rFonts w:ascii="Arial" w:hAnsi="Arial" w:cs="Arial"/>
        </w:rPr>
        <w:t>correspondería</w:t>
      </w:r>
      <w:r>
        <w:rPr>
          <w:rFonts w:ascii="Arial" w:hAnsi="Arial" w:cs="Arial"/>
        </w:rPr>
        <w:t xml:space="preserve"> presentar la referidas garantías;</w:t>
      </w:r>
    </w:p>
    <w:p w:rsidR="001D6C9B" w:rsidRDefault="00D343AD" w:rsidP="007C6963">
      <w:pPr>
        <w:spacing w:line="360" w:lineRule="auto"/>
        <w:ind w:firstLine="2835"/>
        <w:jc w:val="both"/>
        <w:rPr>
          <w:rFonts w:ascii="Arial" w:hAnsi="Arial" w:cs="Arial"/>
        </w:rPr>
      </w:pPr>
      <w:r w:rsidRPr="000B7EE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1D6C9B">
        <w:rPr>
          <w:rFonts w:ascii="Arial" w:hAnsi="Arial" w:cs="Arial"/>
        </w:rPr>
        <w:t>asimismo</w:t>
      </w:r>
      <w:r w:rsidR="00924E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D6C9B">
        <w:rPr>
          <w:rFonts w:ascii="Arial" w:hAnsi="Arial" w:cs="Arial"/>
        </w:rPr>
        <w:t xml:space="preserve">consulta si en las </w:t>
      </w:r>
      <w:r>
        <w:rPr>
          <w:rFonts w:ascii="Arial" w:hAnsi="Arial" w:cs="Arial"/>
        </w:rPr>
        <w:t xml:space="preserve"> </w:t>
      </w:r>
      <w:r w:rsidR="000A5449">
        <w:rPr>
          <w:rFonts w:ascii="Arial" w:hAnsi="Arial" w:cs="Arial"/>
        </w:rPr>
        <w:t>contratacio</w:t>
      </w:r>
      <w:r w:rsidR="001D6C9B">
        <w:rPr>
          <w:rFonts w:ascii="Arial" w:hAnsi="Arial" w:cs="Arial"/>
        </w:rPr>
        <w:t>n</w:t>
      </w:r>
      <w:r w:rsidR="000A5449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</w:t>
      </w:r>
      <w:r w:rsidR="001D6C9B">
        <w:rPr>
          <w:rFonts w:ascii="Arial" w:hAnsi="Arial" w:cs="Arial"/>
        </w:rPr>
        <w:t xml:space="preserve">realizadas </w:t>
      </w:r>
      <w:r>
        <w:rPr>
          <w:rFonts w:ascii="Arial" w:hAnsi="Arial" w:cs="Arial"/>
        </w:rPr>
        <w:t>al amparo de</w:t>
      </w:r>
      <w:r w:rsidR="007C6963">
        <w:rPr>
          <w:rFonts w:ascii="Arial" w:hAnsi="Arial" w:cs="Arial"/>
        </w:rPr>
        <w:t xml:space="preserve"> la excepción previstas en el  N</w:t>
      </w:r>
      <w:r>
        <w:rPr>
          <w:rFonts w:ascii="Arial" w:hAnsi="Arial" w:cs="Arial"/>
        </w:rPr>
        <w:t>um</w:t>
      </w:r>
      <w:r w:rsidR="001D6C9B">
        <w:rPr>
          <w:rFonts w:ascii="Arial" w:hAnsi="Arial" w:cs="Arial"/>
        </w:rPr>
        <w:t>er</w:t>
      </w:r>
      <w:r>
        <w:rPr>
          <w:rFonts w:ascii="Arial" w:hAnsi="Arial" w:cs="Arial"/>
        </w:rPr>
        <w:t>a</w:t>
      </w:r>
      <w:r w:rsidR="001D6C9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31</w:t>
      </w:r>
      <w:r w:rsidR="001D6C9B">
        <w:rPr>
          <w:rFonts w:ascii="Arial" w:hAnsi="Arial" w:cs="Arial"/>
        </w:rPr>
        <w:t>)</w:t>
      </w:r>
      <w:r w:rsidR="007C6963">
        <w:rPr>
          <w:rFonts w:ascii="Arial" w:hAnsi="Arial" w:cs="Arial"/>
        </w:rPr>
        <w:t xml:space="preserve"> del Literal c) de A</w:t>
      </w:r>
      <w:r>
        <w:rPr>
          <w:rFonts w:ascii="Arial" w:hAnsi="Arial" w:cs="Arial"/>
        </w:rPr>
        <w:t>rtículo 33 de T</w:t>
      </w:r>
      <w:r w:rsidR="00A825C9">
        <w:rPr>
          <w:rFonts w:ascii="Arial" w:hAnsi="Arial" w:cs="Arial"/>
        </w:rPr>
        <w:t>.</w:t>
      </w:r>
      <w:r>
        <w:rPr>
          <w:rFonts w:ascii="Arial" w:hAnsi="Arial" w:cs="Arial"/>
        </w:rPr>
        <w:t>O</w:t>
      </w:r>
      <w:r w:rsidR="00A825C9">
        <w:rPr>
          <w:rFonts w:ascii="Arial" w:hAnsi="Arial" w:cs="Arial"/>
        </w:rPr>
        <w:t>.</w:t>
      </w:r>
      <w:r>
        <w:rPr>
          <w:rFonts w:ascii="Arial" w:hAnsi="Arial" w:cs="Arial"/>
        </w:rPr>
        <w:t>C</w:t>
      </w:r>
      <w:r w:rsidR="00A825C9">
        <w:rPr>
          <w:rFonts w:ascii="Arial" w:hAnsi="Arial" w:cs="Arial"/>
        </w:rPr>
        <w:t>.</w:t>
      </w:r>
      <w:r>
        <w:rPr>
          <w:rFonts w:ascii="Arial" w:hAnsi="Arial" w:cs="Arial"/>
        </w:rPr>
        <w:t>A</w:t>
      </w:r>
      <w:r w:rsidR="00A825C9">
        <w:rPr>
          <w:rFonts w:ascii="Arial" w:hAnsi="Arial" w:cs="Arial"/>
        </w:rPr>
        <w:t>.</w:t>
      </w:r>
      <w:r>
        <w:rPr>
          <w:rFonts w:ascii="Arial" w:hAnsi="Arial" w:cs="Arial"/>
        </w:rPr>
        <w:t>F</w:t>
      </w:r>
      <w:r w:rsidR="00A825C9">
        <w:rPr>
          <w:rFonts w:ascii="Arial" w:hAnsi="Arial" w:cs="Arial"/>
        </w:rPr>
        <w:t xml:space="preserve">. (convenios de complementación de servicios) </w:t>
      </w:r>
      <w:r w:rsidR="001D6C9B">
        <w:rPr>
          <w:rFonts w:ascii="Arial" w:hAnsi="Arial" w:cs="Arial"/>
        </w:rPr>
        <w:t>resultan exigibles l</w:t>
      </w:r>
      <w:r w:rsidR="007C6963">
        <w:rPr>
          <w:rFonts w:ascii="Arial" w:hAnsi="Arial" w:cs="Arial"/>
        </w:rPr>
        <w:t>a garantías establecidas en el A</w:t>
      </w:r>
      <w:r w:rsidR="001D6C9B">
        <w:rPr>
          <w:rFonts w:ascii="Arial" w:hAnsi="Arial" w:cs="Arial"/>
        </w:rPr>
        <w:t>rtículo 64  del TOCAF</w:t>
      </w:r>
      <w:r w:rsidR="00924EC8">
        <w:rPr>
          <w:rFonts w:ascii="Arial" w:hAnsi="Arial" w:cs="Arial"/>
        </w:rPr>
        <w:t>,</w:t>
      </w:r>
      <w:r w:rsidR="001D6C9B">
        <w:rPr>
          <w:rFonts w:ascii="Arial" w:hAnsi="Arial" w:cs="Arial"/>
        </w:rPr>
        <w:t xml:space="preserve"> y en caso de </w:t>
      </w:r>
      <w:r w:rsidR="00924EC8">
        <w:rPr>
          <w:rFonts w:ascii="Arial" w:hAnsi="Arial" w:cs="Arial"/>
        </w:rPr>
        <w:t xml:space="preserve">así </w:t>
      </w:r>
      <w:r w:rsidR="001D6C9B">
        <w:rPr>
          <w:rFonts w:ascii="Arial" w:hAnsi="Arial" w:cs="Arial"/>
        </w:rPr>
        <w:t>corresponder</w:t>
      </w:r>
      <w:r w:rsidR="00924EC8">
        <w:rPr>
          <w:rFonts w:ascii="Arial" w:hAnsi="Arial" w:cs="Arial"/>
        </w:rPr>
        <w:t>, cuá</w:t>
      </w:r>
      <w:r w:rsidR="001D6C9B">
        <w:rPr>
          <w:rFonts w:ascii="Arial" w:hAnsi="Arial" w:cs="Arial"/>
        </w:rPr>
        <w:t xml:space="preserve">l </w:t>
      </w:r>
      <w:r w:rsidR="00924EC8">
        <w:rPr>
          <w:rFonts w:ascii="Arial" w:hAnsi="Arial" w:cs="Arial"/>
        </w:rPr>
        <w:t>sería</w:t>
      </w:r>
      <w:r w:rsidR="001D6C9B">
        <w:rPr>
          <w:rFonts w:ascii="Arial" w:hAnsi="Arial" w:cs="Arial"/>
        </w:rPr>
        <w:t xml:space="preserve"> la forma de determinar su monto. Ello por cuanto, según se señala, en dichas contrataciones, </w:t>
      </w:r>
      <w:r w:rsidR="00A825C9">
        <w:rPr>
          <w:rFonts w:ascii="Arial" w:hAnsi="Arial" w:cs="Arial"/>
        </w:rPr>
        <w:t xml:space="preserve">no es posible </w:t>
      </w:r>
      <w:r w:rsidR="001D6C9B">
        <w:rPr>
          <w:rFonts w:ascii="Arial" w:hAnsi="Arial" w:cs="Arial"/>
        </w:rPr>
        <w:t>determinar</w:t>
      </w:r>
      <w:r w:rsidR="00A825C9">
        <w:rPr>
          <w:rFonts w:ascii="Arial" w:hAnsi="Arial" w:cs="Arial"/>
        </w:rPr>
        <w:t xml:space="preserve"> su monto total</w:t>
      </w:r>
      <w:r w:rsidR="001D6C9B">
        <w:rPr>
          <w:rFonts w:ascii="Arial" w:hAnsi="Arial" w:cs="Arial"/>
        </w:rPr>
        <w:t>;</w:t>
      </w:r>
    </w:p>
    <w:p w:rsidR="007C6963" w:rsidRDefault="00D343AD" w:rsidP="007C6963">
      <w:pPr>
        <w:pStyle w:val="Textoindependiente2"/>
        <w:spacing w:after="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que </w:t>
      </w:r>
      <w:r w:rsidR="007C6963">
        <w:rPr>
          <w:rFonts w:ascii="Arial" w:hAnsi="Arial" w:cs="Arial"/>
        </w:rPr>
        <w:t>el A</w:t>
      </w:r>
      <w:r w:rsidR="00B27A65">
        <w:rPr>
          <w:rFonts w:ascii="Arial" w:hAnsi="Arial" w:cs="Arial"/>
        </w:rPr>
        <w:t>rtículo 64 del TOCAF establece que: “</w:t>
      </w:r>
      <w:r w:rsidR="00B27A65" w:rsidRPr="006C1000">
        <w:rPr>
          <w:rFonts w:ascii="Arial" w:hAnsi="Arial" w:cs="Arial"/>
          <w:i/>
        </w:rPr>
        <w:t xml:space="preserve">Los oferentes podrán garantizar el </w:t>
      </w:r>
      <w:r w:rsidR="00EC6BE9" w:rsidRPr="006C1000">
        <w:rPr>
          <w:rFonts w:ascii="Arial" w:hAnsi="Arial" w:cs="Arial"/>
          <w:i/>
        </w:rPr>
        <w:t>mantenimiento</w:t>
      </w:r>
      <w:r w:rsidR="00B27A65" w:rsidRPr="006C1000">
        <w:rPr>
          <w:rFonts w:ascii="Arial" w:hAnsi="Arial" w:cs="Arial"/>
          <w:i/>
        </w:rPr>
        <w:t xml:space="preserve"> de su </w:t>
      </w:r>
      <w:r w:rsidR="00103672" w:rsidRPr="006C1000">
        <w:rPr>
          <w:rFonts w:ascii="Arial" w:hAnsi="Arial" w:cs="Arial"/>
          <w:i/>
        </w:rPr>
        <w:t>oferta mediante dep</w:t>
      </w:r>
      <w:r w:rsidR="00924EC8">
        <w:rPr>
          <w:rFonts w:ascii="Arial" w:hAnsi="Arial" w:cs="Arial"/>
          <w:i/>
        </w:rPr>
        <w:t>ó</w:t>
      </w:r>
      <w:r w:rsidR="00103672" w:rsidRPr="006C1000">
        <w:rPr>
          <w:rFonts w:ascii="Arial" w:hAnsi="Arial" w:cs="Arial"/>
          <w:i/>
        </w:rPr>
        <w:t xml:space="preserve">sito en </w:t>
      </w:r>
      <w:r w:rsidR="00EC6BE9" w:rsidRPr="006C1000">
        <w:rPr>
          <w:rFonts w:ascii="Arial" w:hAnsi="Arial" w:cs="Arial"/>
          <w:i/>
        </w:rPr>
        <w:t>efectivo</w:t>
      </w:r>
      <w:r w:rsidR="00103672" w:rsidRPr="006C1000">
        <w:rPr>
          <w:rFonts w:ascii="Arial" w:hAnsi="Arial" w:cs="Arial"/>
          <w:i/>
        </w:rPr>
        <w:t xml:space="preserve"> o en valores públicos, fianza o aval bancario, o </w:t>
      </w:r>
      <w:r w:rsidR="00EC6BE9" w:rsidRPr="006C1000">
        <w:rPr>
          <w:rFonts w:ascii="Arial" w:hAnsi="Arial" w:cs="Arial"/>
          <w:i/>
        </w:rPr>
        <w:t>póliza</w:t>
      </w:r>
      <w:r w:rsidR="00103672" w:rsidRPr="006C1000">
        <w:rPr>
          <w:rFonts w:ascii="Arial" w:hAnsi="Arial" w:cs="Arial"/>
          <w:i/>
        </w:rPr>
        <w:t xml:space="preserve"> de </w:t>
      </w:r>
      <w:r w:rsidR="00103672" w:rsidRPr="006C1000">
        <w:rPr>
          <w:rFonts w:ascii="Arial" w:hAnsi="Arial" w:cs="Arial"/>
          <w:i/>
        </w:rPr>
        <w:lastRenderedPageBreak/>
        <w:t xml:space="preserve">seguro de fianza, por un valor fijo en moneda nacional o extranjera que la </w:t>
      </w:r>
      <w:r w:rsidR="00EC6BE9" w:rsidRPr="006C1000">
        <w:rPr>
          <w:rFonts w:ascii="Arial" w:hAnsi="Arial" w:cs="Arial"/>
          <w:i/>
        </w:rPr>
        <w:t>administración</w:t>
      </w:r>
      <w:r w:rsidR="00103672" w:rsidRPr="006C1000">
        <w:rPr>
          <w:rFonts w:ascii="Arial" w:hAnsi="Arial" w:cs="Arial"/>
          <w:i/>
        </w:rPr>
        <w:t xml:space="preserve"> deberá determinar expresamente en el pliego particular…Los </w:t>
      </w:r>
      <w:r w:rsidR="00EC6BE9" w:rsidRPr="006C1000">
        <w:rPr>
          <w:rFonts w:ascii="Arial" w:hAnsi="Arial" w:cs="Arial"/>
          <w:i/>
        </w:rPr>
        <w:t>adjudicatarios</w:t>
      </w:r>
      <w:r w:rsidR="00103672" w:rsidRPr="006C1000">
        <w:rPr>
          <w:rFonts w:ascii="Arial" w:hAnsi="Arial" w:cs="Arial"/>
          <w:i/>
        </w:rPr>
        <w:t xml:space="preserve"> </w:t>
      </w:r>
      <w:r w:rsidR="00EC6BE9" w:rsidRPr="006C1000">
        <w:rPr>
          <w:rFonts w:ascii="Arial" w:hAnsi="Arial" w:cs="Arial"/>
          <w:i/>
        </w:rPr>
        <w:t>deberán garantizar el fi</w:t>
      </w:r>
      <w:r w:rsidR="00103672" w:rsidRPr="006C1000">
        <w:rPr>
          <w:rFonts w:ascii="Arial" w:hAnsi="Arial" w:cs="Arial"/>
          <w:i/>
        </w:rPr>
        <w:t>el cumplimi</w:t>
      </w:r>
      <w:r w:rsidR="00EC6BE9" w:rsidRPr="006C1000">
        <w:rPr>
          <w:rFonts w:ascii="Arial" w:hAnsi="Arial" w:cs="Arial"/>
          <w:i/>
        </w:rPr>
        <w:t>e</w:t>
      </w:r>
      <w:r w:rsidR="00103672" w:rsidRPr="006C1000">
        <w:rPr>
          <w:rFonts w:ascii="Arial" w:hAnsi="Arial" w:cs="Arial"/>
          <w:i/>
        </w:rPr>
        <w:t>n</w:t>
      </w:r>
      <w:r w:rsidR="00EC6BE9" w:rsidRPr="006C1000">
        <w:rPr>
          <w:rFonts w:ascii="Arial" w:hAnsi="Arial" w:cs="Arial"/>
          <w:i/>
        </w:rPr>
        <w:t>t</w:t>
      </w:r>
      <w:r w:rsidR="00103672" w:rsidRPr="006C1000">
        <w:rPr>
          <w:rFonts w:ascii="Arial" w:hAnsi="Arial" w:cs="Arial"/>
          <w:i/>
        </w:rPr>
        <w:t xml:space="preserve">o del contrato mediante </w:t>
      </w:r>
      <w:r w:rsidR="00EC6BE9" w:rsidRPr="006C1000">
        <w:rPr>
          <w:rFonts w:ascii="Arial" w:hAnsi="Arial" w:cs="Arial"/>
          <w:i/>
        </w:rPr>
        <w:t>depósito</w:t>
      </w:r>
      <w:r w:rsidR="00103672" w:rsidRPr="006C1000">
        <w:rPr>
          <w:rFonts w:ascii="Arial" w:hAnsi="Arial" w:cs="Arial"/>
          <w:i/>
        </w:rPr>
        <w:t xml:space="preserve"> en efectivo o en </w:t>
      </w:r>
      <w:r w:rsidR="00EC6BE9" w:rsidRPr="006C1000">
        <w:rPr>
          <w:rFonts w:ascii="Arial" w:hAnsi="Arial" w:cs="Arial"/>
          <w:i/>
        </w:rPr>
        <w:t>valores</w:t>
      </w:r>
      <w:r w:rsidR="00103672" w:rsidRPr="006C1000">
        <w:rPr>
          <w:rFonts w:ascii="Arial" w:hAnsi="Arial" w:cs="Arial"/>
          <w:i/>
        </w:rPr>
        <w:t xml:space="preserve"> públicos, </w:t>
      </w:r>
      <w:r w:rsidR="00EC6BE9" w:rsidRPr="006C1000">
        <w:rPr>
          <w:rFonts w:ascii="Arial" w:hAnsi="Arial" w:cs="Arial"/>
          <w:i/>
        </w:rPr>
        <w:t>fianza</w:t>
      </w:r>
      <w:r w:rsidR="00103672" w:rsidRPr="006C1000">
        <w:rPr>
          <w:rFonts w:ascii="Arial" w:hAnsi="Arial" w:cs="Arial"/>
          <w:i/>
        </w:rPr>
        <w:t xml:space="preserve"> o </w:t>
      </w:r>
      <w:r w:rsidR="00EC6BE9" w:rsidRPr="006C1000">
        <w:rPr>
          <w:rFonts w:ascii="Arial" w:hAnsi="Arial" w:cs="Arial"/>
          <w:i/>
        </w:rPr>
        <w:t>aval</w:t>
      </w:r>
      <w:r w:rsidR="00103672" w:rsidRPr="006C1000">
        <w:rPr>
          <w:rFonts w:ascii="Arial" w:hAnsi="Arial" w:cs="Arial"/>
          <w:i/>
        </w:rPr>
        <w:t xml:space="preserve"> bancario, o </w:t>
      </w:r>
      <w:r w:rsidR="00EC6BE9" w:rsidRPr="006C1000">
        <w:rPr>
          <w:rFonts w:ascii="Arial" w:hAnsi="Arial" w:cs="Arial"/>
          <w:i/>
        </w:rPr>
        <w:t>póliza</w:t>
      </w:r>
      <w:r w:rsidR="00103672" w:rsidRPr="006C1000">
        <w:rPr>
          <w:rFonts w:ascii="Arial" w:hAnsi="Arial" w:cs="Arial"/>
          <w:i/>
        </w:rPr>
        <w:t xml:space="preserve"> de seguro de fianza, por un valor equivalente al 5% (cinco por ciento) de la adjudicación. Est</w:t>
      </w:r>
      <w:r w:rsidR="00A2299D">
        <w:rPr>
          <w:rFonts w:ascii="Arial" w:hAnsi="Arial" w:cs="Arial"/>
          <w:i/>
        </w:rPr>
        <w:t>a</w:t>
      </w:r>
      <w:r w:rsidR="00103672" w:rsidRPr="006C1000">
        <w:rPr>
          <w:rFonts w:ascii="Arial" w:hAnsi="Arial" w:cs="Arial"/>
          <w:i/>
        </w:rPr>
        <w:t xml:space="preserve"> garantía se podrá acrecer con una retención de los sucesivos pagos lo que</w:t>
      </w:r>
      <w:r w:rsidR="00EC6BE9" w:rsidRPr="006C1000">
        <w:rPr>
          <w:rFonts w:ascii="Arial" w:hAnsi="Arial" w:cs="Arial"/>
          <w:i/>
        </w:rPr>
        <w:t xml:space="preserve"> deberá</w:t>
      </w:r>
      <w:r w:rsidR="00103672" w:rsidRPr="006C1000">
        <w:rPr>
          <w:rFonts w:ascii="Arial" w:hAnsi="Arial" w:cs="Arial"/>
          <w:i/>
        </w:rPr>
        <w:t xml:space="preserve"> estar establ</w:t>
      </w:r>
      <w:r w:rsidR="00EC6BE9" w:rsidRPr="006C1000">
        <w:rPr>
          <w:rFonts w:ascii="Arial" w:hAnsi="Arial" w:cs="Arial"/>
          <w:i/>
        </w:rPr>
        <w:t>e</w:t>
      </w:r>
      <w:r w:rsidR="00103672" w:rsidRPr="006C1000">
        <w:rPr>
          <w:rFonts w:ascii="Arial" w:hAnsi="Arial" w:cs="Arial"/>
          <w:i/>
        </w:rPr>
        <w:t>ci</w:t>
      </w:r>
      <w:r w:rsidR="00EC6BE9" w:rsidRPr="006C1000">
        <w:rPr>
          <w:rFonts w:ascii="Arial" w:hAnsi="Arial" w:cs="Arial"/>
          <w:i/>
        </w:rPr>
        <w:t>do</w:t>
      </w:r>
      <w:r w:rsidR="00103672" w:rsidRPr="006C1000">
        <w:rPr>
          <w:rFonts w:ascii="Arial" w:hAnsi="Arial" w:cs="Arial"/>
          <w:i/>
        </w:rPr>
        <w:t xml:space="preserve"> en el pli</w:t>
      </w:r>
      <w:r w:rsidR="00AC4FE5" w:rsidRPr="006C1000">
        <w:rPr>
          <w:rFonts w:ascii="Arial" w:hAnsi="Arial" w:cs="Arial"/>
          <w:i/>
        </w:rPr>
        <w:t>e</w:t>
      </w:r>
      <w:r w:rsidR="00103672" w:rsidRPr="006C1000">
        <w:rPr>
          <w:rFonts w:ascii="Arial" w:hAnsi="Arial" w:cs="Arial"/>
          <w:i/>
        </w:rPr>
        <w:t xml:space="preserve">go </w:t>
      </w:r>
      <w:r w:rsidR="00AC4FE5" w:rsidRPr="006C1000">
        <w:rPr>
          <w:rFonts w:ascii="Arial" w:hAnsi="Arial" w:cs="Arial"/>
          <w:i/>
        </w:rPr>
        <w:t>particular</w:t>
      </w:r>
      <w:r w:rsidR="00103672" w:rsidRPr="006C1000">
        <w:rPr>
          <w:rFonts w:ascii="Arial" w:hAnsi="Arial" w:cs="Arial"/>
          <w:i/>
        </w:rPr>
        <w:t xml:space="preserve">. La </w:t>
      </w:r>
      <w:r w:rsidR="00924EC8">
        <w:rPr>
          <w:rFonts w:ascii="Arial" w:hAnsi="Arial" w:cs="Arial"/>
          <w:i/>
        </w:rPr>
        <w:t>A</w:t>
      </w:r>
      <w:r w:rsidR="00AC4FE5" w:rsidRPr="006C1000">
        <w:rPr>
          <w:rFonts w:ascii="Arial" w:hAnsi="Arial" w:cs="Arial"/>
          <w:i/>
        </w:rPr>
        <w:t>dministración</w:t>
      </w:r>
      <w:r w:rsidR="00103672" w:rsidRPr="006C1000">
        <w:rPr>
          <w:rFonts w:ascii="Arial" w:hAnsi="Arial" w:cs="Arial"/>
          <w:i/>
        </w:rPr>
        <w:t xml:space="preserve"> podrá estable</w:t>
      </w:r>
      <w:r w:rsidR="00AC4FE5" w:rsidRPr="006C1000">
        <w:rPr>
          <w:rFonts w:ascii="Arial" w:hAnsi="Arial" w:cs="Arial"/>
          <w:i/>
        </w:rPr>
        <w:t>ce</w:t>
      </w:r>
      <w:r w:rsidR="00103672" w:rsidRPr="006C1000">
        <w:rPr>
          <w:rFonts w:ascii="Arial" w:hAnsi="Arial" w:cs="Arial"/>
          <w:i/>
        </w:rPr>
        <w:t>r en dicho pli</w:t>
      </w:r>
      <w:r w:rsidR="00AC4FE5" w:rsidRPr="006C1000">
        <w:rPr>
          <w:rFonts w:ascii="Arial" w:hAnsi="Arial" w:cs="Arial"/>
          <w:i/>
        </w:rPr>
        <w:t>e</w:t>
      </w:r>
      <w:r w:rsidR="00103672" w:rsidRPr="006C1000">
        <w:rPr>
          <w:rFonts w:ascii="Arial" w:hAnsi="Arial" w:cs="Arial"/>
          <w:i/>
        </w:rPr>
        <w:t>go el derecho de los adju</w:t>
      </w:r>
      <w:r w:rsidR="000D5985" w:rsidRPr="006C1000">
        <w:rPr>
          <w:rFonts w:ascii="Arial" w:hAnsi="Arial" w:cs="Arial"/>
          <w:i/>
        </w:rPr>
        <w:t>dicatarios</w:t>
      </w:r>
      <w:r w:rsidR="00103672" w:rsidRPr="006C1000">
        <w:rPr>
          <w:rFonts w:ascii="Arial" w:hAnsi="Arial" w:cs="Arial"/>
          <w:i/>
        </w:rPr>
        <w:t xml:space="preserve"> a optar por no pre</w:t>
      </w:r>
      <w:r w:rsidR="000D5985" w:rsidRPr="006C1000">
        <w:rPr>
          <w:rFonts w:ascii="Arial" w:hAnsi="Arial" w:cs="Arial"/>
          <w:i/>
        </w:rPr>
        <w:t>se</w:t>
      </w:r>
      <w:r w:rsidR="00103672" w:rsidRPr="006C1000">
        <w:rPr>
          <w:rFonts w:ascii="Arial" w:hAnsi="Arial" w:cs="Arial"/>
          <w:i/>
        </w:rPr>
        <w:t xml:space="preserve">ntar garantía…La </w:t>
      </w:r>
      <w:r w:rsidR="00AC4FE5" w:rsidRPr="006C1000">
        <w:rPr>
          <w:rFonts w:ascii="Arial" w:hAnsi="Arial" w:cs="Arial"/>
          <w:i/>
        </w:rPr>
        <w:t>Administración</w:t>
      </w:r>
      <w:r w:rsidR="00103672" w:rsidRPr="006C1000">
        <w:rPr>
          <w:rFonts w:ascii="Arial" w:hAnsi="Arial" w:cs="Arial"/>
          <w:i/>
        </w:rPr>
        <w:t xml:space="preserve"> podrá establecer en el pliego p</w:t>
      </w:r>
      <w:r w:rsidR="000D5985" w:rsidRPr="006C1000">
        <w:rPr>
          <w:rFonts w:ascii="Arial" w:hAnsi="Arial" w:cs="Arial"/>
          <w:i/>
        </w:rPr>
        <w:t>a</w:t>
      </w:r>
      <w:r w:rsidR="00103672" w:rsidRPr="006C1000">
        <w:rPr>
          <w:rFonts w:ascii="Arial" w:hAnsi="Arial" w:cs="Arial"/>
          <w:i/>
        </w:rPr>
        <w:t>rticul</w:t>
      </w:r>
      <w:r w:rsidR="000D5985" w:rsidRPr="006C1000">
        <w:rPr>
          <w:rFonts w:ascii="Arial" w:hAnsi="Arial" w:cs="Arial"/>
          <w:i/>
        </w:rPr>
        <w:t>ar</w:t>
      </w:r>
      <w:r w:rsidR="00103672" w:rsidRPr="006C1000">
        <w:rPr>
          <w:rFonts w:ascii="Arial" w:hAnsi="Arial" w:cs="Arial"/>
          <w:i/>
        </w:rPr>
        <w:t xml:space="preserve">, para oferentes y </w:t>
      </w:r>
      <w:r w:rsidR="00AC4FE5" w:rsidRPr="006C1000">
        <w:rPr>
          <w:rFonts w:ascii="Arial" w:hAnsi="Arial" w:cs="Arial"/>
          <w:i/>
        </w:rPr>
        <w:t>adjudicatarios</w:t>
      </w:r>
      <w:r w:rsidR="00103672" w:rsidRPr="006C1000">
        <w:rPr>
          <w:rFonts w:ascii="Arial" w:hAnsi="Arial" w:cs="Arial"/>
          <w:i/>
        </w:rPr>
        <w:t xml:space="preserve">, </w:t>
      </w:r>
      <w:r w:rsidR="00AC4FE5" w:rsidRPr="006C1000">
        <w:rPr>
          <w:rFonts w:ascii="Arial" w:hAnsi="Arial" w:cs="Arial"/>
          <w:i/>
        </w:rPr>
        <w:t>garantías</w:t>
      </w:r>
      <w:r w:rsidR="00103672" w:rsidRPr="006C1000">
        <w:rPr>
          <w:rFonts w:ascii="Arial" w:hAnsi="Arial" w:cs="Arial"/>
          <w:i/>
        </w:rPr>
        <w:t xml:space="preserve"> o montos diferentes a lo expresado </w:t>
      </w:r>
      <w:r w:rsidR="000D5985" w:rsidRPr="006C1000">
        <w:rPr>
          <w:rFonts w:ascii="Arial" w:hAnsi="Arial" w:cs="Arial"/>
          <w:i/>
        </w:rPr>
        <w:t>precedentemente</w:t>
      </w:r>
      <w:r w:rsidR="00103672" w:rsidRPr="006C1000">
        <w:rPr>
          <w:rFonts w:ascii="Arial" w:hAnsi="Arial" w:cs="Arial"/>
          <w:i/>
        </w:rPr>
        <w:t xml:space="preserve">, determinar que sean </w:t>
      </w:r>
      <w:r w:rsidR="000D5985" w:rsidRPr="006C1000">
        <w:rPr>
          <w:rFonts w:ascii="Arial" w:hAnsi="Arial" w:cs="Arial"/>
          <w:i/>
        </w:rPr>
        <w:t>obligatorias</w:t>
      </w:r>
      <w:r w:rsidR="00103672" w:rsidRPr="006C1000">
        <w:rPr>
          <w:rFonts w:ascii="Arial" w:hAnsi="Arial" w:cs="Arial"/>
          <w:i/>
        </w:rPr>
        <w:t xml:space="preserve"> cuando la contrat</w:t>
      </w:r>
      <w:r w:rsidR="000D5985" w:rsidRPr="006C1000">
        <w:rPr>
          <w:rFonts w:ascii="Arial" w:hAnsi="Arial" w:cs="Arial"/>
          <w:i/>
        </w:rPr>
        <w:t>ació</w:t>
      </w:r>
      <w:r w:rsidR="00103672" w:rsidRPr="006C1000">
        <w:rPr>
          <w:rFonts w:ascii="Arial" w:hAnsi="Arial" w:cs="Arial"/>
          <w:i/>
        </w:rPr>
        <w:t>n lo justifique o exonerar de la presentación cuando ello le resulte conveniente</w:t>
      </w:r>
      <w:r w:rsidR="00103672">
        <w:rPr>
          <w:rFonts w:ascii="Arial" w:hAnsi="Arial" w:cs="Arial"/>
        </w:rPr>
        <w:t>.</w:t>
      </w:r>
      <w:r w:rsidR="006C1000">
        <w:rPr>
          <w:rFonts w:ascii="Arial" w:hAnsi="Arial" w:cs="Arial"/>
        </w:rPr>
        <w:t>”</w:t>
      </w:r>
      <w:r w:rsidR="00103672">
        <w:rPr>
          <w:rFonts w:ascii="Arial" w:hAnsi="Arial" w:cs="Arial"/>
        </w:rPr>
        <w:t>;</w:t>
      </w:r>
    </w:p>
    <w:p w:rsidR="007C6963" w:rsidRDefault="00103672" w:rsidP="007C6963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F903C1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224CF9">
        <w:rPr>
          <w:rFonts w:ascii="Arial" w:hAnsi="Arial" w:cs="Arial"/>
        </w:rPr>
        <w:t>asimismo</w:t>
      </w:r>
      <w:r>
        <w:rPr>
          <w:rFonts w:ascii="Arial" w:hAnsi="Arial" w:cs="Arial"/>
        </w:rPr>
        <w:t xml:space="preserve">, la </w:t>
      </w:r>
      <w:r w:rsidR="00224CF9">
        <w:rPr>
          <w:rFonts w:ascii="Arial" w:hAnsi="Arial" w:cs="Arial"/>
        </w:rPr>
        <w:t>mencionad</w:t>
      </w:r>
      <w:r w:rsidR="00F903C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norma </w:t>
      </w:r>
      <w:r w:rsidR="00224CF9">
        <w:rPr>
          <w:rFonts w:ascii="Arial" w:hAnsi="Arial" w:cs="Arial"/>
        </w:rPr>
        <w:t>establece</w:t>
      </w:r>
      <w:r>
        <w:rPr>
          <w:rFonts w:ascii="Arial" w:hAnsi="Arial" w:cs="Arial"/>
        </w:rPr>
        <w:t xml:space="preserve"> que </w:t>
      </w:r>
      <w:r w:rsidR="00EC6BE9">
        <w:rPr>
          <w:rFonts w:ascii="Arial" w:hAnsi="Arial" w:cs="Arial"/>
        </w:rPr>
        <w:t>“</w:t>
      </w:r>
      <w:r w:rsidR="006C1000">
        <w:rPr>
          <w:rFonts w:ascii="Arial" w:hAnsi="Arial" w:cs="Arial"/>
        </w:rPr>
        <w:t>…</w:t>
      </w:r>
      <w:r w:rsidR="00EC6BE9" w:rsidRPr="006C1000">
        <w:rPr>
          <w:rFonts w:ascii="Arial" w:hAnsi="Arial" w:cs="Arial"/>
          <w:i/>
        </w:rPr>
        <w:t>No se present</w:t>
      </w:r>
      <w:r w:rsidR="00F903C1" w:rsidRPr="006C1000">
        <w:rPr>
          <w:rFonts w:ascii="Arial" w:hAnsi="Arial" w:cs="Arial"/>
          <w:i/>
        </w:rPr>
        <w:t>a</w:t>
      </w:r>
      <w:r w:rsidR="00EC6BE9" w:rsidRPr="006C1000">
        <w:rPr>
          <w:rFonts w:ascii="Arial" w:hAnsi="Arial" w:cs="Arial"/>
          <w:i/>
        </w:rPr>
        <w:t>r</w:t>
      </w:r>
      <w:r w:rsidR="00F903C1" w:rsidRPr="006C1000">
        <w:rPr>
          <w:rFonts w:ascii="Arial" w:hAnsi="Arial" w:cs="Arial"/>
          <w:i/>
        </w:rPr>
        <w:t>á</w:t>
      </w:r>
      <w:r w:rsidR="00EC6BE9" w:rsidRPr="006C1000">
        <w:rPr>
          <w:rFonts w:ascii="Arial" w:hAnsi="Arial" w:cs="Arial"/>
          <w:i/>
        </w:rPr>
        <w:t>n garantías de m</w:t>
      </w:r>
      <w:r w:rsidR="000D5985" w:rsidRPr="006C1000">
        <w:rPr>
          <w:rFonts w:ascii="Arial" w:hAnsi="Arial" w:cs="Arial"/>
          <w:i/>
        </w:rPr>
        <w:t>a</w:t>
      </w:r>
      <w:r w:rsidR="00EC6BE9" w:rsidRPr="006C1000">
        <w:rPr>
          <w:rFonts w:ascii="Arial" w:hAnsi="Arial" w:cs="Arial"/>
          <w:i/>
        </w:rPr>
        <w:t>nten</w:t>
      </w:r>
      <w:r w:rsidR="000D5985" w:rsidRPr="006C1000">
        <w:rPr>
          <w:rFonts w:ascii="Arial" w:hAnsi="Arial" w:cs="Arial"/>
          <w:i/>
        </w:rPr>
        <w:t>imiento</w:t>
      </w:r>
      <w:r w:rsidR="00EC6BE9" w:rsidRPr="006C1000">
        <w:rPr>
          <w:rFonts w:ascii="Arial" w:hAnsi="Arial" w:cs="Arial"/>
          <w:i/>
        </w:rPr>
        <w:t xml:space="preserve"> de ofertas cuando las mismas sean inferiores al tope de la </w:t>
      </w:r>
      <w:r w:rsidR="00224CF9" w:rsidRPr="006C1000">
        <w:rPr>
          <w:rFonts w:ascii="Arial" w:hAnsi="Arial" w:cs="Arial"/>
          <w:i/>
        </w:rPr>
        <w:t>licitación</w:t>
      </w:r>
      <w:r w:rsidR="00EC6BE9" w:rsidRPr="006C1000">
        <w:rPr>
          <w:rFonts w:ascii="Arial" w:hAnsi="Arial" w:cs="Arial"/>
          <w:i/>
        </w:rPr>
        <w:t xml:space="preserve"> abreviada, ni garantías de fiel </w:t>
      </w:r>
      <w:r w:rsidR="00224CF9" w:rsidRPr="006C1000">
        <w:rPr>
          <w:rFonts w:ascii="Arial" w:hAnsi="Arial" w:cs="Arial"/>
          <w:i/>
        </w:rPr>
        <w:t>cumplimiento</w:t>
      </w:r>
      <w:r w:rsidR="00EC6BE9" w:rsidRPr="006C1000">
        <w:rPr>
          <w:rFonts w:ascii="Arial" w:hAnsi="Arial" w:cs="Arial"/>
          <w:i/>
        </w:rPr>
        <w:t xml:space="preserve"> del contr</w:t>
      </w:r>
      <w:r w:rsidR="00224CF9" w:rsidRPr="006C1000">
        <w:rPr>
          <w:rFonts w:ascii="Arial" w:hAnsi="Arial" w:cs="Arial"/>
          <w:i/>
        </w:rPr>
        <w:t>at</w:t>
      </w:r>
      <w:r w:rsidR="00EC6BE9" w:rsidRPr="006C1000">
        <w:rPr>
          <w:rFonts w:ascii="Arial" w:hAnsi="Arial" w:cs="Arial"/>
          <w:i/>
        </w:rPr>
        <w:t>o por aquellas inferio</w:t>
      </w:r>
      <w:r w:rsidR="00AC4FE5" w:rsidRPr="006C1000">
        <w:rPr>
          <w:rFonts w:ascii="Arial" w:hAnsi="Arial" w:cs="Arial"/>
          <w:i/>
        </w:rPr>
        <w:t>r</w:t>
      </w:r>
      <w:r w:rsidR="00EC6BE9" w:rsidRPr="006C1000">
        <w:rPr>
          <w:rFonts w:ascii="Arial" w:hAnsi="Arial" w:cs="Arial"/>
          <w:i/>
        </w:rPr>
        <w:t>es al 40% (cuarenta por ciento) del tope de la lic</w:t>
      </w:r>
      <w:r w:rsidR="00224CF9" w:rsidRPr="006C1000">
        <w:rPr>
          <w:rFonts w:ascii="Arial" w:hAnsi="Arial" w:cs="Arial"/>
          <w:i/>
        </w:rPr>
        <w:t>itació</w:t>
      </w:r>
      <w:r w:rsidR="00EC6BE9" w:rsidRPr="006C1000">
        <w:rPr>
          <w:rFonts w:ascii="Arial" w:hAnsi="Arial" w:cs="Arial"/>
          <w:i/>
        </w:rPr>
        <w:t>n abrevi</w:t>
      </w:r>
      <w:r w:rsidR="00AC4FE5" w:rsidRPr="006C1000">
        <w:rPr>
          <w:rFonts w:ascii="Arial" w:hAnsi="Arial" w:cs="Arial"/>
          <w:i/>
        </w:rPr>
        <w:t>a</w:t>
      </w:r>
      <w:r w:rsidR="00EC6BE9" w:rsidRPr="006C1000">
        <w:rPr>
          <w:rFonts w:ascii="Arial" w:hAnsi="Arial" w:cs="Arial"/>
          <w:i/>
        </w:rPr>
        <w:t>da</w:t>
      </w:r>
      <w:r w:rsidR="00EC6BE9">
        <w:rPr>
          <w:rFonts w:ascii="Arial" w:hAnsi="Arial" w:cs="Arial"/>
        </w:rPr>
        <w:t>…</w:t>
      </w:r>
      <w:r w:rsidR="00F903C1">
        <w:rPr>
          <w:rFonts w:ascii="Arial" w:hAnsi="Arial" w:cs="Arial"/>
        </w:rPr>
        <w:t>”;</w:t>
      </w:r>
    </w:p>
    <w:p w:rsidR="007C6963" w:rsidRDefault="00EC6BE9" w:rsidP="007C6963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F903C1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 </w:t>
      </w:r>
      <w:r w:rsidR="00631CD6">
        <w:rPr>
          <w:rFonts w:ascii="Arial" w:hAnsi="Arial" w:cs="Arial"/>
        </w:rPr>
        <w:t xml:space="preserve">los </w:t>
      </w:r>
      <w:r w:rsidR="005A6C84">
        <w:rPr>
          <w:rFonts w:ascii="Arial" w:hAnsi="Arial" w:cs="Arial"/>
        </w:rPr>
        <w:t>concepto</w:t>
      </w:r>
      <w:r w:rsidR="00631CD6">
        <w:rPr>
          <w:rFonts w:ascii="Arial" w:hAnsi="Arial" w:cs="Arial"/>
        </w:rPr>
        <w:t>s</w:t>
      </w:r>
      <w:r w:rsidR="005A6C8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 “</w:t>
      </w:r>
      <w:r w:rsidRPr="006C1000">
        <w:rPr>
          <w:rFonts w:ascii="Arial" w:hAnsi="Arial" w:cs="Arial"/>
          <w:i/>
        </w:rPr>
        <w:t>oferente</w:t>
      </w:r>
      <w:r>
        <w:rPr>
          <w:rFonts w:ascii="Arial" w:hAnsi="Arial" w:cs="Arial"/>
        </w:rPr>
        <w:t xml:space="preserve">” </w:t>
      </w:r>
      <w:r w:rsidR="00AC4FE5">
        <w:rPr>
          <w:rFonts w:ascii="Arial" w:hAnsi="Arial" w:cs="Arial"/>
        </w:rPr>
        <w:t xml:space="preserve">como </w:t>
      </w:r>
      <w:r w:rsidR="00631CD6">
        <w:rPr>
          <w:rFonts w:ascii="Arial" w:hAnsi="Arial" w:cs="Arial"/>
        </w:rPr>
        <w:t xml:space="preserve">los </w:t>
      </w:r>
      <w:r w:rsidR="005A6C84">
        <w:rPr>
          <w:rFonts w:ascii="Arial" w:hAnsi="Arial" w:cs="Arial"/>
        </w:rPr>
        <w:t>de</w:t>
      </w:r>
      <w:r w:rsidR="00AC4F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“</w:t>
      </w:r>
      <w:r w:rsidRPr="006C1000">
        <w:rPr>
          <w:rFonts w:ascii="Arial" w:hAnsi="Arial" w:cs="Arial"/>
          <w:i/>
        </w:rPr>
        <w:t>adjudicatario</w:t>
      </w:r>
      <w:r>
        <w:rPr>
          <w:rFonts w:ascii="Arial" w:hAnsi="Arial" w:cs="Arial"/>
        </w:rPr>
        <w:t xml:space="preserve">” </w:t>
      </w:r>
      <w:r w:rsidR="00631CD6">
        <w:rPr>
          <w:rFonts w:ascii="Arial" w:hAnsi="Arial" w:cs="Arial"/>
        </w:rPr>
        <w:t xml:space="preserve"> y pliegos de condiciones </w:t>
      </w:r>
      <w:r w:rsidR="007C6963">
        <w:rPr>
          <w:rFonts w:ascii="Arial" w:hAnsi="Arial" w:cs="Arial"/>
        </w:rPr>
        <w:t>a que refiere el A</w:t>
      </w:r>
      <w:r w:rsidR="00AC4FE5">
        <w:rPr>
          <w:rFonts w:ascii="Arial" w:hAnsi="Arial" w:cs="Arial"/>
        </w:rPr>
        <w:t xml:space="preserve">rtículo 64 del TOCAF, </w:t>
      </w:r>
      <w:r w:rsidR="00631CD6">
        <w:rPr>
          <w:rFonts w:ascii="Arial" w:hAnsi="Arial" w:cs="Arial"/>
        </w:rPr>
        <w:t xml:space="preserve">en general están asociados a </w:t>
      </w:r>
      <w:r w:rsidR="000A5449">
        <w:rPr>
          <w:rFonts w:ascii="Arial" w:hAnsi="Arial" w:cs="Arial"/>
        </w:rPr>
        <w:t>los</w:t>
      </w:r>
      <w:r w:rsidR="00AC4FE5">
        <w:rPr>
          <w:rFonts w:ascii="Arial" w:hAnsi="Arial" w:cs="Arial"/>
        </w:rPr>
        <w:t xml:space="preserve"> pr</w:t>
      </w:r>
      <w:r w:rsidR="00F903C1">
        <w:rPr>
          <w:rFonts w:ascii="Arial" w:hAnsi="Arial" w:cs="Arial"/>
        </w:rPr>
        <w:t>o</w:t>
      </w:r>
      <w:r w:rsidR="00AC4FE5">
        <w:rPr>
          <w:rFonts w:ascii="Arial" w:hAnsi="Arial" w:cs="Arial"/>
        </w:rPr>
        <w:t>cedim</w:t>
      </w:r>
      <w:r w:rsidR="00F903C1">
        <w:rPr>
          <w:rFonts w:ascii="Arial" w:hAnsi="Arial" w:cs="Arial"/>
        </w:rPr>
        <w:t>ien</w:t>
      </w:r>
      <w:r w:rsidR="00AC4FE5">
        <w:rPr>
          <w:rFonts w:ascii="Arial" w:hAnsi="Arial" w:cs="Arial"/>
        </w:rPr>
        <w:t>tos  de contrat</w:t>
      </w:r>
      <w:r w:rsidR="00F903C1">
        <w:rPr>
          <w:rFonts w:ascii="Arial" w:hAnsi="Arial" w:cs="Arial"/>
        </w:rPr>
        <w:t>ació</w:t>
      </w:r>
      <w:r w:rsidR="00AC4FE5">
        <w:rPr>
          <w:rFonts w:ascii="Arial" w:hAnsi="Arial" w:cs="Arial"/>
        </w:rPr>
        <w:t>n comp</w:t>
      </w:r>
      <w:r w:rsidR="00224CF9">
        <w:rPr>
          <w:rFonts w:ascii="Arial" w:hAnsi="Arial" w:cs="Arial"/>
        </w:rPr>
        <w:t>eti</w:t>
      </w:r>
      <w:r w:rsidR="00F903C1">
        <w:rPr>
          <w:rFonts w:ascii="Arial" w:hAnsi="Arial" w:cs="Arial"/>
        </w:rPr>
        <w:t>ti</w:t>
      </w:r>
      <w:r w:rsidR="00224CF9">
        <w:rPr>
          <w:rFonts w:ascii="Arial" w:hAnsi="Arial" w:cs="Arial"/>
        </w:rPr>
        <w:t>vos</w:t>
      </w:r>
      <w:r w:rsidR="00002A2D">
        <w:rPr>
          <w:rFonts w:ascii="Arial" w:hAnsi="Arial" w:cs="Arial"/>
        </w:rPr>
        <w:t xml:space="preserve">, </w:t>
      </w:r>
      <w:r w:rsidR="007A1668">
        <w:rPr>
          <w:rFonts w:ascii="Arial" w:hAnsi="Arial" w:cs="Arial"/>
        </w:rPr>
        <w:t>(licitación pública, licitación abreviada u otros procedimientos competitivos que el ordenador determine, en las contrataciones directas por excepción)</w:t>
      </w:r>
      <w:r w:rsidR="00224CF9">
        <w:rPr>
          <w:rFonts w:ascii="Arial" w:hAnsi="Arial" w:cs="Arial"/>
        </w:rPr>
        <w:t>;</w:t>
      </w:r>
    </w:p>
    <w:p w:rsidR="00C11D95" w:rsidRPr="00C11D95" w:rsidRDefault="007A1668" w:rsidP="007C6963">
      <w:pPr>
        <w:pStyle w:val="Textoindependiente2"/>
        <w:spacing w:after="0" w:line="360" w:lineRule="auto"/>
        <w:ind w:firstLine="2977"/>
        <w:jc w:val="both"/>
        <w:rPr>
          <w:rFonts w:ascii="Arial" w:hAnsi="Arial" w:cs="Arial"/>
        </w:rPr>
      </w:pPr>
      <w:r w:rsidRPr="007C6963">
        <w:rPr>
          <w:rFonts w:ascii="Arial" w:hAnsi="Arial" w:cs="Arial"/>
          <w:b/>
        </w:rPr>
        <w:t>4</w:t>
      </w:r>
      <w:r w:rsidR="00224CF9" w:rsidRPr="007C6963">
        <w:rPr>
          <w:rFonts w:ascii="Arial" w:hAnsi="Arial" w:cs="Arial"/>
          <w:b/>
        </w:rPr>
        <w:t>)</w:t>
      </w:r>
      <w:r w:rsidR="00A2299D">
        <w:rPr>
          <w:rFonts w:ascii="Arial" w:hAnsi="Arial" w:cs="Arial"/>
          <w:b/>
        </w:rPr>
        <w:t xml:space="preserve"> </w:t>
      </w:r>
      <w:r w:rsidRPr="00C11D95">
        <w:rPr>
          <w:rFonts w:ascii="Arial" w:hAnsi="Arial" w:cs="Arial"/>
        </w:rPr>
        <w:t>que</w:t>
      </w:r>
      <w:r w:rsidR="00A2299D">
        <w:rPr>
          <w:rFonts w:ascii="Arial" w:hAnsi="Arial" w:cs="Arial"/>
        </w:rPr>
        <w:t>,</w:t>
      </w:r>
      <w:r w:rsidRPr="00C11D95">
        <w:rPr>
          <w:rFonts w:ascii="Arial" w:hAnsi="Arial" w:cs="Arial"/>
        </w:rPr>
        <w:t xml:space="preserve"> en principio se puede entender que</w:t>
      </w:r>
      <w:r w:rsidR="00A2299D">
        <w:rPr>
          <w:rFonts w:ascii="Arial" w:hAnsi="Arial" w:cs="Arial"/>
        </w:rPr>
        <w:t>,</w:t>
      </w:r>
      <w:r w:rsidRPr="00C11D95">
        <w:rPr>
          <w:rFonts w:ascii="Arial" w:hAnsi="Arial" w:cs="Arial"/>
        </w:rPr>
        <w:t xml:space="preserve"> cuando se trate de un procedimiento amparad</w:t>
      </w:r>
      <w:r w:rsidR="007C6963">
        <w:rPr>
          <w:rFonts w:ascii="Arial" w:hAnsi="Arial" w:cs="Arial"/>
        </w:rPr>
        <w:t>o en una causal de excepción, só</w:t>
      </w:r>
      <w:r w:rsidRPr="00C11D95">
        <w:rPr>
          <w:rFonts w:ascii="Arial" w:hAnsi="Arial" w:cs="Arial"/>
        </w:rPr>
        <w:t xml:space="preserve">lo si  se contrata directamente, no </w:t>
      </w:r>
      <w:r w:rsidR="00A2299D">
        <w:rPr>
          <w:rFonts w:ascii="Arial" w:hAnsi="Arial" w:cs="Arial"/>
        </w:rPr>
        <w:t>es</w:t>
      </w:r>
      <w:r w:rsidRPr="00C11D95">
        <w:rPr>
          <w:rFonts w:ascii="Arial" w:hAnsi="Arial" w:cs="Arial"/>
        </w:rPr>
        <w:t xml:space="preserve"> exigible la garantía</w:t>
      </w:r>
      <w:r w:rsidR="00C11D95" w:rsidRPr="00C11D95">
        <w:rPr>
          <w:rFonts w:ascii="Arial" w:hAnsi="Arial" w:cs="Arial"/>
        </w:rPr>
        <w:t>, situación en que quedan comprendidas las dos hipótesis que se plantean en la consulta</w:t>
      </w:r>
      <w:r w:rsidR="00A2299D">
        <w:rPr>
          <w:rFonts w:ascii="Arial" w:hAnsi="Arial" w:cs="Arial"/>
        </w:rPr>
        <w:t xml:space="preserve">. </w:t>
      </w:r>
      <w:r w:rsidR="00C11D95" w:rsidRPr="00C11D95">
        <w:rPr>
          <w:rFonts w:ascii="Arial" w:hAnsi="Arial" w:cs="Arial"/>
        </w:rPr>
        <w:t xml:space="preserve"> Asimismo</w:t>
      </w:r>
      <w:r w:rsidR="00A2299D">
        <w:rPr>
          <w:rFonts w:ascii="Arial" w:hAnsi="Arial" w:cs="Arial"/>
        </w:rPr>
        <w:t>,</w:t>
      </w:r>
      <w:r w:rsidR="00C11D95" w:rsidRPr="00C11D95">
        <w:rPr>
          <w:rFonts w:ascii="Arial" w:hAnsi="Arial" w:cs="Arial"/>
        </w:rPr>
        <w:t xml:space="preserve"> en el caso de que  la</w:t>
      </w:r>
      <w:r w:rsidR="007C6963">
        <w:rPr>
          <w:rFonts w:ascii="Arial" w:hAnsi="Arial" w:cs="Arial"/>
        </w:rPr>
        <w:t xml:space="preserve"> contratación sea con otro O</w:t>
      </w:r>
      <w:r w:rsidR="00C11D95" w:rsidRPr="00C11D95">
        <w:rPr>
          <w:rFonts w:ascii="Arial" w:hAnsi="Arial" w:cs="Arial"/>
        </w:rPr>
        <w:t xml:space="preserve">rganismo de estado, tampoco </w:t>
      </w:r>
      <w:r w:rsidR="00A2299D">
        <w:rPr>
          <w:rFonts w:ascii="Arial" w:hAnsi="Arial" w:cs="Arial"/>
        </w:rPr>
        <w:t>es</w:t>
      </w:r>
      <w:r w:rsidR="00C11D95" w:rsidRPr="00C11D95">
        <w:rPr>
          <w:rFonts w:ascii="Arial" w:hAnsi="Arial" w:cs="Arial"/>
        </w:rPr>
        <w:t xml:space="preserve"> exigible la garantía</w:t>
      </w:r>
      <w:r w:rsidR="00A2299D">
        <w:rPr>
          <w:rFonts w:ascii="Arial" w:hAnsi="Arial" w:cs="Arial"/>
        </w:rPr>
        <w:t>,</w:t>
      </w:r>
      <w:r w:rsidR="00C11D95" w:rsidRPr="00C11D95">
        <w:rPr>
          <w:rFonts w:ascii="Arial" w:hAnsi="Arial" w:cs="Arial"/>
        </w:rPr>
        <w:t xml:space="preserve">  dada la  naturaleza jurídica  del </w:t>
      </w:r>
      <w:proofErr w:type="spellStart"/>
      <w:r w:rsidR="00A2299D">
        <w:rPr>
          <w:rFonts w:ascii="Arial" w:hAnsi="Arial" w:cs="Arial"/>
        </w:rPr>
        <w:t>cocontratante</w:t>
      </w:r>
      <w:proofErr w:type="spellEnd"/>
      <w:r w:rsidR="00C11D95" w:rsidRPr="00C11D95">
        <w:rPr>
          <w:rFonts w:ascii="Arial" w:hAnsi="Arial" w:cs="Arial"/>
        </w:rPr>
        <w:t>;</w:t>
      </w:r>
      <w:r w:rsidR="000D5985" w:rsidRPr="00C11D95">
        <w:rPr>
          <w:rFonts w:ascii="Arial" w:hAnsi="Arial" w:cs="Arial"/>
        </w:rPr>
        <w:t xml:space="preserve">     </w:t>
      </w:r>
      <w:r w:rsidR="00224CF9" w:rsidRPr="00C11D95">
        <w:rPr>
          <w:rFonts w:ascii="Arial" w:hAnsi="Arial" w:cs="Arial"/>
        </w:rPr>
        <w:t xml:space="preserve"> </w:t>
      </w:r>
      <w:r w:rsidR="00D343AD" w:rsidRPr="00C11D95">
        <w:rPr>
          <w:rFonts w:ascii="Arial" w:hAnsi="Arial" w:cs="Arial"/>
        </w:rPr>
        <w:tab/>
      </w:r>
    </w:p>
    <w:p w:rsidR="00D343AD" w:rsidRDefault="00D343AD" w:rsidP="007C6963">
      <w:pPr>
        <w:pStyle w:val="Textoindependiente2"/>
        <w:spacing w:after="0" w:line="360" w:lineRule="auto"/>
        <w:ind w:firstLine="851"/>
        <w:jc w:val="both"/>
        <w:rPr>
          <w:rFonts w:cs="Arial"/>
        </w:rPr>
      </w:pPr>
      <w:r>
        <w:rPr>
          <w:rFonts w:ascii="Arial" w:hAnsi="Arial" w:cs="Arial"/>
          <w:b/>
          <w:bCs/>
        </w:rPr>
        <w:lastRenderedPageBreak/>
        <w:t xml:space="preserve">ATENTO: </w:t>
      </w:r>
      <w:r>
        <w:rPr>
          <w:rFonts w:ascii="Arial" w:hAnsi="Arial" w:cs="Arial"/>
        </w:rPr>
        <w:t>a lo precedentemente expuesto;</w:t>
      </w:r>
    </w:p>
    <w:p w:rsidR="00D343AD" w:rsidRPr="00B20AEF" w:rsidRDefault="00D343AD" w:rsidP="007C6963">
      <w:pPr>
        <w:pStyle w:val="Ttulo1"/>
      </w:pPr>
      <w:r w:rsidRPr="00B20AEF">
        <w:rPr>
          <w:rFonts w:cs="Arial"/>
          <w:u w:val="none"/>
        </w:rPr>
        <w:t>EL TRIBUNAL ACUERDA</w:t>
      </w:r>
    </w:p>
    <w:p w:rsidR="00D343AD" w:rsidRDefault="00D343AD" w:rsidP="007C6963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Evacuar la consulta en los términos de los Considerando</w:t>
      </w:r>
      <w:r w:rsidR="00A2299D">
        <w:rPr>
          <w:rFonts w:ascii="Arial" w:hAnsi="Arial" w:cs="Arial"/>
        </w:rPr>
        <w:t>s de la presente Resolución</w:t>
      </w:r>
      <w:r>
        <w:rPr>
          <w:rFonts w:ascii="Arial" w:hAnsi="Arial" w:cs="Arial"/>
        </w:rPr>
        <w:t>;</w:t>
      </w:r>
    </w:p>
    <w:p w:rsidR="00581BC9" w:rsidRDefault="00D343AD" w:rsidP="007C6963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0" w:firstLine="0"/>
      </w:pPr>
      <w:r>
        <w:rPr>
          <w:rFonts w:ascii="Arial" w:hAnsi="Arial" w:cs="Arial"/>
        </w:rPr>
        <w:t>Comunicar al Contador Delegado.</w:t>
      </w:r>
      <w:r w:rsidR="007C6963">
        <w:t xml:space="preserve"> </w:t>
      </w: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Default="007C6963" w:rsidP="007C6963">
      <w:pPr>
        <w:tabs>
          <w:tab w:val="left" w:pos="284"/>
        </w:tabs>
        <w:spacing w:line="360" w:lineRule="auto"/>
      </w:pPr>
    </w:p>
    <w:p w:rsidR="007C6963" w:rsidRPr="007C6963" w:rsidRDefault="007C6963" w:rsidP="007C6963">
      <w:pPr>
        <w:tabs>
          <w:tab w:val="left" w:pos="284"/>
        </w:tabs>
        <w:spacing w:line="360" w:lineRule="auto"/>
        <w:ind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bookmarkStart w:id="0" w:name="_GoBack"/>
      <w:bookmarkEnd w:id="0"/>
      <w:proofErr w:type="gramEnd"/>
    </w:p>
    <w:sectPr w:rsidR="007C6963" w:rsidRPr="007C6963" w:rsidSect="007C6963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63" w:rsidRDefault="007C6963" w:rsidP="007C6963">
      <w:r>
        <w:separator/>
      </w:r>
    </w:p>
  </w:endnote>
  <w:endnote w:type="continuationSeparator" w:id="0">
    <w:p w:rsidR="007C6963" w:rsidRDefault="007C6963" w:rsidP="007C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564055"/>
      <w:docPartObj>
        <w:docPartGallery w:val="Page Numbers (Bottom of Page)"/>
        <w:docPartUnique/>
      </w:docPartObj>
    </w:sdtPr>
    <w:sdtContent>
      <w:p w:rsidR="007C6963" w:rsidRDefault="007C696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C6963" w:rsidRDefault="007C69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63" w:rsidRDefault="007C6963" w:rsidP="007C6963">
      <w:r>
        <w:separator/>
      </w:r>
    </w:p>
  </w:footnote>
  <w:footnote w:type="continuationSeparator" w:id="0">
    <w:p w:rsidR="007C6963" w:rsidRDefault="007C6963" w:rsidP="007C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24A65750"/>
    <w:lvl w:ilvl="0" w:tplc="32D46E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AD"/>
    <w:rsid w:val="00002A2D"/>
    <w:rsid w:val="000A5449"/>
    <w:rsid w:val="000B7EE9"/>
    <w:rsid w:val="000D5985"/>
    <w:rsid w:val="00103672"/>
    <w:rsid w:val="001D6C9B"/>
    <w:rsid w:val="00224CF9"/>
    <w:rsid w:val="002A6C2D"/>
    <w:rsid w:val="00465D6B"/>
    <w:rsid w:val="00581BC9"/>
    <w:rsid w:val="005A6C84"/>
    <w:rsid w:val="00626CBA"/>
    <w:rsid w:val="00631CD6"/>
    <w:rsid w:val="006C1000"/>
    <w:rsid w:val="007A1668"/>
    <w:rsid w:val="007C6963"/>
    <w:rsid w:val="00924EC8"/>
    <w:rsid w:val="00A2299D"/>
    <w:rsid w:val="00A825C9"/>
    <w:rsid w:val="00AC4FE5"/>
    <w:rsid w:val="00B27A65"/>
    <w:rsid w:val="00C11D95"/>
    <w:rsid w:val="00D343AD"/>
    <w:rsid w:val="00EC6BE9"/>
    <w:rsid w:val="00F9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343AD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D343AD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43AD"/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D343AD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343A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343A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44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C6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C6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6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343AD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D343AD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343AD"/>
    <w:rPr>
      <w:rFonts w:ascii="Arial" w:eastAsia="Times New Roman" w:hAnsi="Arial" w:cs="Times New Roman"/>
      <w:b/>
      <w:bCs/>
      <w:sz w:val="24"/>
      <w:szCs w:val="24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D343AD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343A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343A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5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449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C69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C6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6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0CED-FC8D-4091-8247-3B55971C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2019-02-07T17:15:00Z</cp:lastPrinted>
  <dcterms:created xsi:type="dcterms:W3CDTF">2019-02-07T17:16:00Z</dcterms:created>
  <dcterms:modified xsi:type="dcterms:W3CDTF">2019-02-07T17:16:00Z</dcterms:modified>
</cp:coreProperties>
</file>