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1" w:rsidRPr="00786EEB" w:rsidRDefault="009966C1" w:rsidP="009966C1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41</w:t>
      </w:r>
      <w:r>
        <w:rPr>
          <w:rFonts w:cs="Arial"/>
          <w:b/>
          <w:sz w:val="28"/>
          <w:szCs w:val="28"/>
          <w:lang w:val="es-ES_tradnl"/>
        </w:rPr>
        <w:t>6</w:t>
      </w:r>
      <w:r>
        <w:rPr>
          <w:rFonts w:cs="Arial"/>
          <w:b/>
          <w:sz w:val="28"/>
          <w:szCs w:val="28"/>
          <w:lang w:val="es-ES_tradnl"/>
        </w:rPr>
        <w:t>/19</w:t>
      </w:r>
    </w:p>
    <w:p w:rsidR="009966C1" w:rsidRDefault="009966C1" w:rsidP="009966C1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966C1" w:rsidRPr="004358CE" w:rsidRDefault="009966C1" w:rsidP="009966C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358CE">
        <w:rPr>
          <w:rFonts w:cs="Arial"/>
          <w:b/>
          <w:szCs w:val="24"/>
          <w:lang w:val="es-ES_tradnl"/>
        </w:rPr>
        <w:t>RESOLUCION ADOPTADA POR EL</w:t>
      </w:r>
    </w:p>
    <w:p w:rsidR="009966C1" w:rsidRPr="004358CE" w:rsidRDefault="009966C1" w:rsidP="009966C1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9966C1" w:rsidRPr="004358CE" w:rsidRDefault="009966C1" w:rsidP="009966C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358CE">
        <w:rPr>
          <w:rFonts w:cs="Arial"/>
          <w:b/>
          <w:szCs w:val="24"/>
          <w:lang w:val="es-ES_tradnl"/>
        </w:rPr>
        <w:t>TRIBUNAL DE CUENTAS</w:t>
      </w:r>
    </w:p>
    <w:p w:rsidR="009966C1" w:rsidRPr="004358CE" w:rsidRDefault="009966C1" w:rsidP="009966C1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9966C1" w:rsidRPr="004358CE" w:rsidRDefault="009966C1" w:rsidP="009966C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358CE">
        <w:rPr>
          <w:rFonts w:cs="Arial"/>
          <w:b/>
          <w:szCs w:val="24"/>
          <w:lang w:val="es-ES_tradnl"/>
        </w:rPr>
        <w:t>EN SESION DE FECHA 6 DE FEBRERO DE 2019</w:t>
      </w:r>
    </w:p>
    <w:p w:rsidR="009966C1" w:rsidRPr="004358CE" w:rsidRDefault="009966C1" w:rsidP="009966C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9966C1" w:rsidRDefault="009966C1" w:rsidP="009966C1">
      <w:pPr>
        <w:spacing w:line="360" w:lineRule="auto"/>
        <w:jc w:val="center"/>
        <w:rPr>
          <w:rFonts w:eastAsia="Arial Unicode MS"/>
        </w:rPr>
      </w:pPr>
      <w:r w:rsidRPr="004358CE">
        <w:rPr>
          <w:rFonts w:cs="Arial"/>
          <w:b/>
          <w:szCs w:val="24"/>
          <w:lang w:val="en-US"/>
        </w:rPr>
        <w:t xml:space="preserve">(E. E. Nº </w:t>
      </w:r>
      <w:r>
        <w:rPr>
          <w:rFonts w:cs="Arial"/>
          <w:b/>
          <w:szCs w:val="24"/>
        </w:rPr>
        <w:t>2019-17-1-0000512</w:t>
      </w:r>
      <w:r w:rsidRPr="004358CE">
        <w:rPr>
          <w:rFonts w:cs="Arial"/>
          <w:b/>
          <w:szCs w:val="24"/>
          <w:lang w:val="en-US"/>
        </w:rPr>
        <w:t xml:space="preserve">, </w:t>
      </w:r>
      <w:proofErr w:type="spellStart"/>
      <w:proofErr w:type="gramStart"/>
      <w:r w:rsidRPr="00A867B0">
        <w:rPr>
          <w:rFonts w:cs="Arial"/>
          <w:b/>
          <w:szCs w:val="24"/>
        </w:rPr>
        <w:t>Ent</w:t>
      </w:r>
      <w:bookmarkStart w:id="0" w:name="_GoBack"/>
      <w:bookmarkEnd w:id="0"/>
      <w:proofErr w:type="spellEnd"/>
      <w:proofErr w:type="gramEnd"/>
      <w:r>
        <w:rPr>
          <w:rFonts w:cs="Arial"/>
          <w:b/>
          <w:szCs w:val="24"/>
        </w:rPr>
        <w:t>. N° 396/19)</w:t>
      </w:r>
      <w:r>
        <w:rPr>
          <w:rFonts w:cs="Arial"/>
          <w:b/>
          <w:bCs/>
          <w:lang w:val="es-MX"/>
        </w:rPr>
        <w:t xml:space="preserve"> </w:t>
      </w:r>
    </w:p>
    <w:p w:rsidR="00294111" w:rsidRDefault="00294111" w:rsidP="00294111">
      <w:pPr>
        <w:rPr>
          <w:rFonts w:cs="Arial"/>
        </w:rPr>
      </w:pPr>
    </w:p>
    <w:p w:rsidR="00294111" w:rsidRDefault="00294111" w:rsidP="009966C1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</w:rPr>
        <w:t xml:space="preserve">VISTO: </w:t>
      </w:r>
      <w:r>
        <w:rPr>
          <w:rFonts w:cs="Arial"/>
          <w:lang w:val="es-MX"/>
        </w:rPr>
        <w:t xml:space="preserve">las actuaciones remitidas por la Intendencia de Maldonado, relacionadas con </w:t>
      </w:r>
      <w:r w:rsidR="00083C94">
        <w:rPr>
          <w:rFonts w:cs="Arial"/>
          <w:lang w:val="es-MX"/>
        </w:rPr>
        <w:t>la reiteración del</w:t>
      </w:r>
      <w:r>
        <w:rPr>
          <w:rFonts w:cs="Arial"/>
          <w:lang w:val="es-MX"/>
        </w:rPr>
        <w:t xml:space="preserve"> gasto emergente del Programa “Beca Estudiantil de Transporte” para el año 2018;</w:t>
      </w:r>
    </w:p>
    <w:p w:rsidR="00083C94" w:rsidRDefault="00294111" w:rsidP="009966C1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</w:t>
      </w:r>
      <w:r w:rsidR="00D22571">
        <w:rPr>
          <w:rFonts w:cs="Arial"/>
          <w:b/>
          <w:bCs/>
        </w:rPr>
        <w:t>ANDO: 1</w:t>
      </w:r>
      <w:r w:rsidR="00083C94" w:rsidRPr="009F45BC">
        <w:rPr>
          <w:rFonts w:cs="Arial"/>
          <w:b/>
        </w:rPr>
        <w:t>)</w:t>
      </w:r>
      <w:r w:rsidR="00083C94">
        <w:rPr>
          <w:rFonts w:cs="Arial"/>
        </w:rPr>
        <w:t xml:space="preserve"> que con el objetivo de amparar a más estudiantes, por Resolución Nº 02812/2018 de fecha 13.04.18, el Intendente </w:t>
      </w:r>
      <w:r w:rsidR="00E26207">
        <w:rPr>
          <w:rFonts w:cs="Arial"/>
        </w:rPr>
        <w:t xml:space="preserve">dispuso </w:t>
      </w:r>
      <w:r w:rsidR="00083C94">
        <w:rPr>
          <w:rFonts w:cs="Arial"/>
        </w:rPr>
        <w:t xml:space="preserve"> otorgar el boleto gratuito a: </w:t>
      </w:r>
      <w:r w:rsidR="00E26207">
        <w:rPr>
          <w:rFonts w:cs="Arial"/>
        </w:rPr>
        <w:t>1.1)</w:t>
      </w:r>
      <w:r w:rsidR="00083C94">
        <w:rPr>
          <w:rFonts w:cs="Arial"/>
        </w:rPr>
        <w:t xml:space="preserve"> los estudiantes de Institutos Públicos de hasta 21 años de edad que cursen Ciclo Básico y Segundo Ciclo (Bachillerato) de Enseñanza Secundaria y Técnica, incluidos en los listados remitidos por los Centros de Enseñanza</w:t>
      </w:r>
      <w:r w:rsidR="00E26207">
        <w:rPr>
          <w:rFonts w:cs="Arial"/>
        </w:rPr>
        <w:t>, así como a los e</w:t>
      </w:r>
      <w:r w:rsidR="00083C94">
        <w:rPr>
          <w:rFonts w:cs="Arial"/>
        </w:rPr>
        <w:t xml:space="preserve">studiantes mayores de 21 años de primer y segundo ciclo de enseñanza media incluidos en los listados remitidos por los Centros de Enseñanza, previa evaluación de pertinencia de la Unidad Coordinadora de Políticas Sociales, </w:t>
      </w:r>
      <w:r w:rsidR="00E26207">
        <w:rPr>
          <w:rFonts w:cs="Arial"/>
        </w:rPr>
        <w:t>1.2)</w:t>
      </w:r>
      <w:r w:rsidR="00083C94">
        <w:rPr>
          <w:rFonts w:cs="Arial"/>
        </w:rPr>
        <w:t xml:space="preserve"> </w:t>
      </w:r>
      <w:r w:rsidR="00E26207">
        <w:rPr>
          <w:rFonts w:cs="Arial"/>
        </w:rPr>
        <w:t xml:space="preserve">los </w:t>
      </w:r>
      <w:r w:rsidR="00083C94">
        <w:rPr>
          <w:rFonts w:cs="Arial"/>
        </w:rPr>
        <w:t xml:space="preserve">estudiantes de colegios privados hasta 21 años de edad, que cursen el Ciclo Básico y segundo ciclo (Bachillerato), que cuenten con una beca de estudios total (100%) en el Instituto de Enseñanza, lo que deberá ser acreditado mediante la presentación de documento oficial emitido por el mismo, </w:t>
      </w:r>
      <w:r w:rsidR="00E26207">
        <w:rPr>
          <w:rFonts w:cs="Arial"/>
        </w:rPr>
        <w:t>1.3)</w:t>
      </w:r>
      <w:r w:rsidR="00083C94">
        <w:rPr>
          <w:rFonts w:cs="Arial"/>
        </w:rPr>
        <w:t xml:space="preserve"> los estudiantes de tecnicaturas y terciarios de UTU, terciarios y/o universitarios de Instituciones Públicas con un mínimo de 3 años de </w:t>
      </w:r>
      <w:proofErr w:type="spellStart"/>
      <w:r w:rsidR="00083C94">
        <w:rPr>
          <w:rFonts w:cs="Arial"/>
        </w:rPr>
        <w:t>currícula</w:t>
      </w:r>
      <w:proofErr w:type="spellEnd"/>
      <w:r w:rsidR="00083C94">
        <w:rPr>
          <w:rFonts w:cs="Arial"/>
        </w:rPr>
        <w:t xml:space="preserve">, hasta los 35 años de edad, debiendo presentar constancia del Centro Educativo y previo informe técnico social, </w:t>
      </w:r>
      <w:r w:rsidR="007B0C69">
        <w:rPr>
          <w:rFonts w:cs="Arial"/>
        </w:rPr>
        <w:t xml:space="preserve">    </w:t>
      </w:r>
      <w:r w:rsidR="00E26207">
        <w:rPr>
          <w:rFonts w:cs="Arial"/>
        </w:rPr>
        <w:t xml:space="preserve">1.4) los </w:t>
      </w:r>
      <w:r w:rsidR="00083C94">
        <w:rPr>
          <w:rFonts w:cs="Arial"/>
        </w:rPr>
        <w:t xml:space="preserve"> estudiantes de cursos de capacitación de UTU, cuya duración mínima sea 4 meses, de hasta 35 años, debiendo presentar constancia del Centro Educativo y su posterior estudio por parte del equipo Técnico Social, </w:t>
      </w:r>
      <w:r w:rsidR="00E26207">
        <w:rPr>
          <w:rFonts w:cs="Arial"/>
        </w:rPr>
        <w:t xml:space="preserve">1.5) los </w:t>
      </w:r>
      <w:r w:rsidR="00083C94">
        <w:rPr>
          <w:rFonts w:cs="Arial"/>
        </w:rPr>
        <w:t xml:space="preserve"> estudiantes terciarios y/o universitarios de Instituciones Privadas con un mínimo de 3 años de </w:t>
      </w:r>
      <w:proofErr w:type="spellStart"/>
      <w:r w:rsidR="00083C94">
        <w:rPr>
          <w:rFonts w:cs="Arial"/>
        </w:rPr>
        <w:t>currícula</w:t>
      </w:r>
      <w:proofErr w:type="spellEnd"/>
      <w:r w:rsidR="00083C94">
        <w:rPr>
          <w:rFonts w:cs="Arial"/>
        </w:rPr>
        <w:t>, de hasta los 35 años de edad, que cuenten con una beca total (100%) de estudio en el Centro de estudio respectivo, lo que deberá ser acreditado mediante la presentación de documento oficial emitido por el mismo.</w:t>
      </w:r>
      <w:r w:rsidR="00E26207">
        <w:rPr>
          <w:rFonts w:cs="Arial"/>
        </w:rPr>
        <w:t xml:space="preserve">, 1.6) los </w:t>
      </w:r>
      <w:r w:rsidR="00083C94">
        <w:rPr>
          <w:rFonts w:cs="Arial"/>
        </w:rPr>
        <w:t xml:space="preserve"> estudiantes terciarios y/o universitarios de Instituciones </w:t>
      </w:r>
      <w:r w:rsidR="00083C94">
        <w:rPr>
          <w:rFonts w:cs="Arial"/>
        </w:rPr>
        <w:lastRenderedPageBreak/>
        <w:t xml:space="preserve">Públicas con un mínimo de 3 años de </w:t>
      </w:r>
      <w:proofErr w:type="spellStart"/>
      <w:r w:rsidR="00083C94">
        <w:rPr>
          <w:rFonts w:cs="Arial"/>
        </w:rPr>
        <w:t>currícula</w:t>
      </w:r>
      <w:proofErr w:type="spellEnd"/>
      <w:r w:rsidR="00083C94">
        <w:rPr>
          <w:rFonts w:cs="Arial"/>
        </w:rPr>
        <w:t xml:space="preserve">, de hasta los 35 años de edad, </w:t>
      </w:r>
      <w:r w:rsidR="00E26207">
        <w:rPr>
          <w:rFonts w:cs="Arial"/>
        </w:rPr>
        <w:t xml:space="preserve">1.7) los </w:t>
      </w:r>
      <w:r w:rsidR="00083C94">
        <w:rPr>
          <w:rFonts w:cs="Arial"/>
        </w:rPr>
        <w:t xml:space="preserve"> estudiantes de programas socio-educativos no formales;</w:t>
      </w:r>
    </w:p>
    <w:p w:rsidR="009966C1" w:rsidRDefault="00D22571" w:rsidP="009966C1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2</w:t>
      </w:r>
      <w:r w:rsidR="00083C94" w:rsidRPr="0046110E">
        <w:rPr>
          <w:rFonts w:cs="Arial"/>
          <w:b/>
        </w:rPr>
        <w:t>)</w:t>
      </w:r>
      <w:r w:rsidR="00083C94">
        <w:rPr>
          <w:rFonts w:cs="Arial"/>
        </w:rPr>
        <w:t xml:space="preserve"> que se </w:t>
      </w:r>
      <w:r w:rsidR="00E26207">
        <w:rPr>
          <w:rFonts w:cs="Arial"/>
        </w:rPr>
        <w:t>destinó</w:t>
      </w:r>
      <w:r w:rsidR="00083C94">
        <w:rPr>
          <w:rFonts w:cs="Arial"/>
        </w:rPr>
        <w:t xml:space="preserve"> el monto de hasta $ 45:000.000 para solventar el Programa de “Becas Estudiantiles de Transporte”, subsidio que se transferirá a las empresas de transporte público, departamental e interdepartamental, que se identifican en las actuaciones remitidas;</w:t>
      </w:r>
    </w:p>
    <w:p w:rsidR="009966C1" w:rsidRDefault="00D22571" w:rsidP="009966C1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3</w:t>
      </w:r>
      <w:r w:rsidR="00083C94" w:rsidRPr="00766847">
        <w:rPr>
          <w:rFonts w:cs="Arial"/>
          <w:b/>
        </w:rPr>
        <w:t>)</w:t>
      </w:r>
      <w:r w:rsidR="00083C94">
        <w:rPr>
          <w:rFonts w:cs="Arial"/>
        </w:rPr>
        <w:t xml:space="preserve"> que este Tribunal en </w:t>
      </w:r>
      <w:r w:rsidR="00E26207">
        <w:rPr>
          <w:rFonts w:cs="Arial"/>
        </w:rPr>
        <w:t xml:space="preserve">sesión </w:t>
      </w:r>
      <w:r w:rsidR="00083C94">
        <w:rPr>
          <w:rFonts w:cs="Arial"/>
        </w:rPr>
        <w:t>de fecha  27.06.18 acordó observar el gasto por contravenir</w:t>
      </w:r>
      <w:r w:rsidR="00E26207">
        <w:rPr>
          <w:rFonts w:cs="Arial"/>
        </w:rPr>
        <w:t>se</w:t>
      </w:r>
      <w:r w:rsidR="00083C94">
        <w:rPr>
          <w:rFonts w:cs="Arial"/>
        </w:rPr>
        <w:t xml:space="preserve"> lo dispuesto en el </w:t>
      </w:r>
      <w:r w:rsidR="00E26207">
        <w:rPr>
          <w:rFonts w:cs="Arial"/>
        </w:rPr>
        <w:t>a</w:t>
      </w:r>
      <w:r w:rsidR="00083C94">
        <w:rPr>
          <w:rFonts w:cs="Arial"/>
        </w:rPr>
        <w:t>rt. 15 del TOCAF;</w:t>
      </w:r>
    </w:p>
    <w:p w:rsidR="00083C94" w:rsidRPr="009966C1" w:rsidRDefault="00D22571" w:rsidP="009966C1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4</w:t>
      </w:r>
      <w:r w:rsidR="00083C94" w:rsidRPr="00083C94">
        <w:rPr>
          <w:rFonts w:cs="Arial"/>
          <w:b/>
        </w:rPr>
        <w:t>)</w:t>
      </w:r>
      <w:r w:rsidR="00083C94">
        <w:rPr>
          <w:rFonts w:cs="Arial"/>
          <w:b/>
        </w:rPr>
        <w:t xml:space="preserve"> </w:t>
      </w:r>
      <w:r w:rsidR="00083C94">
        <w:rPr>
          <w:rFonts w:cs="Arial"/>
        </w:rPr>
        <w:t>que por Resolución N° 6396/2018 de fecha  3.08.18, el Intendente reiteró el gasto</w:t>
      </w:r>
      <w:r w:rsidR="00E26207">
        <w:rPr>
          <w:rFonts w:cs="Arial"/>
        </w:rPr>
        <w:t xml:space="preserve">, señalando que es política de la Administración priorizar un sistema coherente y eficiente de política social implementando un marco regulatorio contribuyendo a garantizar la asistencia de los jóvenes al sistema educativo, estimándose necesario utilizar fondos propios para extender el beneficio a estudiantes no amparados en las edades limites </w:t>
      </w:r>
      <w:r w:rsidR="00EE0275">
        <w:rPr>
          <w:rFonts w:cs="Arial"/>
        </w:rPr>
        <w:t>(18</w:t>
      </w:r>
      <w:r w:rsidR="00E26207">
        <w:rPr>
          <w:rFonts w:cs="Arial"/>
        </w:rPr>
        <w:t xml:space="preserve"> y 20 años)</w:t>
      </w:r>
      <w:r>
        <w:rPr>
          <w:rFonts w:cs="Arial"/>
        </w:rPr>
        <w:t>;</w:t>
      </w:r>
    </w:p>
    <w:p w:rsidR="00287E88" w:rsidRPr="00F64562" w:rsidRDefault="00287E88" w:rsidP="009966C1">
      <w:pPr>
        <w:spacing w:line="360" w:lineRule="auto"/>
        <w:ind w:firstLine="851"/>
        <w:jc w:val="both"/>
        <w:rPr>
          <w:rFonts w:cs="Arial"/>
          <w:b/>
          <w:szCs w:val="24"/>
        </w:rPr>
      </w:pPr>
      <w:r w:rsidRPr="00F64562">
        <w:rPr>
          <w:rFonts w:cs="Arial"/>
          <w:b/>
          <w:szCs w:val="24"/>
          <w:lang w:val="es-MX"/>
        </w:rPr>
        <w:t xml:space="preserve">CONSIDERANDO: </w:t>
      </w:r>
      <w:r w:rsidRPr="00F64562">
        <w:rPr>
          <w:rFonts w:cs="Arial"/>
          <w:b/>
          <w:szCs w:val="24"/>
        </w:rPr>
        <w:t>1)</w:t>
      </w:r>
      <w:r w:rsidRPr="00F64562">
        <w:rPr>
          <w:rFonts w:cs="Arial"/>
          <w:szCs w:val="24"/>
        </w:rPr>
        <w:t xml:space="preserve"> que el artículo 475 de la Ley 17.296 establece que los Ordenadores de gastos y pagos, al ejercer la facultad de insistencia o reiteración que les acuerda el literal B) del </w:t>
      </w:r>
      <w:r w:rsidR="00EE0275">
        <w:rPr>
          <w:rFonts w:cs="Arial"/>
          <w:szCs w:val="24"/>
        </w:rPr>
        <w:t>a</w:t>
      </w:r>
      <w:r w:rsidRPr="00F64562">
        <w:rPr>
          <w:rFonts w:cs="Arial"/>
          <w:szCs w:val="24"/>
        </w:rPr>
        <w:t xml:space="preserve">rtículo 211 de la Constitución de la República, deben hacerlo en forma fundada, expresando de manera detallada los motivos que justifican a su juicio seguir el curso del gasto o pago; </w:t>
      </w:r>
      <w:r w:rsidRPr="00F64562">
        <w:rPr>
          <w:rFonts w:cs="Arial"/>
          <w:b/>
          <w:szCs w:val="24"/>
        </w:rPr>
        <w:t xml:space="preserve">   </w:t>
      </w:r>
    </w:p>
    <w:p w:rsidR="00287E88" w:rsidRPr="00F64562" w:rsidRDefault="00287E88" w:rsidP="009966C1">
      <w:pPr>
        <w:spacing w:line="360" w:lineRule="auto"/>
        <w:ind w:firstLine="2977"/>
        <w:jc w:val="both"/>
        <w:rPr>
          <w:rFonts w:cs="Arial"/>
          <w:szCs w:val="24"/>
        </w:rPr>
      </w:pPr>
      <w:r w:rsidRPr="00F64562">
        <w:rPr>
          <w:rFonts w:cs="Arial"/>
          <w:b/>
          <w:szCs w:val="24"/>
        </w:rPr>
        <w:t>2)</w:t>
      </w:r>
      <w:r w:rsidRPr="00F64562">
        <w:rPr>
          <w:rFonts w:cs="Arial"/>
          <w:szCs w:val="24"/>
        </w:rPr>
        <w:t xml:space="preserve"> que se mantienen incambiadas las circunstancias de orden legal que ameritaron la observación del gasto por parte de éste Tribunal; </w:t>
      </w:r>
    </w:p>
    <w:p w:rsidR="00287E88" w:rsidRPr="00F64562" w:rsidRDefault="00287E88" w:rsidP="007B0C69">
      <w:pPr>
        <w:spacing w:line="360" w:lineRule="auto"/>
        <w:ind w:firstLine="851"/>
        <w:jc w:val="both"/>
        <w:rPr>
          <w:rFonts w:cs="Arial"/>
          <w:szCs w:val="24"/>
        </w:rPr>
      </w:pPr>
      <w:r w:rsidRPr="00F64562">
        <w:rPr>
          <w:rFonts w:cs="Arial"/>
          <w:b/>
          <w:szCs w:val="24"/>
        </w:rPr>
        <w:t>ATENTO:</w:t>
      </w:r>
      <w:r w:rsidRPr="00F64562">
        <w:rPr>
          <w:rFonts w:cs="Arial"/>
          <w:szCs w:val="24"/>
        </w:rPr>
        <w:t xml:space="preserve"> a lo precedentemente expuesto y a lo establecido en el </w:t>
      </w:r>
      <w:r>
        <w:rPr>
          <w:rFonts w:cs="Arial"/>
          <w:szCs w:val="24"/>
        </w:rPr>
        <w:t>a</w:t>
      </w:r>
      <w:r w:rsidRPr="00F64562">
        <w:rPr>
          <w:rFonts w:cs="Arial"/>
          <w:szCs w:val="24"/>
        </w:rPr>
        <w:t xml:space="preserve">rtículo 211 </w:t>
      </w:r>
      <w:r>
        <w:rPr>
          <w:rFonts w:cs="Arial"/>
          <w:szCs w:val="24"/>
        </w:rPr>
        <w:t>l</w:t>
      </w:r>
      <w:r w:rsidRPr="00F64562">
        <w:rPr>
          <w:rFonts w:cs="Arial"/>
          <w:szCs w:val="24"/>
        </w:rPr>
        <w:t>iteral B) de la Constitución de la República;</w:t>
      </w:r>
    </w:p>
    <w:p w:rsidR="00287E88" w:rsidRDefault="00287E88" w:rsidP="007B0C69">
      <w:pPr>
        <w:spacing w:line="360" w:lineRule="auto"/>
        <w:jc w:val="center"/>
        <w:rPr>
          <w:rFonts w:cs="Arial"/>
          <w:szCs w:val="24"/>
        </w:rPr>
      </w:pPr>
      <w:r w:rsidRPr="00F64562">
        <w:rPr>
          <w:rFonts w:cs="Arial"/>
          <w:b/>
          <w:szCs w:val="24"/>
        </w:rPr>
        <w:t>EL TRIBUNAL ACUERDA</w:t>
      </w:r>
    </w:p>
    <w:p w:rsidR="00287E88" w:rsidRPr="00F64562" w:rsidRDefault="00287E88" w:rsidP="00287E88">
      <w:pPr>
        <w:spacing w:line="360" w:lineRule="auto"/>
        <w:jc w:val="both"/>
        <w:rPr>
          <w:rFonts w:cs="Arial"/>
          <w:szCs w:val="24"/>
        </w:rPr>
      </w:pPr>
      <w:r w:rsidRPr="009966C1">
        <w:rPr>
          <w:rFonts w:cs="Arial"/>
          <w:b/>
          <w:szCs w:val="24"/>
        </w:rPr>
        <w:t>1)</w:t>
      </w:r>
      <w:r w:rsidRPr="00F64562">
        <w:rPr>
          <w:rFonts w:cs="Arial"/>
          <w:szCs w:val="24"/>
        </w:rPr>
        <w:t xml:space="preserve"> </w:t>
      </w:r>
      <w:r w:rsidRPr="00F64562">
        <w:rPr>
          <w:rFonts w:cs="Arial"/>
          <w:bCs/>
          <w:szCs w:val="24"/>
        </w:rPr>
        <w:t>Mantener la observación del gasto de fecha</w:t>
      </w:r>
      <w:r>
        <w:rPr>
          <w:rFonts w:cs="Arial"/>
          <w:szCs w:val="24"/>
        </w:rPr>
        <w:t xml:space="preserve"> 27.06.18;</w:t>
      </w:r>
    </w:p>
    <w:p w:rsidR="00287E88" w:rsidRPr="00F64562" w:rsidRDefault="00287E88" w:rsidP="00287E88">
      <w:pPr>
        <w:spacing w:line="360" w:lineRule="auto"/>
        <w:jc w:val="both"/>
        <w:rPr>
          <w:rFonts w:cs="Arial"/>
          <w:szCs w:val="24"/>
        </w:rPr>
      </w:pPr>
      <w:r w:rsidRPr="009966C1">
        <w:rPr>
          <w:rFonts w:cs="Arial"/>
          <w:b/>
          <w:szCs w:val="24"/>
        </w:rPr>
        <w:t>2)</w:t>
      </w:r>
      <w:r w:rsidRPr="00F64562">
        <w:rPr>
          <w:rFonts w:cs="Arial"/>
          <w:szCs w:val="24"/>
        </w:rPr>
        <w:t xml:space="preserve"> Dar cuenta a la Jun</w:t>
      </w:r>
      <w:r>
        <w:rPr>
          <w:rFonts w:cs="Arial"/>
          <w:szCs w:val="24"/>
        </w:rPr>
        <w:t>ta Departamental de Maldonado</w:t>
      </w:r>
      <w:r w:rsidRPr="00F64562">
        <w:rPr>
          <w:rFonts w:cs="Arial"/>
          <w:szCs w:val="24"/>
        </w:rPr>
        <w:t>;</w:t>
      </w:r>
    </w:p>
    <w:p w:rsidR="00287E88" w:rsidRPr="00F64562" w:rsidRDefault="00287E88" w:rsidP="00287E88">
      <w:pPr>
        <w:pStyle w:val="Textoindependiente"/>
        <w:rPr>
          <w:b w:val="0"/>
          <w:szCs w:val="24"/>
        </w:rPr>
      </w:pPr>
      <w:r w:rsidRPr="009966C1">
        <w:rPr>
          <w:szCs w:val="24"/>
        </w:rPr>
        <w:t>3)</w:t>
      </w:r>
      <w:r w:rsidRPr="00F64562">
        <w:rPr>
          <w:b w:val="0"/>
          <w:szCs w:val="24"/>
        </w:rPr>
        <w:t xml:space="preserve"> Comunicar a la Contadora Delegada;</w:t>
      </w:r>
    </w:p>
    <w:p w:rsidR="00287E88" w:rsidRDefault="00287E88" w:rsidP="00287E88">
      <w:pPr>
        <w:pStyle w:val="Textoindependiente"/>
        <w:rPr>
          <w:b w:val="0"/>
          <w:szCs w:val="24"/>
        </w:rPr>
      </w:pPr>
      <w:r w:rsidRPr="009966C1">
        <w:rPr>
          <w:szCs w:val="24"/>
        </w:rPr>
        <w:t>4)</w:t>
      </w:r>
      <w:r>
        <w:rPr>
          <w:b w:val="0"/>
          <w:szCs w:val="24"/>
        </w:rPr>
        <w:t xml:space="preserve"> Devolver las actuaciones.</w:t>
      </w:r>
    </w:p>
    <w:p w:rsidR="00287E88" w:rsidRPr="009966C1" w:rsidRDefault="007B0C69" w:rsidP="00287E88">
      <w:pPr>
        <w:pStyle w:val="Textoindependiente"/>
        <w:rPr>
          <w:b w:val="0"/>
          <w:bCs/>
          <w:sz w:val="20"/>
        </w:rPr>
      </w:pPr>
      <w:r>
        <w:rPr>
          <w:b w:val="0"/>
          <w:bCs/>
          <w:sz w:val="20"/>
        </w:rPr>
        <w:t>CLC</w:t>
      </w:r>
    </w:p>
    <w:sectPr w:rsidR="00287E88" w:rsidRPr="009966C1" w:rsidSect="00E631E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11"/>
    <w:rsid w:val="00083C94"/>
    <w:rsid w:val="0020650F"/>
    <w:rsid w:val="00287E88"/>
    <w:rsid w:val="00294111"/>
    <w:rsid w:val="004779D1"/>
    <w:rsid w:val="00631965"/>
    <w:rsid w:val="006F7323"/>
    <w:rsid w:val="007B0C69"/>
    <w:rsid w:val="009966C1"/>
    <w:rsid w:val="00D22571"/>
    <w:rsid w:val="00E26207"/>
    <w:rsid w:val="00E631EF"/>
    <w:rsid w:val="00E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1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94111"/>
    <w:pPr>
      <w:keepNext/>
      <w:spacing w:line="360" w:lineRule="auto"/>
      <w:jc w:val="center"/>
      <w:outlineLvl w:val="0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4111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287E88"/>
    <w:pPr>
      <w:spacing w:line="360" w:lineRule="auto"/>
      <w:jc w:val="both"/>
    </w:pPr>
    <w:rPr>
      <w:rFonts w:cs="Arial"/>
      <w:b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87E88"/>
    <w:rPr>
      <w:rFonts w:ascii="Arial" w:eastAsia="Times New Roman" w:hAnsi="Arial" w:cs="Arial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1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E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1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94111"/>
    <w:pPr>
      <w:keepNext/>
      <w:spacing w:line="360" w:lineRule="auto"/>
      <w:jc w:val="center"/>
      <w:outlineLvl w:val="0"/>
    </w:pPr>
    <w:rPr>
      <w:rFonts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4111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287E88"/>
    <w:pPr>
      <w:spacing w:line="360" w:lineRule="auto"/>
      <w:jc w:val="both"/>
    </w:pPr>
    <w:rPr>
      <w:rFonts w:cs="Arial"/>
      <w:b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87E88"/>
    <w:rPr>
      <w:rFonts w:ascii="Arial" w:eastAsia="Times New Roman" w:hAnsi="Arial" w:cs="Arial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1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E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2019-02-11T17:43:00Z</cp:lastPrinted>
  <dcterms:created xsi:type="dcterms:W3CDTF">2019-02-11T17:32:00Z</dcterms:created>
  <dcterms:modified xsi:type="dcterms:W3CDTF">2019-02-11T17:43:00Z</dcterms:modified>
</cp:coreProperties>
</file>