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B65" w:rsidRPr="00431B65" w:rsidRDefault="00431B65" w:rsidP="00431B65">
      <w:pPr>
        <w:tabs>
          <w:tab w:val="center" w:pos="4253"/>
        </w:tabs>
        <w:suppressAutoHyphens/>
        <w:spacing w:after="0" w:line="240" w:lineRule="auto"/>
        <w:jc w:val="right"/>
        <w:rPr>
          <w:rFonts w:ascii="Arial" w:eastAsia="Times New Roman" w:hAnsi="Arial" w:cs="Arial"/>
          <w:b/>
          <w:color w:val="000000"/>
          <w:sz w:val="28"/>
          <w:szCs w:val="28"/>
          <w:lang w:val="es-ES_tradnl" w:eastAsia="es-ES"/>
        </w:rPr>
      </w:pPr>
      <w:r w:rsidRPr="00431B65">
        <w:rPr>
          <w:rFonts w:ascii="Arial" w:eastAsia="Times New Roman" w:hAnsi="Arial" w:cs="Arial"/>
          <w:b/>
          <w:color w:val="000000"/>
          <w:sz w:val="28"/>
          <w:szCs w:val="28"/>
          <w:lang w:val="es-ES_tradnl" w:eastAsia="es-ES"/>
        </w:rPr>
        <w:t xml:space="preserve">RES. </w:t>
      </w:r>
      <w:r w:rsidR="0042113A">
        <w:rPr>
          <w:rFonts w:ascii="Arial" w:eastAsia="Times New Roman" w:hAnsi="Arial" w:cs="Arial"/>
          <w:b/>
          <w:color w:val="000000"/>
          <w:sz w:val="28"/>
          <w:szCs w:val="28"/>
          <w:lang w:val="es-ES_tradnl" w:eastAsia="es-ES"/>
        </w:rPr>
        <w:t>372</w:t>
      </w:r>
      <w:r w:rsidRPr="00431B65">
        <w:rPr>
          <w:rFonts w:ascii="Arial" w:eastAsia="Times New Roman" w:hAnsi="Arial" w:cs="Arial"/>
          <w:b/>
          <w:color w:val="000000"/>
          <w:sz w:val="28"/>
          <w:szCs w:val="28"/>
          <w:lang w:val="es-ES_tradnl" w:eastAsia="es-ES"/>
        </w:rPr>
        <w:t>/19</w:t>
      </w:r>
    </w:p>
    <w:p w:rsidR="00431B65" w:rsidRPr="00431B65" w:rsidRDefault="00431B65" w:rsidP="00431B65">
      <w:pPr>
        <w:tabs>
          <w:tab w:val="center" w:pos="4253"/>
        </w:tabs>
        <w:suppressAutoHyphens/>
        <w:spacing w:after="0" w:line="240" w:lineRule="auto"/>
        <w:jc w:val="center"/>
        <w:rPr>
          <w:rFonts w:ascii="Arial" w:eastAsia="Times New Roman" w:hAnsi="Arial" w:cs="Arial"/>
          <w:b/>
          <w:color w:val="000000"/>
          <w:sz w:val="24"/>
          <w:szCs w:val="24"/>
          <w:lang w:val="es-ES_tradnl" w:eastAsia="es-ES"/>
        </w:rPr>
      </w:pPr>
    </w:p>
    <w:p w:rsidR="00431B65" w:rsidRPr="00431B65" w:rsidRDefault="00431B65" w:rsidP="00431B65">
      <w:pPr>
        <w:tabs>
          <w:tab w:val="center" w:pos="4253"/>
        </w:tabs>
        <w:suppressAutoHyphens/>
        <w:spacing w:after="0" w:line="240" w:lineRule="auto"/>
        <w:jc w:val="center"/>
        <w:rPr>
          <w:rFonts w:ascii="Arial" w:eastAsia="Times New Roman" w:hAnsi="Arial" w:cs="Arial"/>
          <w:b/>
          <w:color w:val="000000"/>
          <w:sz w:val="24"/>
          <w:szCs w:val="24"/>
          <w:lang w:val="es-ES_tradnl" w:eastAsia="es-ES"/>
        </w:rPr>
      </w:pPr>
      <w:r w:rsidRPr="00431B65">
        <w:rPr>
          <w:rFonts w:ascii="Arial" w:eastAsia="Times New Roman" w:hAnsi="Arial" w:cs="Arial"/>
          <w:b/>
          <w:color w:val="000000"/>
          <w:sz w:val="24"/>
          <w:szCs w:val="24"/>
          <w:lang w:val="es-ES_tradnl" w:eastAsia="es-ES"/>
        </w:rPr>
        <w:t>RESOLUCION ADOPTADA POR EL</w:t>
      </w:r>
    </w:p>
    <w:p w:rsidR="00431B65" w:rsidRPr="00431B65" w:rsidRDefault="00431B65" w:rsidP="00431B65">
      <w:pPr>
        <w:tabs>
          <w:tab w:val="left" w:pos="-720"/>
        </w:tabs>
        <w:suppressAutoHyphens/>
        <w:spacing w:after="0" w:line="240" w:lineRule="auto"/>
        <w:jc w:val="center"/>
        <w:rPr>
          <w:rFonts w:ascii="Arial" w:eastAsia="Times New Roman" w:hAnsi="Arial" w:cs="Arial"/>
          <w:b/>
          <w:color w:val="000000"/>
          <w:sz w:val="24"/>
          <w:szCs w:val="24"/>
          <w:lang w:val="es-ES_tradnl" w:eastAsia="es-ES"/>
        </w:rPr>
      </w:pPr>
    </w:p>
    <w:p w:rsidR="00431B65" w:rsidRPr="00431B65" w:rsidRDefault="00431B65" w:rsidP="00431B65">
      <w:pPr>
        <w:tabs>
          <w:tab w:val="center" w:pos="4253"/>
        </w:tabs>
        <w:suppressAutoHyphens/>
        <w:spacing w:after="0" w:line="240" w:lineRule="auto"/>
        <w:jc w:val="center"/>
        <w:rPr>
          <w:rFonts w:ascii="Arial" w:eastAsia="Times New Roman" w:hAnsi="Arial" w:cs="Arial"/>
          <w:b/>
          <w:color w:val="000000"/>
          <w:sz w:val="24"/>
          <w:szCs w:val="24"/>
          <w:lang w:val="es-ES_tradnl" w:eastAsia="es-ES"/>
        </w:rPr>
      </w:pPr>
      <w:r w:rsidRPr="00431B65">
        <w:rPr>
          <w:rFonts w:ascii="Arial" w:eastAsia="Times New Roman" w:hAnsi="Arial" w:cs="Arial"/>
          <w:b/>
          <w:color w:val="000000"/>
          <w:sz w:val="24"/>
          <w:szCs w:val="24"/>
          <w:lang w:val="es-ES_tradnl" w:eastAsia="es-ES"/>
        </w:rPr>
        <w:t>TRIBUNAL DE CUENTAS</w:t>
      </w:r>
    </w:p>
    <w:p w:rsidR="00431B65" w:rsidRPr="00431B65" w:rsidRDefault="00431B65" w:rsidP="00431B65">
      <w:pPr>
        <w:tabs>
          <w:tab w:val="left" w:pos="-720"/>
        </w:tabs>
        <w:suppressAutoHyphens/>
        <w:spacing w:after="0" w:line="240" w:lineRule="auto"/>
        <w:jc w:val="center"/>
        <w:rPr>
          <w:rFonts w:ascii="Arial" w:eastAsia="Times New Roman" w:hAnsi="Arial" w:cs="Arial"/>
          <w:b/>
          <w:color w:val="000000"/>
          <w:sz w:val="24"/>
          <w:szCs w:val="24"/>
          <w:lang w:val="es-ES_tradnl" w:eastAsia="es-ES"/>
        </w:rPr>
      </w:pPr>
    </w:p>
    <w:p w:rsidR="00431B65" w:rsidRPr="00431B65" w:rsidRDefault="00431B65" w:rsidP="00431B65">
      <w:pPr>
        <w:tabs>
          <w:tab w:val="center" w:pos="4253"/>
        </w:tabs>
        <w:suppressAutoHyphens/>
        <w:spacing w:after="0" w:line="240" w:lineRule="auto"/>
        <w:jc w:val="center"/>
        <w:rPr>
          <w:rFonts w:ascii="Arial" w:eastAsia="Times New Roman" w:hAnsi="Arial" w:cs="Arial"/>
          <w:b/>
          <w:color w:val="000000"/>
          <w:sz w:val="24"/>
          <w:szCs w:val="24"/>
          <w:lang w:val="es-ES_tradnl" w:eastAsia="es-ES"/>
        </w:rPr>
      </w:pPr>
      <w:r w:rsidRPr="00431B65">
        <w:rPr>
          <w:rFonts w:ascii="Arial" w:eastAsia="Times New Roman" w:hAnsi="Arial" w:cs="Arial"/>
          <w:b/>
          <w:color w:val="000000"/>
          <w:sz w:val="24"/>
          <w:szCs w:val="24"/>
          <w:lang w:val="es-ES_tradnl" w:eastAsia="es-ES"/>
        </w:rPr>
        <w:t>EN SESION DE FECHA 6 DE FEBRERO DE 2019</w:t>
      </w:r>
    </w:p>
    <w:p w:rsidR="00431B65" w:rsidRPr="00431B65" w:rsidRDefault="00431B65" w:rsidP="00431B65">
      <w:pPr>
        <w:tabs>
          <w:tab w:val="center" w:pos="4253"/>
        </w:tabs>
        <w:suppressAutoHyphens/>
        <w:spacing w:after="0" w:line="240" w:lineRule="auto"/>
        <w:jc w:val="center"/>
        <w:rPr>
          <w:rFonts w:ascii="Arial" w:eastAsia="Times New Roman" w:hAnsi="Arial" w:cs="Arial"/>
          <w:b/>
          <w:color w:val="000000"/>
          <w:sz w:val="24"/>
          <w:szCs w:val="24"/>
          <w:lang w:val="es-ES_tradnl" w:eastAsia="es-ES"/>
        </w:rPr>
      </w:pPr>
    </w:p>
    <w:p w:rsidR="00431B65" w:rsidRPr="00431B65" w:rsidRDefault="00431B65" w:rsidP="00431B65">
      <w:pPr>
        <w:tabs>
          <w:tab w:val="center" w:pos="4253"/>
        </w:tabs>
        <w:suppressAutoHyphens/>
        <w:spacing w:after="0" w:line="240" w:lineRule="auto"/>
        <w:jc w:val="center"/>
        <w:rPr>
          <w:rFonts w:ascii="Arial" w:eastAsia="Times New Roman" w:hAnsi="Arial" w:cs="Arial"/>
          <w:b/>
          <w:color w:val="000000"/>
          <w:sz w:val="24"/>
          <w:szCs w:val="24"/>
          <w:lang w:val="es-ES" w:eastAsia="es-ES"/>
        </w:rPr>
      </w:pPr>
      <w:r w:rsidRPr="00431B65">
        <w:rPr>
          <w:rFonts w:ascii="Arial" w:eastAsia="Times New Roman" w:hAnsi="Arial" w:cs="Arial"/>
          <w:b/>
          <w:color w:val="000000"/>
          <w:sz w:val="24"/>
          <w:szCs w:val="24"/>
          <w:lang w:val="es-ES" w:eastAsia="es-ES"/>
        </w:rPr>
        <w:t>(E. E. Nº 201</w:t>
      </w:r>
      <w:r w:rsidR="0042113A">
        <w:rPr>
          <w:rFonts w:ascii="Arial" w:eastAsia="Times New Roman" w:hAnsi="Arial" w:cs="Arial"/>
          <w:b/>
          <w:color w:val="000000"/>
          <w:sz w:val="24"/>
          <w:szCs w:val="24"/>
          <w:lang w:val="es-ES" w:eastAsia="es-ES"/>
        </w:rPr>
        <w:t>9</w:t>
      </w:r>
      <w:r w:rsidRPr="00431B65">
        <w:rPr>
          <w:rFonts w:ascii="Arial" w:eastAsia="Times New Roman" w:hAnsi="Arial" w:cs="Arial"/>
          <w:b/>
          <w:color w:val="000000"/>
          <w:sz w:val="24"/>
          <w:szCs w:val="24"/>
          <w:lang w:val="es-ES" w:eastAsia="es-ES"/>
        </w:rPr>
        <w:t>-17-1-000</w:t>
      </w:r>
      <w:r w:rsidR="0042113A">
        <w:rPr>
          <w:rFonts w:ascii="Arial" w:eastAsia="Times New Roman" w:hAnsi="Arial" w:cs="Arial"/>
          <w:b/>
          <w:color w:val="000000"/>
          <w:sz w:val="24"/>
          <w:szCs w:val="24"/>
          <w:lang w:val="es-ES" w:eastAsia="es-ES"/>
        </w:rPr>
        <w:t>0285</w:t>
      </w:r>
      <w:r w:rsidRPr="00431B65">
        <w:rPr>
          <w:rFonts w:ascii="Arial" w:eastAsia="Times New Roman" w:hAnsi="Arial" w:cs="Arial"/>
          <w:b/>
          <w:color w:val="000000"/>
          <w:sz w:val="24"/>
          <w:szCs w:val="24"/>
          <w:lang w:val="es-ES" w:eastAsia="es-ES"/>
        </w:rPr>
        <w:t xml:space="preserve">, </w:t>
      </w:r>
      <w:proofErr w:type="spellStart"/>
      <w:r w:rsidRPr="00431B65">
        <w:rPr>
          <w:rFonts w:ascii="Arial" w:eastAsia="Times New Roman" w:hAnsi="Arial" w:cs="Arial"/>
          <w:b/>
          <w:color w:val="000000"/>
          <w:sz w:val="24"/>
          <w:szCs w:val="24"/>
          <w:lang w:val="es-ES" w:eastAsia="es-ES"/>
        </w:rPr>
        <w:t>Ent</w:t>
      </w:r>
      <w:proofErr w:type="spellEnd"/>
      <w:r w:rsidRPr="00431B65">
        <w:rPr>
          <w:rFonts w:ascii="Arial" w:eastAsia="Times New Roman" w:hAnsi="Arial" w:cs="Arial"/>
          <w:b/>
          <w:color w:val="000000"/>
          <w:sz w:val="24"/>
          <w:szCs w:val="24"/>
          <w:lang w:val="es-ES" w:eastAsia="es-ES"/>
        </w:rPr>
        <w:t xml:space="preserve">. N° </w:t>
      </w:r>
      <w:r w:rsidR="0042113A">
        <w:rPr>
          <w:rFonts w:ascii="Arial" w:eastAsia="Times New Roman" w:hAnsi="Arial" w:cs="Arial"/>
          <w:b/>
          <w:color w:val="000000"/>
          <w:sz w:val="24"/>
          <w:szCs w:val="24"/>
          <w:lang w:val="es-ES" w:eastAsia="es-ES"/>
        </w:rPr>
        <w:t>191</w:t>
      </w:r>
      <w:r w:rsidRPr="00431B65">
        <w:rPr>
          <w:rFonts w:ascii="Arial" w:eastAsia="Times New Roman" w:hAnsi="Arial" w:cs="Arial"/>
          <w:b/>
          <w:color w:val="000000"/>
          <w:sz w:val="24"/>
          <w:szCs w:val="24"/>
          <w:lang w:val="es-ES" w:eastAsia="es-ES"/>
        </w:rPr>
        <w:t>/</w:t>
      </w:r>
      <w:r w:rsidR="0042113A">
        <w:rPr>
          <w:rFonts w:ascii="Arial" w:eastAsia="Times New Roman" w:hAnsi="Arial" w:cs="Arial"/>
          <w:b/>
          <w:color w:val="000000"/>
          <w:sz w:val="24"/>
          <w:szCs w:val="24"/>
          <w:lang w:val="es-ES" w:eastAsia="es-ES"/>
        </w:rPr>
        <w:t>19</w:t>
      </w:r>
      <w:r w:rsidRPr="00431B65">
        <w:rPr>
          <w:rFonts w:ascii="Arial" w:eastAsia="Times New Roman" w:hAnsi="Arial" w:cs="Arial"/>
          <w:b/>
          <w:color w:val="000000"/>
          <w:sz w:val="24"/>
          <w:szCs w:val="24"/>
          <w:lang w:val="es-ES" w:eastAsia="es-ES"/>
        </w:rPr>
        <w:t>)</w:t>
      </w:r>
    </w:p>
    <w:p w:rsidR="00431B65" w:rsidRPr="00431B65" w:rsidRDefault="00431B65" w:rsidP="00431B65">
      <w:pPr>
        <w:spacing w:after="0" w:line="360" w:lineRule="auto"/>
        <w:rPr>
          <w:rFonts w:ascii="Arial" w:eastAsia="Times New Roman" w:hAnsi="Arial" w:cs="Times New Roman"/>
          <w:bCs/>
          <w:sz w:val="24"/>
          <w:szCs w:val="24"/>
          <w:lang w:eastAsia="es-ES"/>
        </w:rPr>
      </w:pPr>
    </w:p>
    <w:p w:rsidR="00E57E5F" w:rsidRDefault="00AD7421" w:rsidP="00E57E5F">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actuaciones remitidas por el Banco de la República Oriental del Uruguay relacionadas c</w:t>
      </w:r>
      <w:r w:rsidR="00D8265E">
        <w:rPr>
          <w:rFonts w:ascii="Arial" w:hAnsi="Arial" w:cs="Arial"/>
          <w:sz w:val="24"/>
          <w:szCs w:val="24"/>
        </w:rPr>
        <w:t>on la Licitación Pública N° 2016</w:t>
      </w:r>
      <w:r>
        <w:rPr>
          <w:rFonts w:ascii="Arial" w:hAnsi="Arial" w:cs="Arial"/>
          <w:sz w:val="24"/>
          <w:szCs w:val="24"/>
        </w:rPr>
        <w:t>/51/</w:t>
      </w:r>
      <w:r w:rsidR="00D8265E">
        <w:rPr>
          <w:rFonts w:ascii="Arial" w:hAnsi="Arial" w:cs="Arial"/>
          <w:sz w:val="24"/>
          <w:szCs w:val="24"/>
        </w:rPr>
        <w:t xml:space="preserve">9029, para el suministro y entrega de libretas de cheques, libretas de letras de cambio y cheques continuos personalizados y </w:t>
      </w:r>
      <w:proofErr w:type="spellStart"/>
      <w:r w:rsidR="00D8265E">
        <w:rPr>
          <w:rFonts w:ascii="Arial" w:hAnsi="Arial" w:cs="Arial"/>
          <w:sz w:val="24"/>
          <w:szCs w:val="24"/>
        </w:rPr>
        <w:t>sucursalizados</w:t>
      </w:r>
      <w:proofErr w:type="spellEnd"/>
      <w:r w:rsidR="00D8265E">
        <w:rPr>
          <w:rFonts w:ascii="Arial" w:hAnsi="Arial" w:cs="Arial"/>
          <w:sz w:val="24"/>
          <w:szCs w:val="24"/>
        </w:rPr>
        <w:t>;</w:t>
      </w:r>
    </w:p>
    <w:p w:rsidR="00AD7421" w:rsidRDefault="00AD7421" w:rsidP="00E57E5F">
      <w:pPr>
        <w:spacing w:after="0" w:line="360" w:lineRule="auto"/>
        <w:ind w:firstLine="851"/>
        <w:jc w:val="both"/>
        <w:rPr>
          <w:rFonts w:ascii="Arial" w:hAnsi="Arial" w:cs="Arial"/>
          <w:sz w:val="24"/>
          <w:szCs w:val="24"/>
        </w:rPr>
      </w:pPr>
      <w:r w:rsidRPr="00AD7421">
        <w:rPr>
          <w:rFonts w:ascii="Arial" w:hAnsi="Arial" w:cs="Arial"/>
          <w:b/>
          <w:sz w:val="24"/>
          <w:szCs w:val="24"/>
        </w:rPr>
        <w:t xml:space="preserve">RESULTANDO: </w:t>
      </w:r>
      <w:r w:rsidR="008E7FAB">
        <w:rPr>
          <w:rFonts w:ascii="Arial" w:hAnsi="Arial" w:cs="Arial"/>
          <w:b/>
          <w:sz w:val="24"/>
          <w:szCs w:val="24"/>
        </w:rPr>
        <w:t xml:space="preserve"> </w:t>
      </w:r>
      <w:r w:rsidRPr="00AD7421">
        <w:rPr>
          <w:rFonts w:ascii="Arial" w:hAnsi="Arial" w:cs="Arial"/>
          <w:b/>
          <w:sz w:val="24"/>
          <w:szCs w:val="24"/>
        </w:rPr>
        <w:t xml:space="preserve">1) </w:t>
      </w:r>
      <w:r>
        <w:rPr>
          <w:rFonts w:ascii="Arial" w:hAnsi="Arial" w:cs="Arial"/>
          <w:sz w:val="24"/>
          <w:szCs w:val="24"/>
        </w:rPr>
        <w:t xml:space="preserve">que </w:t>
      </w:r>
      <w:r w:rsidR="00CE3519">
        <w:rPr>
          <w:rFonts w:ascii="Arial" w:hAnsi="Arial" w:cs="Arial"/>
          <w:sz w:val="24"/>
          <w:szCs w:val="24"/>
        </w:rPr>
        <w:t>habiéndose</w:t>
      </w:r>
      <w:r>
        <w:rPr>
          <w:rFonts w:ascii="Arial" w:hAnsi="Arial" w:cs="Arial"/>
          <w:sz w:val="24"/>
          <w:szCs w:val="24"/>
        </w:rPr>
        <w:t xml:space="preserve"> convocado a </w:t>
      </w:r>
      <w:r w:rsidR="00CE3519">
        <w:rPr>
          <w:rFonts w:ascii="Arial" w:hAnsi="Arial" w:cs="Arial"/>
          <w:sz w:val="24"/>
          <w:szCs w:val="24"/>
        </w:rPr>
        <w:t>manifestación</w:t>
      </w:r>
      <w:r>
        <w:rPr>
          <w:rFonts w:ascii="Arial" w:hAnsi="Arial" w:cs="Arial"/>
          <w:sz w:val="24"/>
          <w:szCs w:val="24"/>
        </w:rPr>
        <w:t xml:space="preserve"> de expresiones de interés</w:t>
      </w:r>
      <w:r w:rsidR="00BE6F77">
        <w:rPr>
          <w:rFonts w:ascii="Arial" w:hAnsi="Arial" w:cs="Arial"/>
          <w:sz w:val="24"/>
          <w:szCs w:val="24"/>
        </w:rPr>
        <w:t xml:space="preserve"> mediante Resolución de fecha 12.</w:t>
      </w:r>
      <w:r>
        <w:rPr>
          <w:rFonts w:ascii="Arial" w:hAnsi="Arial" w:cs="Arial"/>
          <w:sz w:val="24"/>
          <w:szCs w:val="24"/>
        </w:rPr>
        <w:t>0</w:t>
      </w:r>
      <w:r w:rsidR="00BE6F77">
        <w:rPr>
          <w:rFonts w:ascii="Arial" w:hAnsi="Arial" w:cs="Arial"/>
          <w:sz w:val="24"/>
          <w:szCs w:val="24"/>
        </w:rPr>
        <w:t>7</w:t>
      </w:r>
      <w:r w:rsidR="009E65E3">
        <w:rPr>
          <w:rFonts w:ascii="Arial" w:hAnsi="Arial" w:cs="Arial"/>
          <w:sz w:val="24"/>
          <w:szCs w:val="24"/>
        </w:rPr>
        <w:t>.17, por Resolución de 06.12.17</w:t>
      </w:r>
      <w:r>
        <w:rPr>
          <w:rFonts w:ascii="Arial" w:hAnsi="Arial" w:cs="Arial"/>
          <w:sz w:val="24"/>
          <w:szCs w:val="24"/>
        </w:rPr>
        <w:t xml:space="preserve"> el Directorio </w:t>
      </w:r>
      <w:r w:rsidR="00CE3519">
        <w:rPr>
          <w:rFonts w:ascii="Arial" w:hAnsi="Arial" w:cs="Arial"/>
          <w:sz w:val="24"/>
          <w:szCs w:val="24"/>
        </w:rPr>
        <w:t>dispuso</w:t>
      </w:r>
      <w:r>
        <w:rPr>
          <w:rFonts w:ascii="Arial" w:hAnsi="Arial" w:cs="Arial"/>
          <w:sz w:val="24"/>
          <w:szCs w:val="24"/>
        </w:rPr>
        <w:t xml:space="preserve"> la realización del llamado de referencia y </w:t>
      </w:r>
      <w:proofErr w:type="gramStart"/>
      <w:r>
        <w:rPr>
          <w:rFonts w:ascii="Arial" w:hAnsi="Arial" w:cs="Arial"/>
          <w:sz w:val="24"/>
          <w:szCs w:val="24"/>
        </w:rPr>
        <w:t>aprobó</w:t>
      </w:r>
      <w:proofErr w:type="gramEnd"/>
      <w:r>
        <w:rPr>
          <w:rFonts w:ascii="Arial" w:hAnsi="Arial" w:cs="Arial"/>
          <w:sz w:val="24"/>
          <w:szCs w:val="24"/>
        </w:rPr>
        <w:t xml:space="preserve"> la memoria descriptiva contenida en el pliego particular, estableciendo, asimismo, que las propuestas técnicas y econ</w:t>
      </w:r>
      <w:r w:rsidR="009E65E3">
        <w:rPr>
          <w:rFonts w:ascii="Arial" w:hAnsi="Arial" w:cs="Arial"/>
          <w:sz w:val="24"/>
          <w:szCs w:val="24"/>
        </w:rPr>
        <w:t>ómicas debería</w:t>
      </w:r>
      <w:r w:rsidR="001C0666">
        <w:rPr>
          <w:rFonts w:ascii="Arial" w:hAnsi="Arial" w:cs="Arial"/>
          <w:sz w:val="24"/>
          <w:szCs w:val="24"/>
        </w:rPr>
        <w:t>n</w:t>
      </w:r>
      <w:r w:rsidR="009E65E3">
        <w:rPr>
          <w:rFonts w:ascii="Arial" w:hAnsi="Arial" w:cs="Arial"/>
          <w:sz w:val="24"/>
          <w:szCs w:val="24"/>
        </w:rPr>
        <w:t xml:space="preserve"> ser presentadas en sobres separados</w:t>
      </w:r>
      <w:r>
        <w:rPr>
          <w:rFonts w:ascii="Arial" w:hAnsi="Arial" w:cs="Arial"/>
          <w:sz w:val="24"/>
          <w:szCs w:val="24"/>
        </w:rPr>
        <w:t xml:space="preserve">; </w:t>
      </w:r>
    </w:p>
    <w:p w:rsidR="009E65E3" w:rsidRDefault="00AD7421" w:rsidP="00E57E5F">
      <w:pPr>
        <w:spacing w:after="0" w:line="360" w:lineRule="auto"/>
        <w:ind w:firstLine="2835"/>
        <w:jc w:val="both"/>
        <w:rPr>
          <w:rFonts w:ascii="Arial" w:hAnsi="Arial" w:cs="Arial"/>
          <w:sz w:val="24"/>
          <w:szCs w:val="24"/>
        </w:rPr>
      </w:pPr>
      <w:r w:rsidRPr="00AD7421">
        <w:rPr>
          <w:rFonts w:ascii="Arial" w:hAnsi="Arial" w:cs="Arial"/>
          <w:b/>
          <w:sz w:val="24"/>
          <w:szCs w:val="24"/>
        </w:rPr>
        <w:t>2)</w:t>
      </w:r>
      <w:r>
        <w:rPr>
          <w:rFonts w:ascii="Arial" w:hAnsi="Arial" w:cs="Arial"/>
          <w:b/>
          <w:sz w:val="24"/>
          <w:szCs w:val="24"/>
        </w:rPr>
        <w:t xml:space="preserve"> </w:t>
      </w:r>
      <w:r>
        <w:rPr>
          <w:rFonts w:ascii="Arial" w:hAnsi="Arial" w:cs="Arial"/>
          <w:sz w:val="24"/>
          <w:szCs w:val="24"/>
        </w:rPr>
        <w:t>que</w:t>
      </w:r>
      <w:r w:rsidR="009E65E3">
        <w:rPr>
          <w:rFonts w:ascii="Arial" w:hAnsi="Arial" w:cs="Arial"/>
          <w:sz w:val="24"/>
          <w:szCs w:val="24"/>
        </w:rPr>
        <w:t xml:space="preserve"> se </w:t>
      </w:r>
      <w:r w:rsidR="00312C73">
        <w:rPr>
          <w:rFonts w:ascii="Arial" w:hAnsi="Arial" w:cs="Arial"/>
          <w:sz w:val="24"/>
          <w:szCs w:val="24"/>
        </w:rPr>
        <w:t xml:space="preserve">dio amplia difusión al llamado ya que se cursaron invitaciones a cinco firmas del ramo y se </w:t>
      </w:r>
      <w:r w:rsidR="009E65E3">
        <w:rPr>
          <w:rFonts w:ascii="Arial" w:hAnsi="Arial" w:cs="Arial"/>
          <w:sz w:val="24"/>
          <w:szCs w:val="24"/>
        </w:rPr>
        <w:t xml:space="preserve">publicó  en </w:t>
      </w:r>
      <w:r w:rsidR="00C6660D">
        <w:rPr>
          <w:rFonts w:ascii="Arial" w:hAnsi="Arial" w:cs="Arial"/>
          <w:sz w:val="24"/>
          <w:szCs w:val="24"/>
        </w:rPr>
        <w:t>la web de Compras Estatales, con fecha 15/12/17</w:t>
      </w:r>
      <w:r w:rsidR="00D74CB3">
        <w:rPr>
          <w:rFonts w:ascii="Arial" w:hAnsi="Arial" w:cs="Arial"/>
          <w:sz w:val="24"/>
          <w:szCs w:val="24"/>
        </w:rPr>
        <w:t>, en el Diario Of</w:t>
      </w:r>
      <w:r w:rsidR="001C0666">
        <w:rPr>
          <w:rFonts w:ascii="Arial" w:hAnsi="Arial" w:cs="Arial"/>
          <w:sz w:val="24"/>
          <w:szCs w:val="24"/>
        </w:rPr>
        <w:t>icial,</w:t>
      </w:r>
      <w:r w:rsidR="00D74CB3">
        <w:rPr>
          <w:rFonts w:ascii="Arial" w:hAnsi="Arial" w:cs="Arial"/>
          <w:sz w:val="24"/>
          <w:szCs w:val="24"/>
        </w:rPr>
        <w:t xml:space="preserve"> en los periódicos</w:t>
      </w:r>
      <w:r w:rsidR="00312C73">
        <w:rPr>
          <w:rFonts w:ascii="Arial" w:hAnsi="Arial" w:cs="Arial"/>
          <w:sz w:val="24"/>
          <w:szCs w:val="24"/>
        </w:rPr>
        <w:t xml:space="preserve"> “La R</w:t>
      </w:r>
      <w:r w:rsidR="00BD45C8">
        <w:rPr>
          <w:rFonts w:ascii="Arial" w:hAnsi="Arial" w:cs="Arial"/>
          <w:sz w:val="24"/>
          <w:szCs w:val="24"/>
        </w:rPr>
        <w:t>e</w:t>
      </w:r>
      <w:r w:rsidR="00D74CB3">
        <w:rPr>
          <w:rFonts w:ascii="Arial" w:hAnsi="Arial" w:cs="Arial"/>
          <w:sz w:val="24"/>
          <w:szCs w:val="24"/>
        </w:rPr>
        <w:t>pública” y “El País el 22/12/17 y</w:t>
      </w:r>
      <w:r w:rsidR="00BD45C8">
        <w:rPr>
          <w:rFonts w:ascii="Arial" w:hAnsi="Arial" w:cs="Arial"/>
          <w:sz w:val="24"/>
          <w:szCs w:val="24"/>
        </w:rPr>
        <w:t xml:space="preserve"> en la revista “Contacto” el 23/12/17, </w:t>
      </w:r>
      <w:r w:rsidR="00D74CB3">
        <w:rPr>
          <w:rFonts w:ascii="Arial" w:hAnsi="Arial" w:cs="Arial"/>
          <w:sz w:val="24"/>
          <w:szCs w:val="24"/>
        </w:rPr>
        <w:t>fijándos</w:t>
      </w:r>
      <w:r w:rsidR="008E7FAB">
        <w:rPr>
          <w:rFonts w:ascii="Arial" w:hAnsi="Arial" w:cs="Arial"/>
          <w:sz w:val="24"/>
          <w:szCs w:val="24"/>
        </w:rPr>
        <w:t>e el acto de apertura inicialmente para el 19</w:t>
      </w:r>
      <w:r w:rsidR="00D74CB3">
        <w:rPr>
          <w:rFonts w:ascii="Arial" w:hAnsi="Arial" w:cs="Arial"/>
          <w:sz w:val="24"/>
          <w:szCs w:val="24"/>
        </w:rPr>
        <w:t>/01/18, siendo la antelación suficiente;</w:t>
      </w:r>
    </w:p>
    <w:p w:rsidR="00AD7421" w:rsidRDefault="00D74CB3" w:rsidP="00E57E5F">
      <w:pPr>
        <w:spacing w:after="0" w:line="360" w:lineRule="auto"/>
        <w:ind w:firstLine="2835"/>
        <w:jc w:val="both"/>
        <w:rPr>
          <w:rFonts w:ascii="Arial" w:hAnsi="Arial" w:cs="Arial"/>
          <w:sz w:val="24"/>
          <w:szCs w:val="24"/>
        </w:rPr>
      </w:pPr>
      <w:r w:rsidRPr="00D74CB3">
        <w:rPr>
          <w:rFonts w:ascii="Arial" w:hAnsi="Arial" w:cs="Arial"/>
          <w:b/>
          <w:sz w:val="24"/>
          <w:szCs w:val="24"/>
        </w:rPr>
        <w:t>3)</w:t>
      </w:r>
      <w:r>
        <w:rPr>
          <w:rFonts w:ascii="Arial" w:hAnsi="Arial" w:cs="Arial"/>
          <w:b/>
          <w:sz w:val="24"/>
          <w:szCs w:val="24"/>
        </w:rPr>
        <w:t xml:space="preserve"> </w:t>
      </w:r>
      <w:r w:rsidRPr="00D74CB3">
        <w:rPr>
          <w:rFonts w:ascii="Arial" w:hAnsi="Arial" w:cs="Arial"/>
          <w:sz w:val="24"/>
          <w:szCs w:val="24"/>
        </w:rPr>
        <w:t>que el</w:t>
      </w:r>
      <w:r w:rsidR="00AD7421">
        <w:rPr>
          <w:rFonts w:ascii="Arial" w:hAnsi="Arial" w:cs="Arial"/>
          <w:sz w:val="24"/>
          <w:szCs w:val="24"/>
        </w:rPr>
        <w:t xml:space="preserve"> </w:t>
      </w:r>
      <w:r>
        <w:rPr>
          <w:rFonts w:ascii="Arial" w:hAnsi="Arial" w:cs="Arial"/>
          <w:sz w:val="24"/>
          <w:szCs w:val="24"/>
        </w:rPr>
        <w:t xml:space="preserve">acto de </w:t>
      </w:r>
      <w:r w:rsidR="00AD7421">
        <w:rPr>
          <w:rFonts w:ascii="Arial" w:hAnsi="Arial" w:cs="Arial"/>
          <w:sz w:val="24"/>
          <w:szCs w:val="24"/>
        </w:rPr>
        <w:t>apertura</w:t>
      </w:r>
      <w:r w:rsidR="001C0666">
        <w:rPr>
          <w:rFonts w:ascii="Arial" w:hAnsi="Arial" w:cs="Arial"/>
          <w:sz w:val="24"/>
          <w:szCs w:val="24"/>
        </w:rPr>
        <w:t xml:space="preserve">, se postergó para el </w:t>
      </w:r>
      <w:r w:rsidR="008E7FAB">
        <w:rPr>
          <w:rFonts w:ascii="Arial" w:hAnsi="Arial" w:cs="Arial"/>
          <w:sz w:val="24"/>
          <w:szCs w:val="24"/>
        </w:rPr>
        <w:t>8/02/18</w:t>
      </w:r>
      <w:r>
        <w:rPr>
          <w:rFonts w:ascii="Arial" w:hAnsi="Arial" w:cs="Arial"/>
          <w:sz w:val="24"/>
          <w:szCs w:val="24"/>
        </w:rPr>
        <w:t>,</w:t>
      </w:r>
      <w:r w:rsidR="00AD7421">
        <w:rPr>
          <w:rFonts w:ascii="Arial" w:hAnsi="Arial" w:cs="Arial"/>
          <w:sz w:val="24"/>
          <w:szCs w:val="24"/>
        </w:rPr>
        <w:t xml:space="preserve"> recibiéndose ofertas de</w:t>
      </w:r>
      <w:r w:rsidR="00D22015">
        <w:rPr>
          <w:rFonts w:ascii="Arial" w:hAnsi="Arial" w:cs="Arial"/>
          <w:sz w:val="24"/>
          <w:szCs w:val="24"/>
        </w:rPr>
        <w:t xml:space="preserve"> </w:t>
      </w:r>
      <w:proofErr w:type="spellStart"/>
      <w:r w:rsidR="00D22015">
        <w:rPr>
          <w:rFonts w:ascii="Arial" w:hAnsi="Arial" w:cs="Arial"/>
          <w:sz w:val="24"/>
          <w:szCs w:val="24"/>
        </w:rPr>
        <w:t>Dorebor</w:t>
      </w:r>
      <w:proofErr w:type="spellEnd"/>
      <w:r w:rsidR="00D22015">
        <w:rPr>
          <w:rFonts w:ascii="Arial" w:hAnsi="Arial" w:cs="Arial"/>
          <w:sz w:val="24"/>
          <w:szCs w:val="24"/>
        </w:rPr>
        <w:t xml:space="preserve"> S.A., y </w:t>
      </w:r>
      <w:proofErr w:type="spellStart"/>
      <w:r w:rsidR="00D22015">
        <w:rPr>
          <w:rFonts w:ascii="Arial" w:hAnsi="Arial" w:cs="Arial"/>
          <w:sz w:val="24"/>
          <w:szCs w:val="24"/>
        </w:rPr>
        <w:t>Precodata</w:t>
      </w:r>
      <w:proofErr w:type="spellEnd"/>
      <w:r w:rsidR="00D22015">
        <w:rPr>
          <w:rFonts w:ascii="Arial" w:hAnsi="Arial" w:cs="Arial"/>
          <w:sz w:val="24"/>
          <w:szCs w:val="24"/>
        </w:rPr>
        <w:t xml:space="preserve"> S.A.</w:t>
      </w:r>
      <w:r w:rsidR="00AD7421">
        <w:rPr>
          <w:rFonts w:ascii="Arial" w:hAnsi="Arial" w:cs="Arial"/>
          <w:sz w:val="24"/>
          <w:szCs w:val="24"/>
        </w:rPr>
        <w:t>;</w:t>
      </w:r>
    </w:p>
    <w:p w:rsidR="00D22015" w:rsidRDefault="00D22015" w:rsidP="00E57E5F">
      <w:pPr>
        <w:spacing w:after="0" w:line="360" w:lineRule="auto"/>
        <w:ind w:firstLine="2835"/>
        <w:jc w:val="both"/>
        <w:rPr>
          <w:rFonts w:ascii="Arial" w:hAnsi="Arial" w:cs="Arial"/>
          <w:sz w:val="24"/>
          <w:szCs w:val="24"/>
        </w:rPr>
      </w:pPr>
      <w:r>
        <w:rPr>
          <w:rFonts w:ascii="Arial" w:hAnsi="Arial" w:cs="Arial"/>
          <w:b/>
          <w:sz w:val="24"/>
          <w:szCs w:val="24"/>
        </w:rPr>
        <w:t>4</w:t>
      </w:r>
      <w:r w:rsidR="00AD7421" w:rsidRPr="00AD7421">
        <w:rPr>
          <w:rFonts w:ascii="Arial" w:hAnsi="Arial" w:cs="Arial"/>
          <w:b/>
          <w:sz w:val="24"/>
          <w:szCs w:val="24"/>
        </w:rPr>
        <w:t>)</w:t>
      </w:r>
      <w:r w:rsidR="00AD7421">
        <w:rPr>
          <w:rFonts w:ascii="Arial" w:hAnsi="Arial" w:cs="Arial"/>
          <w:sz w:val="24"/>
          <w:szCs w:val="24"/>
        </w:rPr>
        <w:t xml:space="preserve"> que </w:t>
      </w:r>
      <w:r>
        <w:rPr>
          <w:rFonts w:ascii="Arial" w:hAnsi="Arial" w:cs="Arial"/>
          <w:sz w:val="24"/>
          <w:szCs w:val="24"/>
        </w:rPr>
        <w:t xml:space="preserve">la Asesoría Técnica y Contrataciones, </w:t>
      </w:r>
      <w:r w:rsidR="00AD7421">
        <w:rPr>
          <w:rFonts w:ascii="Arial" w:hAnsi="Arial" w:cs="Arial"/>
          <w:sz w:val="24"/>
          <w:szCs w:val="24"/>
        </w:rPr>
        <w:t xml:space="preserve">con </w:t>
      </w:r>
      <w:r w:rsidR="00683E8B">
        <w:rPr>
          <w:rFonts w:ascii="Arial" w:hAnsi="Arial" w:cs="Arial"/>
          <w:sz w:val="24"/>
          <w:szCs w:val="24"/>
        </w:rPr>
        <w:t>fecha 21/</w:t>
      </w:r>
      <w:r w:rsidR="00AD7421" w:rsidRPr="00AD7421">
        <w:rPr>
          <w:rFonts w:ascii="Arial" w:hAnsi="Arial" w:cs="Arial"/>
          <w:sz w:val="24"/>
          <w:szCs w:val="24"/>
        </w:rPr>
        <w:t>0</w:t>
      </w:r>
      <w:r w:rsidR="00683E8B">
        <w:rPr>
          <w:rFonts w:ascii="Arial" w:hAnsi="Arial" w:cs="Arial"/>
          <w:sz w:val="24"/>
          <w:szCs w:val="24"/>
        </w:rPr>
        <w:t>2/</w:t>
      </w:r>
      <w:r w:rsidR="00AD7421" w:rsidRPr="00AD7421">
        <w:rPr>
          <w:rFonts w:ascii="Arial" w:hAnsi="Arial" w:cs="Arial"/>
          <w:sz w:val="24"/>
          <w:szCs w:val="24"/>
        </w:rPr>
        <w:t>18</w:t>
      </w:r>
      <w:r w:rsidR="00CE3519">
        <w:rPr>
          <w:rFonts w:ascii="Arial" w:hAnsi="Arial" w:cs="Arial"/>
          <w:sz w:val="24"/>
          <w:szCs w:val="24"/>
        </w:rPr>
        <w:t>,</w:t>
      </w:r>
      <w:r w:rsidR="00AD7421" w:rsidRPr="00AD7421">
        <w:rPr>
          <w:rFonts w:ascii="Arial" w:hAnsi="Arial" w:cs="Arial"/>
          <w:sz w:val="24"/>
          <w:szCs w:val="24"/>
        </w:rPr>
        <w:t xml:space="preserve"> </w:t>
      </w:r>
      <w:r>
        <w:rPr>
          <w:rFonts w:ascii="Arial" w:hAnsi="Arial" w:cs="Arial"/>
          <w:sz w:val="24"/>
          <w:szCs w:val="24"/>
        </w:rPr>
        <w:t>informó que luego de analizar las propuestas</w:t>
      </w:r>
      <w:r w:rsidR="00683E8B">
        <w:rPr>
          <w:rFonts w:ascii="Arial" w:hAnsi="Arial" w:cs="Arial"/>
          <w:sz w:val="24"/>
          <w:szCs w:val="24"/>
        </w:rPr>
        <w:t xml:space="preserve"> se</w:t>
      </w:r>
      <w:r>
        <w:rPr>
          <w:rFonts w:ascii="Arial" w:hAnsi="Arial" w:cs="Arial"/>
          <w:sz w:val="24"/>
          <w:szCs w:val="24"/>
        </w:rPr>
        <w:t xml:space="preserve"> detectó que la </w:t>
      </w:r>
      <w:r w:rsidR="001C0666">
        <w:rPr>
          <w:rFonts w:ascii="Arial" w:hAnsi="Arial" w:cs="Arial"/>
          <w:sz w:val="24"/>
          <w:szCs w:val="24"/>
        </w:rPr>
        <w:t xml:space="preserve"> oferta </w:t>
      </w:r>
      <w:r>
        <w:rPr>
          <w:rFonts w:ascii="Arial" w:hAnsi="Arial" w:cs="Arial"/>
          <w:sz w:val="24"/>
          <w:szCs w:val="24"/>
        </w:rPr>
        <w:t xml:space="preserve">de </w:t>
      </w:r>
      <w:proofErr w:type="spellStart"/>
      <w:r>
        <w:rPr>
          <w:rFonts w:ascii="Arial" w:hAnsi="Arial" w:cs="Arial"/>
          <w:sz w:val="24"/>
          <w:szCs w:val="24"/>
        </w:rPr>
        <w:t>Dorebor</w:t>
      </w:r>
      <w:proofErr w:type="spellEnd"/>
      <w:r>
        <w:rPr>
          <w:rFonts w:ascii="Arial" w:hAnsi="Arial" w:cs="Arial"/>
          <w:sz w:val="24"/>
          <w:szCs w:val="24"/>
        </w:rPr>
        <w:t xml:space="preserve"> S.A. no estaba acompañada de una muestra de l</w:t>
      </w:r>
      <w:r w:rsidR="00312C73">
        <w:rPr>
          <w:rFonts w:ascii="Arial" w:hAnsi="Arial" w:cs="Arial"/>
          <w:sz w:val="24"/>
          <w:szCs w:val="24"/>
        </w:rPr>
        <w:t>o cotizado,</w:t>
      </w:r>
      <w:r w:rsidR="00683E8B">
        <w:rPr>
          <w:rFonts w:ascii="Arial" w:hAnsi="Arial" w:cs="Arial"/>
          <w:sz w:val="24"/>
          <w:szCs w:val="24"/>
        </w:rPr>
        <w:t xml:space="preserve"> con lo cual incumplió</w:t>
      </w:r>
      <w:r w:rsidR="00312C73">
        <w:rPr>
          <w:rFonts w:ascii="Arial" w:hAnsi="Arial" w:cs="Arial"/>
          <w:sz w:val="24"/>
          <w:szCs w:val="24"/>
        </w:rPr>
        <w:t xml:space="preserve"> con lo preceptuado en el punto V</w:t>
      </w:r>
      <w:r>
        <w:rPr>
          <w:rFonts w:ascii="Arial" w:hAnsi="Arial" w:cs="Arial"/>
          <w:sz w:val="24"/>
          <w:szCs w:val="24"/>
        </w:rPr>
        <w:t xml:space="preserve"> de</w:t>
      </w:r>
      <w:r w:rsidR="00312C73">
        <w:rPr>
          <w:rFonts w:ascii="Arial" w:hAnsi="Arial" w:cs="Arial"/>
          <w:sz w:val="24"/>
          <w:szCs w:val="24"/>
        </w:rPr>
        <w:t xml:space="preserve"> la Memoria</w:t>
      </w:r>
      <w:r w:rsidR="00683E8B">
        <w:rPr>
          <w:rFonts w:ascii="Arial" w:hAnsi="Arial" w:cs="Arial"/>
          <w:sz w:val="24"/>
          <w:szCs w:val="24"/>
        </w:rPr>
        <w:t>, extremo que la tornó inadmisible.</w:t>
      </w:r>
      <w:r w:rsidR="00D82B4E">
        <w:rPr>
          <w:rFonts w:ascii="Arial" w:hAnsi="Arial" w:cs="Arial"/>
          <w:sz w:val="24"/>
          <w:szCs w:val="24"/>
        </w:rPr>
        <w:t xml:space="preserve"> Asimismo, expresó que </w:t>
      </w:r>
      <w:r w:rsidR="00312C73">
        <w:rPr>
          <w:rFonts w:ascii="Arial" w:hAnsi="Arial" w:cs="Arial"/>
          <w:sz w:val="24"/>
          <w:szCs w:val="24"/>
        </w:rPr>
        <w:t>la oferta de Precodata S.A. se ajustó a</w:t>
      </w:r>
      <w:r w:rsidR="00683E8B">
        <w:rPr>
          <w:rFonts w:ascii="Arial" w:hAnsi="Arial" w:cs="Arial"/>
          <w:sz w:val="24"/>
          <w:szCs w:val="24"/>
        </w:rPr>
        <w:t xml:space="preserve"> los requerimientos del Pliego</w:t>
      </w:r>
      <w:r w:rsidR="00312C73">
        <w:rPr>
          <w:rFonts w:ascii="Arial" w:hAnsi="Arial" w:cs="Arial"/>
          <w:sz w:val="24"/>
          <w:szCs w:val="24"/>
        </w:rPr>
        <w:t>, se encuentra inscripta en RUPE con estado activo y carece de antecedent</w:t>
      </w:r>
      <w:r w:rsidR="00A67AFF">
        <w:rPr>
          <w:rFonts w:ascii="Arial" w:hAnsi="Arial" w:cs="Arial"/>
          <w:sz w:val="24"/>
          <w:szCs w:val="24"/>
        </w:rPr>
        <w:t xml:space="preserve">es negativos en dicho registro. Esto fue ratificado </w:t>
      </w:r>
      <w:r w:rsidR="00B7586D">
        <w:rPr>
          <w:rFonts w:ascii="Arial" w:hAnsi="Arial" w:cs="Arial"/>
          <w:sz w:val="24"/>
          <w:szCs w:val="24"/>
        </w:rPr>
        <w:lastRenderedPageBreak/>
        <w:t>por la Unidad</w:t>
      </w:r>
      <w:r w:rsidR="00A67AFF">
        <w:rPr>
          <w:rFonts w:ascii="Arial" w:hAnsi="Arial" w:cs="Arial"/>
          <w:sz w:val="24"/>
          <w:szCs w:val="24"/>
        </w:rPr>
        <w:t xml:space="preserve"> Compensadora de Valores – Entrega Física y Cheques, en </w:t>
      </w:r>
      <w:r w:rsidR="00B7586D">
        <w:rPr>
          <w:rFonts w:ascii="Arial" w:hAnsi="Arial" w:cs="Arial"/>
          <w:sz w:val="24"/>
          <w:szCs w:val="24"/>
        </w:rPr>
        <w:t xml:space="preserve">su </w:t>
      </w:r>
      <w:r w:rsidR="00A67AFF">
        <w:rPr>
          <w:rFonts w:ascii="Arial" w:hAnsi="Arial" w:cs="Arial"/>
          <w:sz w:val="24"/>
          <w:szCs w:val="24"/>
        </w:rPr>
        <w:t xml:space="preserve">informe de fecha </w:t>
      </w:r>
      <w:r w:rsidR="009C1A87">
        <w:rPr>
          <w:rFonts w:ascii="Arial" w:hAnsi="Arial" w:cs="Arial"/>
          <w:sz w:val="24"/>
          <w:szCs w:val="24"/>
        </w:rPr>
        <w:t>03/04/18;</w:t>
      </w:r>
    </w:p>
    <w:p w:rsidR="00B12B85" w:rsidRDefault="0052487C" w:rsidP="00A4774C">
      <w:pPr>
        <w:spacing w:after="0" w:line="360" w:lineRule="auto"/>
        <w:ind w:firstLine="2835"/>
        <w:jc w:val="both"/>
        <w:rPr>
          <w:rFonts w:ascii="Arial" w:hAnsi="Arial" w:cs="Arial"/>
          <w:sz w:val="24"/>
          <w:szCs w:val="24"/>
        </w:rPr>
      </w:pPr>
      <w:r>
        <w:rPr>
          <w:rFonts w:ascii="Arial" w:hAnsi="Arial" w:cs="Arial"/>
          <w:b/>
          <w:sz w:val="24"/>
          <w:szCs w:val="24"/>
        </w:rPr>
        <w:t>5</w:t>
      </w:r>
      <w:r w:rsidR="00AD7421">
        <w:rPr>
          <w:rFonts w:ascii="Arial" w:hAnsi="Arial" w:cs="Arial"/>
          <w:b/>
          <w:sz w:val="24"/>
          <w:szCs w:val="24"/>
        </w:rPr>
        <w:t xml:space="preserve">) </w:t>
      </w:r>
      <w:r w:rsidR="00A67AFF">
        <w:rPr>
          <w:rFonts w:ascii="Arial" w:hAnsi="Arial" w:cs="Arial"/>
          <w:sz w:val="24"/>
          <w:szCs w:val="24"/>
        </w:rPr>
        <w:t>que con fecha 20/04/18,</w:t>
      </w:r>
      <w:r w:rsidR="00AD7421" w:rsidRPr="00AD7421">
        <w:rPr>
          <w:rFonts w:ascii="Arial" w:hAnsi="Arial" w:cs="Arial"/>
          <w:sz w:val="24"/>
          <w:szCs w:val="24"/>
        </w:rPr>
        <w:t xml:space="preserve"> se </w:t>
      </w:r>
      <w:r w:rsidR="00825C88">
        <w:rPr>
          <w:rFonts w:ascii="Arial" w:hAnsi="Arial" w:cs="Arial"/>
          <w:sz w:val="24"/>
          <w:szCs w:val="24"/>
        </w:rPr>
        <w:t xml:space="preserve">realizó </w:t>
      </w:r>
      <w:r w:rsidR="00AD7421" w:rsidRPr="00AD7421">
        <w:rPr>
          <w:rFonts w:ascii="Arial" w:hAnsi="Arial" w:cs="Arial"/>
          <w:sz w:val="24"/>
          <w:szCs w:val="24"/>
        </w:rPr>
        <w:t>la apertura de las propuestas económicas</w:t>
      </w:r>
      <w:r w:rsidR="00A67AFF">
        <w:rPr>
          <w:rFonts w:ascii="Arial" w:hAnsi="Arial" w:cs="Arial"/>
          <w:sz w:val="24"/>
          <w:szCs w:val="24"/>
        </w:rPr>
        <w:t xml:space="preserve"> de las firmas</w:t>
      </w:r>
      <w:r w:rsidR="00E57E5F">
        <w:rPr>
          <w:rFonts w:ascii="Arial" w:hAnsi="Arial" w:cs="Arial"/>
          <w:sz w:val="24"/>
          <w:szCs w:val="24"/>
        </w:rPr>
        <w:t xml:space="preserve"> participantes;</w:t>
      </w:r>
      <w:r w:rsidR="00471AAE">
        <w:rPr>
          <w:rFonts w:ascii="Arial" w:hAnsi="Arial" w:cs="Arial"/>
          <w:sz w:val="24"/>
          <w:szCs w:val="24"/>
        </w:rPr>
        <w:t xml:space="preserve"> </w:t>
      </w:r>
    </w:p>
    <w:p w:rsidR="0029612B" w:rsidRDefault="00B12B85" w:rsidP="00E57E5F">
      <w:pPr>
        <w:spacing w:after="0" w:line="360" w:lineRule="auto"/>
        <w:ind w:firstLine="2835"/>
        <w:jc w:val="both"/>
        <w:rPr>
          <w:rFonts w:ascii="Arial" w:hAnsi="Arial" w:cs="Arial"/>
          <w:sz w:val="24"/>
          <w:szCs w:val="24"/>
        </w:rPr>
      </w:pPr>
      <w:r w:rsidRPr="00CE0FE6">
        <w:rPr>
          <w:rFonts w:ascii="Arial" w:hAnsi="Arial" w:cs="Arial"/>
          <w:b/>
          <w:sz w:val="24"/>
          <w:szCs w:val="24"/>
        </w:rPr>
        <w:t>6)</w:t>
      </w:r>
      <w:r>
        <w:rPr>
          <w:rFonts w:ascii="Arial" w:hAnsi="Arial" w:cs="Arial"/>
          <w:sz w:val="24"/>
          <w:szCs w:val="24"/>
        </w:rPr>
        <w:t xml:space="preserve"> que </w:t>
      </w:r>
      <w:r w:rsidR="00AD01B7">
        <w:rPr>
          <w:rFonts w:ascii="Arial" w:hAnsi="Arial" w:cs="Arial"/>
          <w:sz w:val="24"/>
          <w:szCs w:val="24"/>
        </w:rPr>
        <w:t>la</w:t>
      </w:r>
      <w:r w:rsidR="000C4688">
        <w:rPr>
          <w:rFonts w:ascii="Arial" w:hAnsi="Arial" w:cs="Arial"/>
          <w:sz w:val="24"/>
          <w:szCs w:val="24"/>
        </w:rPr>
        <w:t xml:space="preserve"> Asesoría Técnica y Contrataciones</w:t>
      </w:r>
      <w:r w:rsidR="00AD7421">
        <w:rPr>
          <w:rFonts w:ascii="Arial" w:hAnsi="Arial" w:cs="Arial"/>
          <w:sz w:val="24"/>
          <w:szCs w:val="24"/>
        </w:rPr>
        <w:t xml:space="preserve"> </w:t>
      </w:r>
      <w:r w:rsidR="000C4688">
        <w:rPr>
          <w:rFonts w:ascii="Arial" w:hAnsi="Arial" w:cs="Arial"/>
          <w:sz w:val="24"/>
          <w:szCs w:val="24"/>
        </w:rPr>
        <w:t>evalu</w:t>
      </w:r>
      <w:r w:rsidR="00471AAE">
        <w:rPr>
          <w:rFonts w:ascii="Arial" w:hAnsi="Arial" w:cs="Arial"/>
          <w:sz w:val="24"/>
          <w:szCs w:val="24"/>
        </w:rPr>
        <w:t>ó</w:t>
      </w:r>
      <w:r w:rsidR="009045F7">
        <w:rPr>
          <w:rFonts w:ascii="Arial" w:hAnsi="Arial" w:cs="Arial"/>
          <w:sz w:val="24"/>
          <w:szCs w:val="24"/>
        </w:rPr>
        <w:t xml:space="preserve"> la propuesta</w:t>
      </w:r>
      <w:r w:rsidR="00AD01B7">
        <w:rPr>
          <w:rFonts w:ascii="Arial" w:hAnsi="Arial" w:cs="Arial"/>
          <w:sz w:val="24"/>
          <w:szCs w:val="24"/>
        </w:rPr>
        <w:t xml:space="preserve"> económica de </w:t>
      </w:r>
      <w:proofErr w:type="spellStart"/>
      <w:r w:rsidR="00AD01B7">
        <w:rPr>
          <w:rFonts w:ascii="Arial" w:hAnsi="Arial" w:cs="Arial"/>
          <w:sz w:val="24"/>
          <w:szCs w:val="24"/>
        </w:rPr>
        <w:t>Precodata</w:t>
      </w:r>
      <w:proofErr w:type="spellEnd"/>
      <w:r w:rsidR="00AD01B7">
        <w:rPr>
          <w:rFonts w:ascii="Arial" w:hAnsi="Arial" w:cs="Arial"/>
          <w:sz w:val="24"/>
          <w:szCs w:val="24"/>
        </w:rPr>
        <w:t xml:space="preserve"> S.A.</w:t>
      </w:r>
      <w:r w:rsidR="00D8265E">
        <w:rPr>
          <w:rFonts w:ascii="Arial" w:hAnsi="Arial" w:cs="Arial"/>
          <w:sz w:val="24"/>
          <w:szCs w:val="24"/>
        </w:rPr>
        <w:t>,</w:t>
      </w:r>
      <w:r w:rsidR="00471AAE">
        <w:rPr>
          <w:rFonts w:ascii="Arial" w:hAnsi="Arial" w:cs="Arial"/>
          <w:sz w:val="24"/>
          <w:szCs w:val="24"/>
        </w:rPr>
        <w:t xml:space="preserve"> teniendo en cuenta el factor precio conforme lo indicad</w:t>
      </w:r>
      <w:r>
        <w:rPr>
          <w:rFonts w:ascii="Arial" w:hAnsi="Arial" w:cs="Arial"/>
          <w:sz w:val="24"/>
          <w:szCs w:val="24"/>
        </w:rPr>
        <w:t xml:space="preserve">o en el Pliego y </w:t>
      </w:r>
      <w:r w:rsidR="00471AAE">
        <w:rPr>
          <w:rFonts w:ascii="Arial" w:hAnsi="Arial" w:cs="Arial"/>
          <w:sz w:val="24"/>
          <w:szCs w:val="24"/>
        </w:rPr>
        <w:t>concl</w:t>
      </w:r>
      <w:r w:rsidR="00C5581B">
        <w:rPr>
          <w:rFonts w:ascii="Arial" w:hAnsi="Arial" w:cs="Arial"/>
          <w:sz w:val="24"/>
          <w:szCs w:val="24"/>
        </w:rPr>
        <w:t>uyó</w:t>
      </w:r>
      <w:r w:rsidR="00471AAE">
        <w:rPr>
          <w:rFonts w:ascii="Arial" w:hAnsi="Arial" w:cs="Arial"/>
          <w:sz w:val="24"/>
          <w:szCs w:val="24"/>
        </w:rPr>
        <w:t xml:space="preserve"> </w:t>
      </w:r>
      <w:r w:rsidR="000C4688">
        <w:rPr>
          <w:rFonts w:ascii="Arial" w:hAnsi="Arial" w:cs="Arial"/>
          <w:sz w:val="24"/>
          <w:szCs w:val="24"/>
        </w:rPr>
        <w:t>que</w:t>
      </w:r>
      <w:r w:rsidR="00471AAE">
        <w:rPr>
          <w:rFonts w:ascii="Arial" w:hAnsi="Arial" w:cs="Arial"/>
          <w:sz w:val="24"/>
          <w:szCs w:val="24"/>
        </w:rPr>
        <w:t xml:space="preserve"> la oferta</w:t>
      </w:r>
      <w:r w:rsidR="000C4688">
        <w:rPr>
          <w:rFonts w:ascii="Arial" w:hAnsi="Arial" w:cs="Arial"/>
          <w:sz w:val="24"/>
          <w:szCs w:val="24"/>
        </w:rPr>
        <w:t xml:space="preserve"> no merece observaciones desde el punto de vista económico</w:t>
      </w:r>
      <w:r w:rsidR="00471AAE">
        <w:rPr>
          <w:rFonts w:ascii="Arial" w:hAnsi="Arial" w:cs="Arial"/>
          <w:sz w:val="24"/>
          <w:szCs w:val="24"/>
        </w:rPr>
        <w:t>;</w:t>
      </w:r>
    </w:p>
    <w:p w:rsidR="0029612B" w:rsidRDefault="00CE0FE6" w:rsidP="00E57E5F">
      <w:pPr>
        <w:spacing w:after="0" w:line="360" w:lineRule="auto"/>
        <w:ind w:firstLine="2835"/>
        <w:jc w:val="both"/>
        <w:rPr>
          <w:rFonts w:ascii="Arial" w:hAnsi="Arial" w:cs="Arial"/>
          <w:sz w:val="24"/>
          <w:szCs w:val="24"/>
        </w:rPr>
      </w:pPr>
      <w:r w:rsidRPr="00CE0FE6">
        <w:rPr>
          <w:rFonts w:ascii="Arial" w:hAnsi="Arial" w:cs="Arial"/>
          <w:b/>
          <w:sz w:val="24"/>
          <w:szCs w:val="24"/>
        </w:rPr>
        <w:t>7</w:t>
      </w:r>
      <w:r w:rsidR="00AD7421" w:rsidRPr="00CE0FE6">
        <w:rPr>
          <w:rFonts w:ascii="Arial" w:hAnsi="Arial" w:cs="Arial"/>
          <w:b/>
          <w:sz w:val="24"/>
          <w:szCs w:val="24"/>
        </w:rPr>
        <w:t>)</w:t>
      </w:r>
      <w:r w:rsidR="00AD7421">
        <w:rPr>
          <w:rFonts w:ascii="Arial" w:hAnsi="Arial" w:cs="Arial"/>
          <w:sz w:val="24"/>
          <w:szCs w:val="24"/>
        </w:rPr>
        <w:t xml:space="preserve"> </w:t>
      </w:r>
      <w:r w:rsidR="0029612B">
        <w:rPr>
          <w:rFonts w:ascii="Arial" w:hAnsi="Arial" w:cs="Arial"/>
          <w:sz w:val="24"/>
          <w:szCs w:val="24"/>
        </w:rPr>
        <w:t>que</w:t>
      </w:r>
      <w:r w:rsidR="00C5581B">
        <w:rPr>
          <w:rFonts w:ascii="Arial" w:hAnsi="Arial" w:cs="Arial"/>
          <w:sz w:val="24"/>
          <w:szCs w:val="24"/>
        </w:rPr>
        <w:t xml:space="preserve"> la Comisión Asesora de Adjudicaciones, con fecha 01/10/18, atendiendo a lo informado por los servicios técnicos, sugirió adjudicar a Precodata S.A. por un monto anual de hasta $ 44:000.000 con un  plazo de la contratación de dos años;</w:t>
      </w:r>
    </w:p>
    <w:p w:rsidR="00AB1A2E" w:rsidRPr="006F5CBC" w:rsidRDefault="00AB1A2E" w:rsidP="00E57E5F">
      <w:pPr>
        <w:spacing w:after="0" w:line="360" w:lineRule="auto"/>
        <w:ind w:firstLine="2835"/>
        <w:jc w:val="both"/>
        <w:rPr>
          <w:rFonts w:ascii="Arial" w:hAnsi="Arial" w:cs="Arial"/>
          <w:sz w:val="24"/>
          <w:szCs w:val="24"/>
        </w:rPr>
      </w:pPr>
      <w:r w:rsidRPr="00AB1A2E">
        <w:rPr>
          <w:rFonts w:ascii="Arial" w:hAnsi="Arial" w:cs="Arial"/>
          <w:b/>
          <w:sz w:val="24"/>
          <w:szCs w:val="24"/>
        </w:rPr>
        <w:t>8)</w:t>
      </w:r>
      <w:r>
        <w:rPr>
          <w:rFonts w:ascii="Arial" w:hAnsi="Arial" w:cs="Arial"/>
          <w:sz w:val="24"/>
          <w:szCs w:val="24"/>
        </w:rPr>
        <w:t xml:space="preserve"> que el Área Control y Gestión de Presupuesto, con fecha 03/10/18, indicó que</w:t>
      </w:r>
      <w:r w:rsidR="006F5CBC">
        <w:rPr>
          <w:rFonts w:ascii="Arial" w:hAnsi="Arial" w:cs="Arial"/>
          <w:sz w:val="24"/>
          <w:szCs w:val="24"/>
        </w:rPr>
        <w:t xml:space="preserve"> </w:t>
      </w:r>
      <w:r w:rsidR="00B5460B">
        <w:rPr>
          <w:rFonts w:ascii="Arial" w:hAnsi="Arial" w:cs="Arial"/>
          <w:sz w:val="24"/>
          <w:szCs w:val="24"/>
        </w:rPr>
        <w:t>el gasto derivado de la presente debería ser</w:t>
      </w:r>
      <w:r w:rsidR="006F5CBC" w:rsidRPr="006F5CBC">
        <w:rPr>
          <w:rFonts w:ascii="Arial" w:hAnsi="Arial" w:cs="Arial"/>
          <w:sz w:val="24"/>
          <w:szCs w:val="24"/>
        </w:rPr>
        <w:t xml:space="preserve"> afectado con cargo al Grupo 1 – “Bienes de Consumo”, Ejercicio</w:t>
      </w:r>
      <w:r w:rsidR="00D05304">
        <w:rPr>
          <w:rFonts w:ascii="Arial" w:hAnsi="Arial" w:cs="Arial"/>
          <w:sz w:val="24"/>
          <w:szCs w:val="24"/>
        </w:rPr>
        <w:t>s</w:t>
      </w:r>
      <w:r w:rsidR="006F5CBC" w:rsidRPr="006F5CBC">
        <w:rPr>
          <w:rFonts w:ascii="Arial" w:hAnsi="Arial" w:cs="Arial"/>
          <w:sz w:val="24"/>
          <w:szCs w:val="24"/>
        </w:rPr>
        <w:t xml:space="preserve"> 2019</w:t>
      </w:r>
      <w:r w:rsidR="00D05304">
        <w:rPr>
          <w:rFonts w:ascii="Arial" w:hAnsi="Arial" w:cs="Arial"/>
          <w:sz w:val="24"/>
          <w:szCs w:val="24"/>
        </w:rPr>
        <w:t xml:space="preserve"> y siguientes</w:t>
      </w:r>
      <w:r w:rsidR="006F5CBC" w:rsidRPr="006F5CBC">
        <w:rPr>
          <w:rFonts w:ascii="Arial" w:hAnsi="Arial" w:cs="Arial"/>
          <w:sz w:val="24"/>
          <w:szCs w:val="24"/>
        </w:rPr>
        <w:t>, ya que no se prevén gastos en el Ejercicio 2018</w:t>
      </w:r>
      <w:r w:rsidR="00D05304">
        <w:rPr>
          <w:rFonts w:ascii="Arial" w:hAnsi="Arial" w:cs="Arial"/>
          <w:sz w:val="24"/>
          <w:szCs w:val="24"/>
        </w:rPr>
        <w:t>. Asimismo, expresó que la afectación debe recabarse a partir del 02/01/19</w:t>
      </w:r>
      <w:r w:rsidR="006F5CBC" w:rsidRPr="006F5CBC">
        <w:rPr>
          <w:rFonts w:ascii="Arial" w:hAnsi="Arial" w:cs="Arial"/>
          <w:sz w:val="24"/>
          <w:szCs w:val="24"/>
        </w:rPr>
        <w:t>;</w:t>
      </w:r>
    </w:p>
    <w:p w:rsidR="00D65636" w:rsidRDefault="00AB1A2E" w:rsidP="00973F79">
      <w:pPr>
        <w:spacing w:after="0" w:line="360" w:lineRule="auto"/>
        <w:ind w:firstLine="2835"/>
        <w:jc w:val="both"/>
        <w:rPr>
          <w:rFonts w:ascii="Arial" w:hAnsi="Arial" w:cs="Arial"/>
          <w:sz w:val="24"/>
          <w:szCs w:val="24"/>
        </w:rPr>
      </w:pPr>
      <w:r>
        <w:rPr>
          <w:rFonts w:ascii="Arial" w:hAnsi="Arial" w:cs="Arial"/>
          <w:b/>
          <w:sz w:val="24"/>
          <w:szCs w:val="24"/>
        </w:rPr>
        <w:t>9</w:t>
      </w:r>
      <w:r w:rsidR="00825C88" w:rsidRPr="00D65636">
        <w:rPr>
          <w:rFonts w:ascii="Arial" w:hAnsi="Arial" w:cs="Arial"/>
          <w:b/>
          <w:sz w:val="24"/>
          <w:szCs w:val="24"/>
        </w:rPr>
        <w:t>)</w:t>
      </w:r>
      <w:r w:rsidR="00825C88" w:rsidRPr="00825C88">
        <w:rPr>
          <w:rFonts w:ascii="Arial" w:hAnsi="Arial" w:cs="Arial"/>
          <w:b/>
          <w:sz w:val="24"/>
          <w:szCs w:val="24"/>
        </w:rPr>
        <w:t xml:space="preserve"> </w:t>
      </w:r>
      <w:r w:rsidR="00563FAA">
        <w:rPr>
          <w:rFonts w:ascii="Arial" w:hAnsi="Arial" w:cs="Arial"/>
          <w:sz w:val="24"/>
          <w:szCs w:val="24"/>
        </w:rPr>
        <w:t>que</w:t>
      </w:r>
      <w:r w:rsidR="00B7586D">
        <w:rPr>
          <w:rFonts w:ascii="Arial" w:hAnsi="Arial" w:cs="Arial"/>
          <w:sz w:val="24"/>
          <w:szCs w:val="24"/>
        </w:rPr>
        <w:t xml:space="preserve"> la Unidad</w:t>
      </w:r>
      <w:r w:rsidR="00D65636" w:rsidRPr="00D65636">
        <w:rPr>
          <w:rFonts w:ascii="Arial" w:hAnsi="Arial" w:cs="Arial"/>
          <w:sz w:val="24"/>
          <w:szCs w:val="24"/>
        </w:rPr>
        <w:t xml:space="preserve"> Compensadora de Va</w:t>
      </w:r>
      <w:r w:rsidR="00B7586D">
        <w:rPr>
          <w:rFonts w:ascii="Arial" w:hAnsi="Arial" w:cs="Arial"/>
          <w:sz w:val="24"/>
          <w:szCs w:val="24"/>
        </w:rPr>
        <w:t>lores</w:t>
      </w:r>
      <w:r w:rsidR="00D65636" w:rsidRPr="00D65636">
        <w:rPr>
          <w:rFonts w:ascii="Arial" w:hAnsi="Arial" w:cs="Arial"/>
          <w:sz w:val="24"/>
          <w:szCs w:val="24"/>
        </w:rPr>
        <w:t xml:space="preserve">, </w:t>
      </w:r>
      <w:r w:rsidR="00D65636">
        <w:rPr>
          <w:rFonts w:ascii="Arial" w:hAnsi="Arial" w:cs="Arial"/>
          <w:sz w:val="24"/>
          <w:szCs w:val="24"/>
        </w:rPr>
        <w:t>con</w:t>
      </w:r>
      <w:r w:rsidR="00D65636" w:rsidRPr="00D65636">
        <w:rPr>
          <w:rFonts w:ascii="Arial" w:hAnsi="Arial" w:cs="Arial"/>
          <w:sz w:val="24"/>
          <w:szCs w:val="24"/>
        </w:rPr>
        <w:t xml:space="preserve"> fecha </w:t>
      </w:r>
      <w:r w:rsidR="00D65636">
        <w:rPr>
          <w:rFonts w:ascii="Arial" w:hAnsi="Arial" w:cs="Arial"/>
          <w:sz w:val="24"/>
          <w:szCs w:val="24"/>
        </w:rPr>
        <w:t>27/11/18, modificó su estimación de gasto anual derivado de la</w:t>
      </w:r>
      <w:r w:rsidR="00B7586D">
        <w:rPr>
          <w:rFonts w:ascii="Arial" w:hAnsi="Arial" w:cs="Arial"/>
          <w:sz w:val="24"/>
          <w:szCs w:val="24"/>
        </w:rPr>
        <w:t xml:space="preserve"> presente </w:t>
      </w:r>
      <w:r w:rsidR="001843C1">
        <w:rPr>
          <w:rFonts w:ascii="Arial" w:hAnsi="Arial" w:cs="Arial"/>
          <w:sz w:val="24"/>
          <w:szCs w:val="24"/>
        </w:rPr>
        <w:t>co</w:t>
      </w:r>
      <w:r w:rsidR="00B7586D">
        <w:rPr>
          <w:rFonts w:ascii="Arial" w:hAnsi="Arial" w:cs="Arial"/>
          <w:sz w:val="24"/>
          <w:szCs w:val="24"/>
        </w:rPr>
        <w:t>ntratación, expresando que deberían destinarse $ 30:000.000 (IVA incluido</w:t>
      </w:r>
      <w:r w:rsidR="001C0666">
        <w:rPr>
          <w:rFonts w:ascii="Arial" w:hAnsi="Arial" w:cs="Arial"/>
          <w:sz w:val="24"/>
          <w:szCs w:val="24"/>
        </w:rPr>
        <w:t xml:space="preserve">) por año, lo que implica una </w:t>
      </w:r>
      <w:r w:rsidR="00B7586D">
        <w:rPr>
          <w:rFonts w:ascii="Arial" w:hAnsi="Arial" w:cs="Arial"/>
          <w:sz w:val="24"/>
          <w:szCs w:val="24"/>
        </w:rPr>
        <w:t xml:space="preserve"> erogación total para todo el período del contrato de a $ 60:000.000 (IVA incluido);</w:t>
      </w:r>
    </w:p>
    <w:p w:rsidR="00D65636" w:rsidRDefault="00AB1A2E" w:rsidP="00973F79">
      <w:pPr>
        <w:spacing w:after="0" w:line="360" w:lineRule="auto"/>
        <w:ind w:firstLine="2835"/>
        <w:jc w:val="both"/>
        <w:rPr>
          <w:rFonts w:ascii="Arial" w:hAnsi="Arial" w:cs="Arial"/>
          <w:sz w:val="24"/>
          <w:szCs w:val="24"/>
        </w:rPr>
      </w:pPr>
      <w:r>
        <w:rPr>
          <w:rFonts w:ascii="Arial" w:hAnsi="Arial" w:cs="Arial"/>
          <w:b/>
          <w:sz w:val="24"/>
          <w:szCs w:val="24"/>
        </w:rPr>
        <w:t>10</w:t>
      </w:r>
      <w:r w:rsidR="00B7586D" w:rsidRPr="00B7586D">
        <w:rPr>
          <w:rFonts w:ascii="Arial" w:hAnsi="Arial" w:cs="Arial"/>
          <w:b/>
          <w:sz w:val="24"/>
          <w:szCs w:val="24"/>
        </w:rPr>
        <w:t>)</w:t>
      </w:r>
      <w:r w:rsidR="00B7586D">
        <w:rPr>
          <w:rFonts w:ascii="Arial" w:hAnsi="Arial" w:cs="Arial"/>
          <w:sz w:val="24"/>
          <w:szCs w:val="24"/>
        </w:rPr>
        <w:t xml:space="preserve"> que la Comisión Asesora de Adjudicaciones, con fecha 05/12/18,</w:t>
      </w:r>
      <w:r w:rsidR="00A850C8">
        <w:rPr>
          <w:rFonts w:ascii="Arial" w:hAnsi="Arial" w:cs="Arial"/>
          <w:sz w:val="24"/>
          <w:szCs w:val="24"/>
        </w:rPr>
        <w:t xml:space="preserve"> teniendo en cuenta la información proporcionada por la Unidad Compensadora de Valores,</w:t>
      </w:r>
      <w:r w:rsidR="00B7586D">
        <w:rPr>
          <w:rFonts w:ascii="Arial" w:hAnsi="Arial" w:cs="Arial"/>
          <w:sz w:val="24"/>
          <w:szCs w:val="24"/>
        </w:rPr>
        <w:t xml:space="preserve"> </w:t>
      </w:r>
      <w:r w:rsidR="00A850C8">
        <w:rPr>
          <w:rFonts w:ascii="Arial" w:hAnsi="Arial" w:cs="Arial"/>
          <w:sz w:val="24"/>
          <w:szCs w:val="24"/>
        </w:rPr>
        <w:t xml:space="preserve">realizó un nuevo dictamen aconsejando </w:t>
      </w:r>
      <w:r w:rsidR="00B7586D">
        <w:rPr>
          <w:rFonts w:ascii="Arial" w:hAnsi="Arial" w:cs="Arial"/>
          <w:sz w:val="24"/>
          <w:szCs w:val="24"/>
        </w:rPr>
        <w:t>adjudicar a la referida firma por un monto máximo anual</w:t>
      </w:r>
      <w:r w:rsidR="00A850C8">
        <w:rPr>
          <w:rFonts w:ascii="Arial" w:hAnsi="Arial" w:cs="Arial"/>
          <w:sz w:val="24"/>
          <w:szCs w:val="24"/>
        </w:rPr>
        <w:t xml:space="preserve"> de $ 30:000.000 (IVA incluido) </w:t>
      </w:r>
      <w:r w:rsidR="0069671C">
        <w:rPr>
          <w:rFonts w:ascii="Arial" w:hAnsi="Arial" w:cs="Arial"/>
          <w:sz w:val="24"/>
          <w:szCs w:val="24"/>
        </w:rPr>
        <w:t xml:space="preserve"> </w:t>
      </w:r>
      <w:proofErr w:type="gramStart"/>
      <w:r w:rsidR="00A850C8">
        <w:rPr>
          <w:rFonts w:ascii="Arial" w:hAnsi="Arial" w:cs="Arial"/>
          <w:sz w:val="24"/>
          <w:szCs w:val="24"/>
        </w:rPr>
        <w:t>que</w:t>
      </w:r>
      <w:proofErr w:type="gramEnd"/>
      <w:r w:rsidR="00A850C8">
        <w:rPr>
          <w:rFonts w:ascii="Arial" w:hAnsi="Arial" w:cs="Arial"/>
          <w:sz w:val="24"/>
          <w:szCs w:val="24"/>
        </w:rPr>
        <w:t xml:space="preserve"> implica un monto máximo a adjudicar de $ 60:000.000 (IVA incluido)</w:t>
      </w:r>
      <w:r w:rsidR="0069671C">
        <w:rPr>
          <w:rFonts w:ascii="Arial" w:hAnsi="Arial" w:cs="Arial"/>
          <w:sz w:val="24"/>
          <w:szCs w:val="24"/>
        </w:rPr>
        <w:t xml:space="preserve"> teniendo en cuenta un plazo de contratación previsto de dos años</w:t>
      </w:r>
      <w:r w:rsidR="00B7586D">
        <w:rPr>
          <w:rFonts w:ascii="Arial" w:hAnsi="Arial" w:cs="Arial"/>
          <w:sz w:val="24"/>
          <w:szCs w:val="24"/>
        </w:rPr>
        <w:t>;</w:t>
      </w:r>
    </w:p>
    <w:p w:rsidR="0069671C" w:rsidRDefault="00AB1A2E" w:rsidP="00A4774C">
      <w:pPr>
        <w:spacing w:after="0" w:line="360" w:lineRule="auto"/>
        <w:ind w:firstLine="2835"/>
        <w:jc w:val="both"/>
        <w:rPr>
          <w:rFonts w:ascii="Arial" w:hAnsi="Arial" w:cs="Arial"/>
          <w:sz w:val="24"/>
          <w:szCs w:val="24"/>
        </w:rPr>
      </w:pPr>
      <w:r w:rsidRPr="00AB1A2E">
        <w:rPr>
          <w:rFonts w:ascii="Arial" w:hAnsi="Arial" w:cs="Arial"/>
          <w:b/>
          <w:sz w:val="24"/>
          <w:szCs w:val="24"/>
        </w:rPr>
        <w:t>1</w:t>
      </w:r>
      <w:r w:rsidR="00B7586D" w:rsidRPr="00AB1A2E">
        <w:rPr>
          <w:rFonts w:ascii="Arial" w:hAnsi="Arial" w:cs="Arial"/>
          <w:b/>
          <w:sz w:val="24"/>
          <w:szCs w:val="24"/>
        </w:rPr>
        <w:t>1)</w:t>
      </w:r>
      <w:r w:rsidR="00A850C8">
        <w:rPr>
          <w:rFonts w:ascii="Arial" w:hAnsi="Arial" w:cs="Arial"/>
          <w:b/>
          <w:sz w:val="24"/>
          <w:szCs w:val="24"/>
        </w:rPr>
        <w:t xml:space="preserve"> </w:t>
      </w:r>
      <w:r w:rsidR="0069671C" w:rsidRPr="0069671C">
        <w:rPr>
          <w:rFonts w:ascii="Arial" w:hAnsi="Arial" w:cs="Arial"/>
          <w:sz w:val="24"/>
          <w:szCs w:val="24"/>
        </w:rPr>
        <w:t>que</w:t>
      </w:r>
      <w:r w:rsidR="0069671C">
        <w:rPr>
          <w:rFonts w:ascii="Arial" w:hAnsi="Arial" w:cs="Arial"/>
          <w:b/>
          <w:sz w:val="24"/>
          <w:szCs w:val="24"/>
        </w:rPr>
        <w:t xml:space="preserve"> </w:t>
      </w:r>
      <w:r w:rsidR="0069671C">
        <w:rPr>
          <w:rFonts w:ascii="Arial" w:hAnsi="Arial" w:cs="Arial"/>
          <w:sz w:val="24"/>
          <w:szCs w:val="24"/>
        </w:rPr>
        <w:t>el Directorio,</w:t>
      </w:r>
      <w:r w:rsidR="00563FAA">
        <w:rPr>
          <w:rFonts w:ascii="Arial" w:hAnsi="Arial" w:cs="Arial"/>
          <w:sz w:val="24"/>
          <w:szCs w:val="24"/>
        </w:rPr>
        <w:t xml:space="preserve"> por </w:t>
      </w:r>
      <w:r w:rsidR="00AD7421" w:rsidRPr="00563FAA">
        <w:rPr>
          <w:rFonts w:ascii="Arial" w:hAnsi="Arial" w:cs="Arial"/>
          <w:sz w:val="24"/>
          <w:szCs w:val="24"/>
        </w:rPr>
        <w:t xml:space="preserve">Resolución </w:t>
      </w:r>
      <w:r w:rsidR="00563FAA" w:rsidRPr="00563FAA">
        <w:rPr>
          <w:rFonts w:ascii="Arial" w:hAnsi="Arial" w:cs="Arial"/>
          <w:sz w:val="24"/>
          <w:szCs w:val="24"/>
        </w:rPr>
        <w:t>de f</w:t>
      </w:r>
      <w:r w:rsidR="00AD7421" w:rsidRPr="00563FAA">
        <w:rPr>
          <w:rFonts w:ascii="Arial" w:hAnsi="Arial" w:cs="Arial"/>
          <w:sz w:val="24"/>
          <w:szCs w:val="24"/>
        </w:rPr>
        <w:t>echa</w:t>
      </w:r>
      <w:r>
        <w:rPr>
          <w:rFonts w:ascii="Arial" w:hAnsi="Arial" w:cs="Arial"/>
          <w:sz w:val="24"/>
          <w:szCs w:val="24"/>
        </w:rPr>
        <w:t xml:space="preserve"> 20/12/</w:t>
      </w:r>
      <w:r w:rsidR="00AD7421">
        <w:rPr>
          <w:rFonts w:ascii="Arial" w:hAnsi="Arial" w:cs="Arial"/>
          <w:sz w:val="24"/>
          <w:szCs w:val="24"/>
        </w:rPr>
        <w:t>18</w:t>
      </w:r>
      <w:r w:rsidR="0069671C">
        <w:rPr>
          <w:rFonts w:ascii="Arial" w:hAnsi="Arial" w:cs="Arial"/>
          <w:sz w:val="24"/>
          <w:szCs w:val="24"/>
        </w:rPr>
        <w:t>,</w:t>
      </w:r>
      <w:r w:rsidR="00AD7421">
        <w:rPr>
          <w:rFonts w:ascii="Arial" w:hAnsi="Arial" w:cs="Arial"/>
          <w:sz w:val="24"/>
          <w:szCs w:val="24"/>
        </w:rPr>
        <w:t xml:space="preserve"> dispuso </w:t>
      </w:r>
      <w:r w:rsidR="00563FAA">
        <w:rPr>
          <w:rFonts w:ascii="Arial" w:hAnsi="Arial" w:cs="Arial"/>
          <w:sz w:val="24"/>
          <w:szCs w:val="24"/>
        </w:rPr>
        <w:t xml:space="preserve">la adjudicación </w:t>
      </w:r>
      <w:r w:rsidR="0069671C">
        <w:rPr>
          <w:rFonts w:ascii="Arial" w:hAnsi="Arial" w:cs="Arial"/>
          <w:sz w:val="24"/>
          <w:szCs w:val="24"/>
        </w:rPr>
        <w:t xml:space="preserve">a </w:t>
      </w:r>
      <w:r w:rsidR="0069671C" w:rsidRPr="0069671C">
        <w:rPr>
          <w:rFonts w:ascii="Arial" w:hAnsi="Arial" w:cs="Arial"/>
          <w:sz w:val="24"/>
          <w:szCs w:val="24"/>
        </w:rPr>
        <w:t>Precodata S.A.</w:t>
      </w:r>
      <w:r w:rsidR="0069671C">
        <w:rPr>
          <w:rFonts w:ascii="Arial" w:hAnsi="Arial" w:cs="Arial"/>
          <w:sz w:val="24"/>
          <w:szCs w:val="24"/>
        </w:rPr>
        <w:t xml:space="preserve"> por un monto máximo por año</w:t>
      </w:r>
      <w:r w:rsidR="00A34A35">
        <w:rPr>
          <w:rFonts w:ascii="Arial" w:hAnsi="Arial" w:cs="Arial"/>
          <w:sz w:val="24"/>
          <w:szCs w:val="24"/>
        </w:rPr>
        <w:t xml:space="preserve"> de $ 30:000.000 (IVA incluido) </w:t>
      </w:r>
      <w:r w:rsidR="001C0666">
        <w:rPr>
          <w:rFonts w:ascii="Arial" w:hAnsi="Arial" w:cs="Arial"/>
          <w:sz w:val="24"/>
          <w:szCs w:val="24"/>
        </w:rPr>
        <w:t xml:space="preserve">(máximo de hasta $ 60:000.000 </w:t>
      </w:r>
      <w:r w:rsidR="0069671C">
        <w:rPr>
          <w:rFonts w:ascii="Arial" w:hAnsi="Arial" w:cs="Arial"/>
          <w:sz w:val="24"/>
          <w:szCs w:val="24"/>
        </w:rPr>
        <w:t>IVA incluido) para los dos años del contrato</w:t>
      </w:r>
      <w:r w:rsidR="00A34A35">
        <w:rPr>
          <w:rFonts w:ascii="Arial" w:hAnsi="Arial" w:cs="Arial"/>
          <w:sz w:val="24"/>
          <w:szCs w:val="24"/>
        </w:rPr>
        <w:t xml:space="preserve"> </w:t>
      </w:r>
      <w:r w:rsidR="0069671C">
        <w:rPr>
          <w:rFonts w:ascii="Arial" w:hAnsi="Arial" w:cs="Arial"/>
          <w:sz w:val="24"/>
          <w:szCs w:val="24"/>
        </w:rPr>
        <w:t xml:space="preserve">y un </w:t>
      </w:r>
      <w:r w:rsidR="001C0666">
        <w:rPr>
          <w:rFonts w:ascii="Arial" w:hAnsi="Arial" w:cs="Arial"/>
          <w:sz w:val="24"/>
          <w:szCs w:val="24"/>
        </w:rPr>
        <w:t xml:space="preserve">monto máximo de hasta </w:t>
      </w:r>
      <w:r w:rsidR="00A4774C">
        <w:rPr>
          <w:rFonts w:ascii="Arial" w:hAnsi="Arial" w:cs="Arial"/>
          <w:sz w:val="24"/>
          <w:szCs w:val="24"/>
        </w:rPr>
        <w:lastRenderedPageBreak/>
        <w:t xml:space="preserve">                         </w:t>
      </w:r>
      <w:r w:rsidR="001C0666">
        <w:rPr>
          <w:rFonts w:ascii="Arial" w:hAnsi="Arial" w:cs="Arial"/>
          <w:sz w:val="24"/>
          <w:szCs w:val="24"/>
        </w:rPr>
        <w:t>$</w:t>
      </w:r>
      <w:r w:rsidR="00A4774C">
        <w:rPr>
          <w:rFonts w:ascii="Arial" w:hAnsi="Arial" w:cs="Arial"/>
          <w:sz w:val="24"/>
          <w:szCs w:val="24"/>
        </w:rPr>
        <w:t xml:space="preserve"> </w:t>
      </w:r>
      <w:r w:rsidR="00A34A35">
        <w:rPr>
          <w:rFonts w:ascii="Arial" w:hAnsi="Arial" w:cs="Arial"/>
          <w:sz w:val="24"/>
          <w:szCs w:val="24"/>
        </w:rPr>
        <w:t>90:000.000 (IVA incluido) en caso de que el Banco haga uso de la prórroga por un año más</w:t>
      </w:r>
      <w:r w:rsidR="001C0666">
        <w:rPr>
          <w:rFonts w:ascii="Arial" w:hAnsi="Arial" w:cs="Arial"/>
          <w:sz w:val="24"/>
          <w:szCs w:val="24"/>
        </w:rPr>
        <w:t xml:space="preserve">, </w:t>
      </w:r>
      <w:r w:rsidR="00A34A35">
        <w:rPr>
          <w:rFonts w:ascii="Arial" w:hAnsi="Arial" w:cs="Arial"/>
          <w:sz w:val="24"/>
          <w:szCs w:val="24"/>
        </w:rPr>
        <w:t xml:space="preserve"> prevista en el Pliego</w:t>
      </w:r>
      <w:r w:rsidR="001C0666">
        <w:rPr>
          <w:rFonts w:ascii="Arial" w:hAnsi="Arial" w:cs="Arial"/>
          <w:sz w:val="24"/>
          <w:szCs w:val="24"/>
        </w:rPr>
        <w:t xml:space="preserve"> de Condi</w:t>
      </w:r>
      <w:r w:rsidR="009D41CB">
        <w:rPr>
          <w:rFonts w:ascii="Arial" w:hAnsi="Arial" w:cs="Arial"/>
          <w:sz w:val="24"/>
          <w:szCs w:val="24"/>
        </w:rPr>
        <w:t>c</w:t>
      </w:r>
      <w:r w:rsidR="001C0666">
        <w:rPr>
          <w:rFonts w:ascii="Arial" w:hAnsi="Arial" w:cs="Arial"/>
          <w:sz w:val="24"/>
          <w:szCs w:val="24"/>
        </w:rPr>
        <w:t>iones Particulares que rigió el llamado</w:t>
      </w:r>
      <w:r w:rsidR="00A34A35">
        <w:rPr>
          <w:rFonts w:ascii="Arial" w:hAnsi="Arial" w:cs="Arial"/>
          <w:sz w:val="24"/>
          <w:szCs w:val="24"/>
        </w:rPr>
        <w:t>;</w:t>
      </w:r>
    </w:p>
    <w:p w:rsidR="00524D7C" w:rsidRDefault="00563FAA" w:rsidP="00A4774C">
      <w:pPr>
        <w:spacing w:after="0" w:line="360" w:lineRule="auto"/>
        <w:ind w:firstLine="851"/>
        <w:jc w:val="both"/>
        <w:rPr>
          <w:rFonts w:ascii="Arial" w:eastAsia="Times New Roman" w:hAnsi="Arial" w:cs="Times New Roman"/>
          <w:bCs/>
          <w:sz w:val="24"/>
          <w:szCs w:val="20"/>
          <w:lang w:val="es-MX" w:eastAsia="es-ES"/>
        </w:rPr>
      </w:pPr>
      <w:r w:rsidRPr="00563FAA">
        <w:rPr>
          <w:rFonts w:ascii="Arial" w:hAnsi="Arial" w:cs="Arial"/>
          <w:b/>
          <w:sz w:val="24"/>
          <w:szCs w:val="24"/>
        </w:rPr>
        <w:t>CONSIDERANDO:</w:t>
      </w:r>
      <w:r w:rsidR="00A4774C" w:rsidRPr="00563FAA">
        <w:rPr>
          <w:rFonts w:ascii="Arial" w:hAnsi="Arial" w:cs="Arial"/>
          <w:b/>
          <w:sz w:val="24"/>
          <w:szCs w:val="24"/>
        </w:rPr>
        <w:t xml:space="preserve"> </w:t>
      </w:r>
      <w:r w:rsidRPr="00563FAA">
        <w:rPr>
          <w:rFonts w:ascii="Arial" w:hAnsi="Arial" w:cs="Arial"/>
          <w:b/>
          <w:sz w:val="24"/>
          <w:szCs w:val="24"/>
        </w:rPr>
        <w:t>1)</w:t>
      </w:r>
      <w:r w:rsidR="00524D7C" w:rsidRPr="00524D7C">
        <w:rPr>
          <w:rFonts w:ascii="Arial" w:eastAsia="Times New Roman" w:hAnsi="Arial" w:cs="Times New Roman"/>
          <w:bCs/>
          <w:sz w:val="24"/>
          <w:szCs w:val="20"/>
          <w:lang w:val="es-MX" w:eastAsia="es-ES"/>
        </w:rPr>
        <w:t xml:space="preserve"> </w:t>
      </w:r>
      <w:r w:rsidR="009957AE">
        <w:rPr>
          <w:rFonts w:ascii="Arial" w:eastAsia="Times New Roman" w:hAnsi="Arial" w:cs="Times New Roman"/>
          <w:bCs/>
          <w:sz w:val="24"/>
          <w:szCs w:val="20"/>
          <w:lang w:val="es-MX" w:eastAsia="es-ES"/>
        </w:rPr>
        <w:t xml:space="preserve">que </w:t>
      </w:r>
      <w:r w:rsidR="00524D7C">
        <w:rPr>
          <w:rFonts w:ascii="Arial" w:eastAsia="Times New Roman" w:hAnsi="Arial" w:cs="Times New Roman"/>
          <w:bCs/>
          <w:sz w:val="24"/>
          <w:szCs w:val="20"/>
          <w:lang w:val="es-MX" w:eastAsia="es-ES"/>
        </w:rPr>
        <w:t xml:space="preserve">el procedimiento se ajustó a lo dispuesto en el </w:t>
      </w:r>
      <w:r w:rsidR="00A4774C">
        <w:rPr>
          <w:rFonts w:ascii="Arial" w:eastAsia="Times New Roman" w:hAnsi="Arial" w:cs="Times New Roman"/>
          <w:bCs/>
          <w:sz w:val="24"/>
          <w:szCs w:val="20"/>
          <w:lang w:val="es-MX" w:eastAsia="es-ES"/>
        </w:rPr>
        <w:t>A</w:t>
      </w:r>
      <w:r w:rsidR="00524D7C">
        <w:rPr>
          <w:rFonts w:ascii="Arial" w:eastAsia="Times New Roman" w:hAnsi="Arial" w:cs="Times New Roman"/>
          <w:bCs/>
          <w:sz w:val="24"/>
          <w:szCs w:val="20"/>
          <w:lang w:val="es-MX" w:eastAsia="es-ES"/>
        </w:rPr>
        <w:t>rtículo 33 y siguientes del TOCAF y a las bases del llamado;</w:t>
      </w:r>
    </w:p>
    <w:p w:rsidR="00AD7421" w:rsidRDefault="00524D7C" w:rsidP="00A4774C">
      <w:pPr>
        <w:spacing w:after="0" w:line="360" w:lineRule="auto"/>
        <w:ind w:firstLine="2977"/>
        <w:jc w:val="both"/>
        <w:rPr>
          <w:rFonts w:ascii="Arial" w:hAnsi="Arial" w:cs="Arial"/>
          <w:sz w:val="24"/>
          <w:szCs w:val="24"/>
        </w:rPr>
      </w:pPr>
      <w:r w:rsidRPr="00524D7C">
        <w:rPr>
          <w:rFonts w:ascii="Arial" w:eastAsia="Times New Roman" w:hAnsi="Arial" w:cs="Times New Roman"/>
          <w:b/>
          <w:bCs/>
          <w:sz w:val="24"/>
          <w:szCs w:val="20"/>
          <w:lang w:val="es-MX" w:eastAsia="es-ES"/>
        </w:rPr>
        <w:t>2)</w:t>
      </w:r>
      <w:r>
        <w:rPr>
          <w:rFonts w:ascii="Arial" w:eastAsia="Times New Roman" w:hAnsi="Arial" w:cs="Times New Roman"/>
          <w:b/>
          <w:bCs/>
          <w:sz w:val="24"/>
          <w:szCs w:val="20"/>
          <w:lang w:val="es-MX" w:eastAsia="es-ES"/>
        </w:rPr>
        <w:t xml:space="preserve"> </w:t>
      </w:r>
      <w:r>
        <w:rPr>
          <w:rFonts w:ascii="Arial" w:eastAsia="Times New Roman" w:hAnsi="Arial" w:cs="Times New Roman"/>
          <w:bCs/>
          <w:sz w:val="24"/>
          <w:szCs w:val="20"/>
          <w:lang w:val="es-MX" w:eastAsia="es-ES"/>
        </w:rPr>
        <w:t xml:space="preserve">que no obstante, no se </w:t>
      </w:r>
      <w:r w:rsidR="00AD7421" w:rsidRPr="00524D7C">
        <w:rPr>
          <w:rFonts w:ascii="Arial" w:hAnsi="Arial" w:cs="Arial"/>
          <w:sz w:val="24"/>
          <w:szCs w:val="24"/>
        </w:rPr>
        <w:t xml:space="preserve">dio cumplimiento a </w:t>
      </w:r>
      <w:r w:rsidR="00AD7421" w:rsidRPr="00524D7C">
        <w:rPr>
          <w:rFonts w:ascii="Arial" w:hAnsi="Arial" w:cs="Arial"/>
          <w:sz w:val="24"/>
          <w:szCs w:val="24"/>
          <w:lang w:val="es-MX"/>
        </w:rPr>
        <w:t xml:space="preserve">lo establecido por el </w:t>
      </w:r>
      <w:r w:rsidR="00A4774C">
        <w:rPr>
          <w:rFonts w:ascii="Arial" w:hAnsi="Arial" w:cs="Arial"/>
          <w:sz w:val="24"/>
          <w:szCs w:val="24"/>
          <w:lang w:val="es-MX"/>
        </w:rPr>
        <w:t>A</w:t>
      </w:r>
      <w:r w:rsidR="00AD7421" w:rsidRPr="00524D7C">
        <w:rPr>
          <w:rFonts w:ascii="Arial" w:hAnsi="Arial" w:cs="Arial"/>
          <w:sz w:val="24"/>
          <w:szCs w:val="24"/>
          <w:lang w:val="es-MX"/>
        </w:rPr>
        <w:t>rtículo 13 numeral D)  de la Ordenanza del Tribunal de Cuentas Nº  27, de fecha 22.05.1958, que establece que en el informe de la Contaduría que corresponda deberá constar el grupo al que se imputa el gasto y su disponibilidad, siendo que en las actuaciones no luce</w:t>
      </w:r>
      <w:r w:rsidRPr="00524D7C">
        <w:rPr>
          <w:rFonts w:ascii="Arial" w:hAnsi="Arial" w:cs="Arial"/>
          <w:sz w:val="24"/>
          <w:szCs w:val="24"/>
          <w:lang w:val="es-MX"/>
        </w:rPr>
        <w:t xml:space="preserve"> el </w:t>
      </w:r>
      <w:r w:rsidR="00AD7421" w:rsidRPr="00524D7C">
        <w:rPr>
          <w:rFonts w:ascii="Arial" w:hAnsi="Arial" w:cs="Arial"/>
          <w:sz w:val="24"/>
          <w:szCs w:val="24"/>
        </w:rPr>
        <w:t>informe de disponibilid</w:t>
      </w:r>
      <w:r w:rsidRPr="00524D7C">
        <w:rPr>
          <w:rFonts w:ascii="Arial" w:hAnsi="Arial" w:cs="Arial"/>
          <w:sz w:val="24"/>
          <w:szCs w:val="24"/>
        </w:rPr>
        <w:t>ad presupuestal correspondiente al presente gasto;</w:t>
      </w:r>
    </w:p>
    <w:p w:rsidR="00524D7C" w:rsidRPr="00BA6B82" w:rsidRDefault="00524D7C" w:rsidP="00A4774C">
      <w:pPr>
        <w:tabs>
          <w:tab w:val="left" w:pos="-3420"/>
        </w:tabs>
        <w:spacing w:after="0" w:line="360" w:lineRule="auto"/>
        <w:ind w:firstLine="851"/>
        <w:jc w:val="both"/>
        <w:rPr>
          <w:rFonts w:ascii="Arial" w:eastAsia="Times New Roman" w:hAnsi="Arial" w:cs="Arial"/>
          <w:b/>
          <w:bCs/>
          <w:sz w:val="24"/>
          <w:szCs w:val="20"/>
          <w:lang w:val="es-MX" w:eastAsia="es-ES"/>
        </w:rPr>
      </w:pPr>
      <w:r w:rsidRPr="00BA6B82">
        <w:rPr>
          <w:rFonts w:ascii="Arial" w:eastAsia="Times New Roman" w:hAnsi="Arial" w:cs="Arial"/>
          <w:b/>
          <w:bCs/>
          <w:sz w:val="24"/>
          <w:szCs w:val="20"/>
          <w:lang w:val="es-ES" w:eastAsia="es-ES"/>
        </w:rPr>
        <w:t xml:space="preserve">ATENTO: </w:t>
      </w:r>
      <w:r w:rsidRPr="00BA6B82">
        <w:rPr>
          <w:rFonts w:ascii="Arial" w:eastAsia="Times New Roman" w:hAnsi="Arial" w:cs="Arial"/>
          <w:sz w:val="24"/>
          <w:szCs w:val="20"/>
          <w:lang w:val="es-ES" w:eastAsia="es-ES"/>
        </w:rPr>
        <w:t xml:space="preserve">a lo expuesto y a lo dispuesto por el </w:t>
      </w:r>
      <w:r w:rsidR="00A4774C">
        <w:rPr>
          <w:rFonts w:ascii="Arial" w:eastAsia="Times New Roman" w:hAnsi="Arial" w:cs="Arial"/>
          <w:sz w:val="24"/>
          <w:szCs w:val="20"/>
          <w:lang w:val="es-ES" w:eastAsia="es-ES"/>
        </w:rPr>
        <w:t>A</w:t>
      </w:r>
      <w:r w:rsidRPr="00BA6B82">
        <w:rPr>
          <w:rFonts w:ascii="Arial" w:eastAsia="Times New Roman" w:hAnsi="Arial" w:cs="Arial"/>
          <w:sz w:val="24"/>
          <w:szCs w:val="20"/>
          <w:lang w:val="es-ES" w:eastAsia="es-ES"/>
        </w:rPr>
        <w:t xml:space="preserve">rtículo 211 </w:t>
      </w:r>
      <w:r w:rsidR="00A4774C">
        <w:rPr>
          <w:rFonts w:ascii="Arial" w:eastAsia="Times New Roman" w:hAnsi="Arial" w:cs="Arial"/>
          <w:sz w:val="24"/>
          <w:szCs w:val="20"/>
          <w:lang w:val="es-ES" w:eastAsia="es-ES"/>
        </w:rPr>
        <w:t>L</w:t>
      </w:r>
      <w:r w:rsidRPr="00BA6B82">
        <w:rPr>
          <w:rFonts w:ascii="Arial" w:eastAsia="Times New Roman" w:hAnsi="Arial" w:cs="Arial"/>
          <w:sz w:val="24"/>
          <w:szCs w:val="20"/>
          <w:lang w:val="es-ES" w:eastAsia="es-ES"/>
        </w:rPr>
        <w:t>iteral B) de la Constitución de la República;</w:t>
      </w:r>
    </w:p>
    <w:p w:rsidR="00524D7C" w:rsidRPr="00BA6B82" w:rsidRDefault="00524D7C" w:rsidP="00A4774C">
      <w:pPr>
        <w:keepNext/>
        <w:spacing w:after="0" w:line="360" w:lineRule="auto"/>
        <w:jc w:val="center"/>
        <w:outlineLvl w:val="0"/>
        <w:rPr>
          <w:rFonts w:ascii="Arial" w:eastAsia="Times New Roman" w:hAnsi="Arial" w:cs="Arial"/>
          <w:sz w:val="24"/>
          <w:szCs w:val="20"/>
          <w:lang w:val="es-ES" w:eastAsia="es-ES"/>
        </w:rPr>
      </w:pPr>
      <w:r w:rsidRPr="00BA6B82">
        <w:rPr>
          <w:rFonts w:ascii="Arial" w:eastAsia="Times New Roman" w:hAnsi="Arial" w:cs="Arial"/>
          <w:b/>
          <w:bCs/>
          <w:sz w:val="24"/>
          <w:szCs w:val="20"/>
          <w:lang w:val="es-MX" w:eastAsia="es-ES"/>
        </w:rPr>
        <w:t>EL TRIBUNAL ACUERDA</w:t>
      </w:r>
    </w:p>
    <w:p w:rsidR="00524D7C" w:rsidRDefault="00524D7C" w:rsidP="00A4774C">
      <w:pPr>
        <w:spacing w:after="0" w:line="360" w:lineRule="auto"/>
        <w:ind w:left="284" w:hanging="284"/>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Cometer</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al Contador Delegado</w:t>
      </w:r>
      <w:r w:rsidRPr="00053412">
        <w:rPr>
          <w:rFonts w:ascii="Arial" w:eastAsia="Times New Roman" w:hAnsi="Arial" w:cs="Arial"/>
          <w:sz w:val="24"/>
          <w:szCs w:val="20"/>
          <w:lang w:val="es-MX" w:eastAsia="es-ES"/>
        </w:rPr>
        <w:t xml:space="preserve"> </w:t>
      </w:r>
      <w:r>
        <w:rPr>
          <w:rFonts w:ascii="Arial" w:eastAsia="Times New Roman" w:hAnsi="Arial" w:cs="Arial"/>
          <w:sz w:val="24"/>
          <w:szCs w:val="20"/>
          <w:lang w:val="es-MX" w:eastAsia="es-ES"/>
        </w:rPr>
        <w:t xml:space="preserve">la </w:t>
      </w:r>
      <w:r w:rsidRPr="00053412">
        <w:rPr>
          <w:rFonts w:ascii="Arial" w:eastAsia="Times New Roman" w:hAnsi="Arial" w:cs="Arial"/>
          <w:sz w:val="24"/>
          <w:szCs w:val="20"/>
          <w:lang w:val="es-MX" w:eastAsia="es-ES"/>
        </w:rPr>
        <w:t>intervención del gasto</w:t>
      </w:r>
      <w:r>
        <w:rPr>
          <w:rFonts w:ascii="Arial" w:eastAsia="Times New Roman" w:hAnsi="Arial" w:cs="Arial"/>
          <w:sz w:val="24"/>
          <w:szCs w:val="20"/>
          <w:lang w:val="es-MX" w:eastAsia="es-ES"/>
        </w:rPr>
        <w:t xml:space="preserve">, </w:t>
      </w:r>
      <w:r w:rsidR="00AB1A2E">
        <w:rPr>
          <w:rFonts w:ascii="Arial" w:eastAsia="Times New Roman" w:hAnsi="Arial" w:cs="Arial"/>
          <w:sz w:val="24"/>
          <w:szCs w:val="20"/>
          <w:lang w:val="es-MX" w:eastAsia="es-ES"/>
        </w:rPr>
        <w:t>una vez imputado al G</w:t>
      </w:r>
      <w:r w:rsidRPr="00053412">
        <w:rPr>
          <w:rFonts w:ascii="Arial" w:eastAsia="Times New Roman" w:hAnsi="Arial" w:cs="Arial"/>
          <w:sz w:val="24"/>
          <w:szCs w:val="20"/>
          <w:lang w:val="es-MX" w:eastAsia="es-ES"/>
        </w:rPr>
        <w:t>rupo adecuado con dispo</w:t>
      </w:r>
      <w:r>
        <w:rPr>
          <w:rFonts w:ascii="Arial" w:eastAsia="Times New Roman" w:hAnsi="Arial" w:cs="Arial"/>
          <w:sz w:val="24"/>
          <w:szCs w:val="20"/>
          <w:lang w:val="es-MX" w:eastAsia="es-ES"/>
        </w:rPr>
        <w:t>nibilidad suficiente;</w:t>
      </w:r>
    </w:p>
    <w:p w:rsidR="00524D7C" w:rsidRPr="00524D7C" w:rsidRDefault="00524D7C" w:rsidP="00E57E5F">
      <w:pPr>
        <w:spacing w:after="0" w:line="360" w:lineRule="auto"/>
        <w:jc w:val="both"/>
        <w:rPr>
          <w:rFonts w:ascii="Arial" w:eastAsia="Times New Roman" w:hAnsi="Arial" w:cs="Arial"/>
          <w:sz w:val="24"/>
          <w:szCs w:val="20"/>
          <w:lang w:val="es-MX" w:eastAsia="es-ES"/>
        </w:rPr>
      </w:pPr>
      <w:r w:rsidRPr="00524D7C">
        <w:rPr>
          <w:rFonts w:ascii="Arial" w:eastAsia="Times New Roman" w:hAnsi="Arial" w:cs="Arial"/>
          <w:b/>
          <w:sz w:val="24"/>
          <w:szCs w:val="20"/>
          <w:lang w:val="es-MX" w:eastAsia="es-ES"/>
        </w:rPr>
        <w:t xml:space="preserve">2) </w:t>
      </w:r>
      <w:r>
        <w:rPr>
          <w:rFonts w:ascii="Arial" w:eastAsia="Times New Roman" w:hAnsi="Arial" w:cs="Arial"/>
          <w:sz w:val="24"/>
          <w:szCs w:val="20"/>
          <w:lang w:val="es-MX" w:eastAsia="es-ES"/>
        </w:rPr>
        <w:t>Téngase presente lo establecido en el Considerando 2);</w:t>
      </w:r>
    </w:p>
    <w:p w:rsidR="00524D7C" w:rsidRPr="00053412" w:rsidRDefault="00524D7C" w:rsidP="00E57E5F">
      <w:pPr>
        <w:spacing w:after="0" w:line="360" w:lineRule="auto"/>
        <w:jc w:val="both"/>
        <w:rPr>
          <w:rFonts w:ascii="Arial" w:eastAsia="Times New Roman" w:hAnsi="Arial" w:cs="Arial"/>
          <w:sz w:val="24"/>
          <w:szCs w:val="20"/>
          <w:lang w:val="es-MX" w:eastAsia="es-ES"/>
        </w:rPr>
      </w:pPr>
      <w:r>
        <w:rPr>
          <w:rFonts w:ascii="Arial" w:eastAsia="Times New Roman" w:hAnsi="Arial" w:cs="Arial"/>
          <w:b/>
          <w:sz w:val="24"/>
          <w:szCs w:val="20"/>
          <w:lang w:val="es-MX" w:eastAsia="es-ES"/>
        </w:rPr>
        <w:t>3</w:t>
      </w:r>
      <w:r w:rsidRPr="00053412">
        <w:rPr>
          <w:rFonts w:ascii="Arial" w:eastAsia="Times New Roman" w:hAnsi="Arial" w:cs="Arial"/>
          <w:b/>
          <w:sz w:val="24"/>
          <w:szCs w:val="20"/>
          <w:lang w:val="es-MX" w:eastAsia="es-ES"/>
        </w:rPr>
        <w:t>)</w:t>
      </w:r>
      <w:r w:rsidRPr="00053412">
        <w:rPr>
          <w:rFonts w:ascii="Arial" w:eastAsia="Times New Roman" w:hAnsi="Arial" w:cs="Arial"/>
          <w:sz w:val="24"/>
          <w:szCs w:val="20"/>
          <w:lang w:val="es-MX" w:eastAsia="es-ES"/>
        </w:rPr>
        <w:t xml:space="preserve"> Comunicar </w:t>
      </w:r>
      <w:r>
        <w:rPr>
          <w:rFonts w:ascii="Arial" w:eastAsia="Times New Roman" w:hAnsi="Arial" w:cs="Arial"/>
          <w:sz w:val="24"/>
          <w:szCs w:val="20"/>
          <w:lang w:val="es-MX" w:eastAsia="es-ES"/>
        </w:rPr>
        <w:t>a al Contador Delegado; y</w:t>
      </w:r>
    </w:p>
    <w:p w:rsidR="00A4774C" w:rsidRDefault="00524D7C" w:rsidP="00E57E5F">
      <w:pPr>
        <w:spacing w:after="0" w:line="360" w:lineRule="auto"/>
        <w:jc w:val="both"/>
        <w:rPr>
          <w:rFonts w:ascii="Arial" w:eastAsia="Times New Roman" w:hAnsi="Arial" w:cs="Times New Roman"/>
          <w:sz w:val="24"/>
          <w:szCs w:val="20"/>
          <w:lang w:val="es-MX" w:eastAsia="es-ES"/>
        </w:rPr>
      </w:pPr>
      <w:r>
        <w:rPr>
          <w:rFonts w:ascii="Arial" w:eastAsia="Times New Roman" w:hAnsi="Arial" w:cs="Arial"/>
          <w:b/>
          <w:sz w:val="24"/>
          <w:szCs w:val="20"/>
          <w:lang w:val="es-MX" w:eastAsia="es-ES"/>
        </w:rPr>
        <w:t>4</w:t>
      </w:r>
      <w:r w:rsidRPr="00053412">
        <w:rPr>
          <w:rFonts w:ascii="Arial" w:eastAsia="Times New Roman" w:hAnsi="Arial" w:cs="Arial"/>
          <w:b/>
          <w:sz w:val="24"/>
          <w:szCs w:val="20"/>
          <w:lang w:val="es-MX" w:eastAsia="es-ES"/>
        </w:rPr>
        <w:t>)</w:t>
      </w:r>
      <w:r w:rsidRPr="00053412">
        <w:rPr>
          <w:rFonts w:ascii="Arial" w:eastAsia="Times New Roman" w:hAnsi="Arial" w:cs="Arial"/>
          <w:sz w:val="24"/>
          <w:szCs w:val="20"/>
          <w:lang w:val="es-MX" w:eastAsia="es-ES"/>
        </w:rPr>
        <w:t xml:space="preserve"> Devolver las actuaciones.</w:t>
      </w:r>
      <w:r>
        <w:rPr>
          <w:rFonts w:ascii="Arial" w:eastAsia="Times New Roman" w:hAnsi="Arial" w:cs="Times New Roman"/>
          <w:sz w:val="24"/>
          <w:szCs w:val="20"/>
          <w:lang w:val="es-MX" w:eastAsia="es-ES"/>
        </w:rPr>
        <w:t xml:space="preserve">               </w:t>
      </w:r>
    </w:p>
    <w:p w:rsidR="00A4774C" w:rsidRDefault="00A4774C" w:rsidP="00E57E5F">
      <w:pPr>
        <w:spacing w:after="0" w:line="360" w:lineRule="auto"/>
        <w:jc w:val="both"/>
        <w:rPr>
          <w:rFonts w:ascii="Arial" w:eastAsia="Times New Roman" w:hAnsi="Arial" w:cs="Times New Roman"/>
          <w:sz w:val="24"/>
          <w:szCs w:val="20"/>
          <w:lang w:val="es-MX" w:eastAsia="es-ES"/>
        </w:rPr>
      </w:pPr>
    </w:p>
    <w:p w:rsidR="00524D7C" w:rsidRDefault="00A4774C" w:rsidP="00E57E5F">
      <w:pPr>
        <w:spacing w:after="0" w:line="360" w:lineRule="auto"/>
        <w:jc w:val="both"/>
        <w:rPr>
          <w:rFonts w:ascii="Arial" w:eastAsia="Times New Roman" w:hAnsi="Arial" w:cs="Times New Roman"/>
          <w:sz w:val="24"/>
          <w:szCs w:val="20"/>
          <w:lang w:val="es-MX" w:eastAsia="es-ES"/>
        </w:rPr>
      </w:pPr>
      <w:proofErr w:type="spellStart"/>
      <w:proofErr w:type="gramStart"/>
      <w:r>
        <w:rPr>
          <w:rFonts w:ascii="Arial" w:eastAsia="Times New Roman" w:hAnsi="Arial" w:cs="Times New Roman"/>
          <w:sz w:val="24"/>
          <w:szCs w:val="20"/>
          <w:lang w:val="es-MX" w:eastAsia="es-ES"/>
        </w:rPr>
        <w:t>ag</w:t>
      </w:r>
      <w:bookmarkStart w:id="0" w:name="_GoBack"/>
      <w:bookmarkEnd w:id="0"/>
      <w:proofErr w:type="spellEnd"/>
      <w:proofErr w:type="gramEnd"/>
      <w:r w:rsidR="00524D7C">
        <w:rPr>
          <w:rFonts w:ascii="Arial" w:eastAsia="Times New Roman" w:hAnsi="Arial" w:cs="Times New Roman"/>
          <w:sz w:val="24"/>
          <w:szCs w:val="20"/>
          <w:lang w:val="es-MX" w:eastAsia="es-ES"/>
        </w:rPr>
        <w:t xml:space="preserve">         </w:t>
      </w:r>
    </w:p>
    <w:p w:rsidR="00524D7C" w:rsidRPr="003D0527" w:rsidRDefault="00524D7C" w:rsidP="00E57E5F">
      <w:pPr>
        <w:spacing w:after="0" w:line="360" w:lineRule="auto"/>
        <w:jc w:val="both"/>
        <w:rPr>
          <w:rFonts w:ascii="Arial" w:eastAsia="Times New Roman" w:hAnsi="Arial" w:cs="Times New Roman"/>
          <w:sz w:val="24"/>
          <w:szCs w:val="20"/>
          <w:lang w:val="es-MX" w:eastAsia="es-ES"/>
        </w:rPr>
      </w:pP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r>
      <w:r>
        <w:rPr>
          <w:rFonts w:ascii="Arial" w:eastAsia="Times New Roman" w:hAnsi="Arial" w:cs="Times New Roman"/>
          <w:sz w:val="24"/>
          <w:szCs w:val="20"/>
          <w:lang w:val="es-MX" w:eastAsia="es-ES"/>
        </w:rPr>
        <w:tab/>
        <w:t xml:space="preserve"> </w:t>
      </w:r>
      <w:r w:rsidRPr="00BA6B82">
        <w:rPr>
          <w:rFonts w:ascii="Arial" w:eastAsia="Times New Roman" w:hAnsi="Arial" w:cs="Arial"/>
          <w:sz w:val="24"/>
          <w:szCs w:val="20"/>
          <w:lang w:val="es-MX" w:eastAsia="es-ES"/>
        </w:rPr>
        <w:t xml:space="preserve"> </w:t>
      </w:r>
    </w:p>
    <w:p w:rsidR="00524D7C" w:rsidRDefault="00524D7C" w:rsidP="00E57E5F">
      <w:pPr>
        <w:spacing w:after="0" w:line="360" w:lineRule="auto"/>
        <w:jc w:val="both"/>
        <w:rPr>
          <w:rFonts w:ascii="Arial" w:eastAsia="Times New Roman" w:hAnsi="Arial" w:cs="Arial"/>
          <w:sz w:val="24"/>
          <w:szCs w:val="20"/>
          <w:lang w:val="es-MX" w:eastAsia="es-ES"/>
        </w:rPr>
      </w:pPr>
    </w:p>
    <w:sectPr w:rsidR="00524D7C" w:rsidSect="0049116E">
      <w:footerReference w:type="default" r:id="rId8"/>
      <w:type w:val="continuous"/>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79" w:rsidRDefault="00973F79" w:rsidP="00973F79">
      <w:pPr>
        <w:spacing w:after="0" w:line="240" w:lineRule="auto"/>
      </w:pPr>
      <w:r>
        <w:separator/>
      </w:r>
    </w:p>
  </w:endnote>
  <w:endnote w:type="continuationSeparator" w:id="0">
    <w:p w:rsidR="00973F79" w:rsidRDefault="00973F79" w:rsidP="0097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10920"/>
      <w:docPartObj>
        <w:docPartGallery w:val="Page Numbers (Bottom of Page)"/>
        <w:docPartUnique/>
      </w:docPartObj>
    </w:sdtPr>
    <w:sdtContent>
      <w:p w:rsidR="00973F79" w:rsidRDefault="00973F79">
        <w:pPr>
          <w:pStyle w:val="Piedepgina"/>
          <w:jc w:val="center"/>
        </w:pPr>
        <w:r>
          <w:fldChar w:fldCharType="begin"/>
        </w:r>
        <w:r>
          <w:instrText>PAGE   \* MERGEFORMAT</w:instrText>
        </w:r>
        <w:r>
          <w:fldChar w:fldCharType="separate"/>
        </w:r>
        <w:r w:rsidR="0049116E" w:rsidRPr="0049116E">
          <w:rPr>
            <w:noProof/>
            <w:lang w:val="es-ES"/>
          </w:rPr>
          <w:t>3</w:t>
        </w:r>
        <w:r>
          <w:fldChar w:fldCharType="end"/>
        </w:r>
      </w:p>
    </w:sdtContent>
  </w:sdt>
  <w:p w:rsidR="00973F79" w:rsidRDefault="00973F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79" w:rsidRDefault="00973F79" w:rsidP="00973F79">
      <w:pPr>
        <w:spacing w:after="0" w:line="240" w:lineRule="auto"/>
      </w:pPr>
      <w:r>
        <w:separator/>
      </w:r>
    </w:p>
  </w:footnote>
  <w:footnote w:type="continuationSeparator" w:id="0">
    <w:p w:rsidR="00973F79" w:rsidRDefault="00973F79" w:rsidP="00973F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3A"/>
    <w:rsid w:val="00054F54"/>
    <w:rsid w:val="000C4688"/>
    <w:rsid w:val="001843C1"/>
    <w:rsid w:val="001C0666"/>
    <w:rsid w:val="002412B3"/>
    <w:rsid w:val="0029612B"/>
    <w:rsid w:val="002B2D4E"/>
    <w:rsid w:val="00312C73"/>
    <w:rsid w:val="00355061"/>
    <w:rsid w:val="0042113A"/>
    <w:rsid w:val="00431B65"/>
    <w:rsid w:val="00471AAE"/>
    <w:rsid w:val="0049116E"/>
    <w:rsid w:val="00504B04"/>
    <w:rsid w:val="00522F6E"/>
    <w:rsid w:val="0052487C"/>
    <w:rsid w:val="00524D7C"/>
    <w:rsid w:val="00563FAA"/>
    <w:rsid w:val="005C739C"/>
    <w:rsid w:val="00683E8B"/>
    <w:rsid w:val="0069671C"/>
    <w:rsid w:val="006F5CBC"/>
    <w:rsid w:val="00704E3E"/>
    <w:rsid w:val="00717BA1"/>
    <w:rsid w:val="00792150"/>
    <w:rsid w:val="007D3394"/>
    <w:rsid w:val="00825C88"/>
    <w:rsid w:val="008A5E10"/>
    <w:rsid w:val="008E7FAB"/>
    <w:rsid w:val="009045F7"/>
    <w:rsid w:val="00973F79"/>
    <w:rsid w:val="009957AE"/>
    <w:rsid w:val="009C1A87"/>
    <w:rsid w:val="009C6A97"/>
    <w:rsid w:val="009D41CB"/>
    <w:rsid w:val="009E65E3"/>
    <w:rsid w:val="00A014D0"/>
    <w:rsid w:val="00A33102"/>
    <w:rsid w:val="00A34A35"/>
    <w:rsid w:val="00A4774C"/>
    <w:rsid w:val="00A67AFF"/>
    <w:rsid w:val="00A70FCA"/>
    <w:rsid w:val="00A850C8"/>
    <w:rsid w:val="00AB1A2E"/>
    <w:rsid w:val="00AB24A4"/>
    <w:rsid w:val="00AD01B7"/>
    <w:rsid w:val="00AD7421"/>
    <w:rsid w:val="00B12B85"/>
    <w:rsid w:val="00B5460B"/>
    <w:rsid w:val="00B7586D"/>
    <w:rsid w:val="00B90725"/>
    <w:rsid w:val="00BD45C8"/>
    <w:rsid w:val="00BE0C60"/>
    <w:rsid w:val="00BE6F77"/>
    <w:rsid w:val="00C5581B"/>
    <w:rsid w:val="00C6660D"/>
    <w:rsid w:val="00CE0FE6"/>
    <w:rsid w:val="00CE3519"/>
    <w:rsid w:val="00D05304"/>
    <w:rsid w:val="00D21CBB"/>
    <w:rsid w:val="00D22015"/>
    <w:rsid w:val="00D65636"/>
    <w:rsid w:val="00D74CB3"/>
    <w:rsid w:val="00D8265E"/>
    <w:rsid w:val="00D82B4E"/>
    <w:rsid w:val="00E57E5F"/>
    <w:rsid w:val="00E9215A"/>
    <w:rsid w:val="00EE0487"/>
    <w:rsid w:val="00F1573A"/>
    <w:rsid w:val="00F7335F"/>
    <w:rsid w:val="00F915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Encabezado">
    <w:name w:val="header"/>
    <w:basedOn w:val="Normal"/>
    <w:link w:val="EncabezadoCar"/>
    <w:uiPriority w:val="99"/>
    <w:unhideWhenUsed/>
    <w:rsid w:val="00973F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3F79"/>
  </w:style>
  <w:style w:type="paragraph" w:styleId="Piedepgina">
    <w:name w:val="footer"/>
    <w:basedOn w:val="Normal"/>
    <w:link w:val="PiedepginaCar"/>
    <w:uiPriority w:val="99"/>
    <w:unhideWhenUsed/>
    <w:rsid w:val="00973F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3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Encabezado">
    <w:name w:val="header"/>
    <w:basedOn w:val="Normal"/>
    <w:link w:val="EncabezadoCar"/>
    <w:uiPriority w:val="99"/>
    <w:unhideWhenUsed/>
    <w:rsid w:val="00973F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3F79"/>
  </w:style>
  <w:style w:type="paragraph" w:styleId="Piedepgina">
    <w:name w:val="footer"/>
    <w:basedOn w:val="Normal"/>
    <w:link w:val="PiedepginaCar"/>
    <w:uiPriority w:val="99"/>
    <w:unhideWhenUsed/>
    <w:rsid w:val="00973F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CA21-C14D-457E-BF13-30599E00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768</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9</cp:revision>
  <cp:lastPrinted>2019-02-07T17:05:00Z</cp:lastPrinted>
  <dcterms:created xsi:type="dcterms:W3CDTF">2019-02-07T15:54:00Z</dcterms:created>
  <dcterms:modified xsi:type="dcterms:W3CDTF">2019-02-07T17:05:00Z</dcterms:modified>
</cp:coreProperties>
</file>