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5D3" w:rsidRPr="00786EEB" w:rsidRDefault="008905D3"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 xml:space="preserve">RES. </w:t>
      </w:r>
      <w:r w:rsidR="000C0224">
        <w:rPr>
          <w:rFonts w:cs="Arial"/>
          <w:b/>
          <w:sz w:val="28"/>
          <w:szCs w:val="28"/>
          <w:lang w:val="es-ES_tradnl"/>
        </w:rPr>
        <w:t>471</w:t>
      </w:r>
      <w:r>
        <w:rPr>
          <w:rFonts w:cs="Arial"/>
          <w:b/>
          <w:sz w:val="28"/>
          <w:szCs w:val="28"/>
          <w:lang w:val="es-ES_tradnl"/>
        </w:rPr>
        <w:t>/19</w:t>
      </w:r>
    </w:p>
    <w:p w:rsidR="008905D3" w:rsidRDefault="008905D3" w:rsidP="00786EEB">
      <w:pPr>
        <w:tabs>
          <w:tab w:val="center" w:pos="4253"/>
        </w:tabs>
        <w:suppressAutoHyphens/>
        <w:jc w:val="right"/>
        <w:rPr>
          <w:rFonts w:cs="Arial"/>
          <w:b/>
          <w:lang w:val="es-ES_tradnl"/>
        </w:rPr>
      </w:pPr>
    </w:p>
    <w:p w:rsidR="008905D3" w:rsidRPr="00762B34" w:rsidRDefault="008905D3">
      <w:pPr>
        <w:tabs>
          <w:tab w:val="center" w:pos="4253"/>
        </w:tabs>
        <w:suppressAutoHyphens/>
        <w:jc w:val="center"/>
        <w:rPr>
          <w:rFonts w:cs="Arial"/>
          <w:b/>
          <w:lang w:val="es-ES_tradnl"/>
        </w:rPr>
      </w:pPr>
      <w:r w:rsidRPr="00762B34">
        <w:rPr>
          <w:rFonts w:cs="Arial"/>
          <w:b/>
          <w:lang w:val="es-ES_tradnl"/>
        </w:rPr>
        <w:t>RESOLUCION ADOPTADA POR EL</w:t>
      </w:r>
    </w:p>
    <w:p w:rsidR="008905D3" w:rsidRPr="00762B34" w:rsidRDefault="008905D3">
      <w:pPr>
        <w:tabs>
          <w:tab w:val="left" w:pos="-720"/>
        </w:tabs>
        <w:suppressAutoHyphens/>
        <w:jc w:val="center"/>
        <w:rPr>
          <w:rFonts w:cs="Arial"/>
          <w:b/>
          <w:lang w:val="es-ES_tradnl"/>
        </w:rPr>
      </w:pPr>
    </w:p>
    <w:p w:rsidR="008905D3" w:rsidRPr="00762B34" w:rsidRDefault="008905D3">
      <w:pPr>
        <w:tabs>
          <w:tab w:val="center" w:pos="4253"/>
        </w:tabs>
        <w:suppressAutoHyphens/>
        <w:jc w:val="center"/>
        <w:rPr>
          <w:rFonts w:cs="Arial"/>
          <w:b/>
          <w:lang w:val="es-ES_tradnl"/>
        </w:rPr>
      </w:pPr>
      <w:r w:rsidRPr="00762B34">
        <w:rPr>
          <w:rFonts w:cs="Arial"/>
          <w:b/>
          <w:lang w:val="es-ES_tradnl"/>
        </w:rPr>
        <w:t>TRIBUNAL DE CUENTAS</w:t>
      </w:r>
    </w:p>
    <w:p w:rsidR="008905D3" w:rsidRPr="00762B34" w:rsidRDefault="008905D3">
      <w:pPr>
        <w:tabs>
          <w:tab w:val="left" w:pos="-720"/>
        </w:tabs>
        <w:suppressAutoHyphens/>
        <w:jc w:val="center"/>
        <w:rPr>
          <w:rFonts w:cs="Arial"/>
          <w:b/>
          <w:lang w:val="es-ES_tradnl"/>
        </w:rPr>
      </w:pPr>
    </w:p>
    <w:p w:rsidR="008905D3" w:rsidRPr="00762B34" w:rsidRDefault="008905D3">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13 DE FEBRERO </w:t>
      </w:r>
      <w:r>
        <w:rPr>
          <w:rFonts w:ascii="Helvetica" w:hAnsi="Helvetica"/>
          <w:b/>
          <w:lang w:val="es-ES_tradnl"/>
        </w:rPr>
        <w:t>DE 2019</w:t>
      </w:r>
    </w:p>
    <w:p w:rsidR="008905D3" w:rsidRPr="00762B34" w:rsidRDefault="008905D3">
      <w:pPr>
        <w:tabs>
          <w:tab w:val="center" w:pos="4253"/>
        </w:tabs>
        <w:suppressAutoHyphens/>
        <w:jc w:val="center"/>
        <w:rPr>
          <w:rFonts w:cs="Arial"/>
          <w:b/>
          <w:lang w:val="es-ES_tradnl"/>
        </w:rPr>
      </w:pPr>
    </w:p>
    <w:p w:rsidR="008905D3" w:rsidRPr="00D81800" w:rsidRDefault="008905D3">
      <w:pPr>
        <w:tabs>
          <w:tab w:val="center" w:pos="4253"/>
        </w:tabs>
        <w:suppressAutoHyphens/>
        <w:jc w:val="center"/>
        <w:rPr>
          <w:rFonts w:cs="Arial"/>
          <w:b/>
          <w:lang w:val="es-UY"/>
        </w:rPr>
      </w:pPr>
      <w:r w:rsidRPr="00D81800">
        <w:rPr>
          <w:rFonts w:cs="Arial"/>
          <w:b/>
          <w:lang w:val="es-UY"/>
        </w:rPr>
        <w:t xml:space="preserve">(E. E. Nº </w:t>
      </w:r>
      <w:r w:rsidRPr="00561B16">
        <w:rPr>
          <w:rFonts w:cs="Arial"/>
          <w:b/>
          <w:lang w:val="es-UY"/>
        </w:rPr>
        <w:t>201</w:t>
      </w:r>
      <w:r>
        <w:rPr>
          <w:rFonts w:cs="Arial"/>
          <w:b/>
          <w:lang w:val="es-UY"/>
        </w:rPr>
        <w:t>8</w:t>
      </w:r>
      <w:r w:rsidRPr="00561B16">
        <w:rPr>
          <w:rFonts w:cs="Arial"/>
          <w:b/>
          <w:lang w:val="es-UY"/>
        </w:rPr>
        <w:t>-17-1-000</w:t>
      </w:r>
      <w:r>
        <w:rPr>
          <w:rFonts w:cs="Arial"/>
          <w:b/>
          <w:lang w:val="es-UY"/>
        </w:rPr>
        <w:t>4412</w:t>
      </w:r>
      <w:r w:rsidRPr="00D81800">
        <w:rPr>
          <w:rFonts w:cs="Arial"/>
          <w:b/>
          <w:lang w:val="es-UY"/>
        </w:rPr>
        <w:t xml:space="preserve">, </w:t>
      </w:r>
      <w:proofErr w:type="spellStart"/>
      <w:r w:rsidRPr="00D81800">
        <w:rPr>
          <w:rFonts w:cs="Arial"/>
          <w:b/>
          <w:lang w:val="es-UY"/>
        </w:rPr>
        <w:t>Ent</w:t>
      </w:r>
      <w:proofErr w:type="spellEnd"/>
      <w:r w:rsidRPr="00D81800">
        <w:rPr>
          <w:rFonts w:cs="Arial"/>
          <w:b/>
          <w:lang w:val="es-UY"/>
        </w:rPr>
        <w:t xml:space="preserve">. N° </w:t>
      </w:r>
      <w:r>
        <w:rPr>
          <w:rFonts w:cs="Arial"/>
          <w:b/>
          <w:lang w:val="es-UY"/>
        </w:rPr>
        <w:t>3322/18</w:t>
      </w:r>
      <w:r w:rsidRPr="00D81800">
        <w:rPr>
          <w:rFonts w:cs="Arial"/>
          <w:b/>
          <w:lang w:val="es-UY"/>
        </w:rPr>
        <w:t>)</w:t>
      </w:r>
    </w:p>
    <w:p w:rsidR="001A0427" w:rsidRDefault="001A0427" w:rsidP="001A0427">
      <w:pPr>
        <w:tabs>
          <w:tab w:val="left" w:pos="-720"/>
        </w:tabs>
        <w:suppressAutoHyphens/>
        <w:spacing w:line="360" w:lineRule="auto"/>
        <w:jc w:val="both"/>
        <w:rPr>
          <w:rFonts w:cs="Arial"/>
          <w:b/>
          <w:lang w:val="es-ES_tradnl"/>
        </w:rPr>
      </w:pPr>
    </w:p>
    <w:p w:rsidR="001A0427" w:rsidRPr="009D27AB" w:rsidRDefault="00561B16" w:rsidP="001A0427">
      <w:pPr>
        <w:autoSpaceDE w:val="0"/>
        <w:autoSpaceDN w:val="0"/>
        <w:adjustRightInd w:val="0"/>
        <w:spacing w:line="360" w:lineRule="auto"/>
        <w:ind w:firstLine="851"/>
        <w:jc w:val="both"/>
        <w:rPr>
          <w:rFonts w:cs="Arial"/>
        </w:rPr>
      </w:pPr>
      <w:r>
        <w:rPr>
          <w:rFonts w:cs="Arial"/>
          <w:b/>
          <w:bCs/>
        </w:rPr>
        <w:t>V</w:t>
      </w:r>
      <w:r w:rsidR="001A0427" w:rsidRPr="009D27AB">
        <w:rPr>
          <w:rFonts w:cs="Arial"/>
          <w:b/>
          <w:bCs/>
        </w:rPr>
        <w:t xml:space="preserve">ISTO: </w:t>
      </w:r>
      <w:r w:rsidR="001A0427" w:rsidRPr="009D27AB">
        <w:rPr>
          <w:rFonts w:cs="Arial"/>
        </w:rPr>
        <w:t xml:space="preserve">la Rendición de Cuentas y Balance de Ejecución Presupuestal de la Intendencia de </w:t>
      </w:r>
      <w:r w:rsidR="00497D9F">
        <w:rPr>
          <w:rFonts w:cs="Arial"/>
        </w:rPr>
        <w:t>Florida</w:t>
      </w:r>
      <w:r w:rsidR="001A0427" w:rsidRPr="009D27AB">
        <w:rPr>
          <w:rFonts w:cs="Arial"/>
        </w:rPr>
        <w:t xml:space="preserve"> correspondiente al ejercicio 201</w:t>
      </w:r>
      <w:r w:rsidR="003D1F4F">
        <w:rPr>
          <w:rFonts w:cs="Arial"/>
        </w:rPr>
        <w:t>7</w:t>
      </w:r>
      <w:r w:rsidR="001A0427" w:rsidRPr="009D27AB">
        <w:rPr>
          <w:rFonts w:cs="Arial"/>
        </w:rPr>
        <w:t>;</w:t>
      </w:r>
    </w:p>
    <w:p w:rsidR="001A0427" w:rsidRPr="009D27AB" w:rsidRDefault="001A0427" w:rsidP="001A0427">
      <w:pPr>
        <w:tabs>
          <w:tab w:val="left" w:pos="284"/>
        </w:tabs>
        <w:autoSpaceDE w:val="0"/>
        <w:autoSpaceDN w:val="0"/>
        <w:adjustRightInd w:val="0"/>
        <w:spacing w:line="360" w:lineRule="auto"/>
        <w:ind w:firstLine="851"/>
        <w:jc w:val="both"/>
        <w:rPr>
          <w:rFonts w:cs="Arial"/>
        </w:rPr>
      </w:pPr>
      <w:r w:rsidRPr="009D27AB">
        <w:rPr>
          <w:rFonts w:cs="Arial"/>
          <w:b/>
          <w:bCs/>
        </w:rPr>
        <w:t xml:space="preserve">RESULTANDO: </w:t>
      </w:r>
      <w:r w:rsidRPr="009D27AB">
        <w:rPr>
          <w:rFonts w:cs="Arial"/>
        </w:rPr>
        <w:t>que el examen se efectuó de acuerdo con los Principios Fundamentales de Auditoría (ISSAI 100 y 200) y las Directrices</w:t>
      </w:r>
      <w:r w:rsidR="00013493">
        <w:rPr>
          <w:rFonts w:cs="Arial"/>
        </w:rPr>
        <w:t xml:space="preserve"> de Auditoría Financiera </w:t>
      </w:r>
      <w:r w:rsidRPr="009D27AB">
        <w:rPr>
          <w:rFonts w:cs="Arial"/>
        </w:rPr>
        <w:t>de la Organización Internacional de Entidades Fiscalizadoras Superiores (INTOSAI), habiéndose llevado a cabo los procedimientos considerados necesarios en las circunstancias;</w:t>
      </w:r>
    </w:p>
    <w:p w:rsidR="001A0427" w:rsidRPr="009D27AB" w:rsidRDefault="001A0427" w:rsidP="001A0427">
      <w:pPr>
        <w:autoSpaceDE w:val="0"/>
        <w:autoSpaceDN w:val="0"/>
        <w:adjustRightInd w:val="0"/>
        <w:spacing w:line="360" w:lineRule="auto"/>
        <w:ind w:firstLine="851"/>
        <w:jc w:val="both"/>
        <w:rPr>
          <w:rFonts w:cs="Arial"/>
        </w:rPr>
      </w:pPr>
      <w:r w:rsidRPr="009D27AB">
        <w:rPr>
          <w:rFonts w:cs="Arial"/>
          <w:b/>
          <w:bCs/>
        </w:rPr>
        <w:t xml:space="preserve">CONSIDERANDO: </w:t>
      </w:r>
      <w:r w:rsidRPr="009D27AB">
        <w:rPr>
          <w:rFonts w:cs="Arial"/>
        </w:rPr>
        <w:t>que las conclusiones y evidencias obtenidas son las que se expresan en el Informe de Auditoría, que incluye Dictamen e Informe a la Administración;</w:t>
      </w:r>
    </w:p>
    <w:p w:rsidR="001A0427" w:rsidRPr="009D27AB" w:rsidRDefault="001A0427" w:rsidP="001A0427">
      <w:pPr>
        <w:autoSpaceDE w:val="0"/>
        <w:autoSpaceDN w:val="0"/>
        <w:adjustRightInd w:val="0"/>
        <w:spacing w:line="360" w:lineRule="auto"/>
        <w:ind w:firstLine="851"/>
        <w:jc w:val="both"/>
        <w:rPr>
          <w:rFonts w:cs="Arial"/>
        </w:rPr>
      </w:pPr>
      <w:r w:rsidRPr="009D27AB">
        <w:rPr>
          <w:rFonts w:cs="Arial"/>
          <w:b/>
          <w:bCs/>
        </w:rPr>
        <w:t xml:space="preserve">ATENTO: </w:t>
      </w:r>
      <w:r w:rsidRPr="009D27AB">
        <w:rPr>
          <w:rFonts w:cs="Arial"/>
        </w:rPr>
        <w:t>a lo dispuesto por el Artículo 211 Literal C) de la Constitución de la República;</w:t>
      </w:r>
    </w:p>
    <w:p w:rsidR="001A0427" w:rsidRPr="009D27AB" w:rsidRDefault="001A0427" w:rsidP="001A0427">
      <w:pPr>
        <w:autoSpaceDE w:val="0"/>
        <w:autoSpaceDN w:val="0"/>
        <w:adjustRightInd w:val="0"/>
        <w:spacing w:line="360" w:lineRule="auto"/>
        <w:jc w:val="center"/>
        <w:rPr>
          <w:rFonts w:cs="Arial"/>
          <w:b/>
          <w:bCs/>
        </w:rPr>
      </w:pPr>
      <w:r w:rsidRPr="009D27AB">
        <w:rPr>
          <w:rFonts w:cs="Arial"/>
          <w:b/>
          <w:bCs/>
        </w:rPr>
        <w:t>EL TRIBUNAL ACUERDA</w:t>
      </w:r>
    </w:p>
    <w:p w:rsidR="001A0427" w:rsidRPr="00561B16" w:rsidRDefault="008905D3" w:rsidP="008905D3">
      <w:pPr>
        <w:pStyle w:val="Prrafodelista"/>
        <w:numPr>
          <w:ilvl w:val="0"/>
          <w:numId w:val="1"/>
        </w:numPr>
        <w:tabs>
          <w:tab w:val="left" w:pos="284"/>
        </w:tabs>
        <w:autoSpaceDE w:val="0"/>
        <w:autoSpaceDN w:val="0"/>
        <w:adjustRightInd w:val="0"/>
        <w:spacing w:line="360" w:lineRule="auto"/>
        <w:ind w:left="0" w:firstLine="0"/>
        <w:jc w:val="both"/>
        <w:rPr>
          <w:rFonts w:cs="Arial"/>
        </w:rPr>
      </w:pPr>
      <w:r>
        <w:rPr>
          <w:rFonts w:cs="Arial"/>
        </w:rPr>
        <w:t xml:space="preserve">  </w:t>
      </w:r>
      <w:r w:rsidR="001A0427" w:rsidRPr="00561B16">
        <w:rPr>
          <w:rFonts w:cs="Arial"/>
        </w:rPr>
        <w:t>Expedirse en los términos del Informe de Auditoría que se adjunta</w:t>
      </w:r>
      <w:r w:rsidR="00D55ACA">
        <w:rPr>
          <w:rFonts w:cs="Arial"/>
        </w:rPr>
        <w:t>;</w:t>
      </w:r>
    </w:p>
    <w:p w:rsidR="001A0427" w:rsidRPr="009D27AB" w:rsidRDefault="008905D3" w:rsidP="008905D3">
      <w:pPr>
        <w:autoSpaceDE w:val="0"/>
        <w:autoSpaceDN w:val="0"/>
        <w:adjustRightInd w:val="0"/>
        <w:spacing w:line="360" w:lineRule="auto"/>
        <w:ind w:left="426" w:hanging="426"/>
        <w:jc w:val="both"/>
        <w:rPr>
          <w:rFonts w:cs="Arial"/>
        </w:rPr>
      </w:pPr>
      <w:r>
        <w:rPr>
          <w:rFonts w:cs="Arial"/>
          <w:b/>
          <w:bCs/>
        </w:rPr>
        <w:t xml:space="preserve">2) </w:t>
      </w:r>
      <w:r w:rsidR="001A0427" w:rsidRPr="009D27AB">
        <w:rPr>
          <w:rFonts w:cs="Arial"/>
        </w:rPr>
        <w:t xml:space="preserve">Comunicar la presente Resolución a la Intendencia y a la Junta </w:t>
      </w:r>
      <w:r w:rsidR="00561B16">
        <w:rPr>
          <w:rFonts w:cs="Arial"/>
        </w:rPr>
        <w:t xml:space="preserve"> </w:t>
      </w:r>
      <w:r>
        <w:rPr>
          <w:rFonts w:cs="Arial"/>
        </w:rPr>
        <w:t xml:space="preserve">              </w:t>
      </w:r>
      <w:r w:rsidR="001A0427" w:rsidRPr="009D27AB">
        <w:rPr>
          <w:rFonts w:cs="Arial"/>
        </w:rPr>
        <w:t xml:space="preserve">Departamental de </w:t>
      </w:r>
      <w:r w:rsidR="00497D9F">
        <w:rPr>
          <w:rFonts w:cs="Arial"/>
        </w:rPr>
        <w:t>Florida</w:t>
      </w:r>
      <w:r w:rsidR="00D55ACA">
        <w:rPr>
          <w:rFonts w:cs="Arial"/>
        </w:rPr>
        <w:t>;</w:t>
      </w:r>
    </w:p>
    <w:p w:rsidR="001A0427" w:rsidRPr="009D27AB" w:rsidRDefault="001A0427" w:rsidP="008905D3">
      <w:pPr>
        <w:autoSpaceDE w:val="0"/>
        <w:autoSpaceDN w:val="0"/>
        <w:adjustRightInd w:val="0"/>
        <w:spacing w:line="360" w:lineRule="auto"/>
        <w:ind w:left="284" w:hanging="284"/>
        <w:jc w:val="both"/>
        <w:rPr>
          <w:rFonts w:cs="Arial"/>
        </w:rPr>
      </w:pPr>
      <w:r w:rsidRPr="009D27AB">
        <w:rPr>
          <w:rFonts w:cs="Arial"/>
          <w:b/>
          <w:bCs/>
        </w:rPr>
        <w:t xml:space="preserve">3) </w:t>
      </w:r>
      <w:r w:rsidR="008905D3">
        <w:rPr>
          <w:rFonts w:cs="Arial"/>
          <w:b/>
          <w:bCs/>
        </w:rPr>
        <w:t xml:space="preserve">  </w:t>
      </w:r>
      <w:r w:rsidRPr="009D27AB">
        <w:rPr>
          <w:rFonts w:cs="Arial"/>
        </w:rPr>
        <w:t>Dar cuenta a la Asamblea General.</w:t>
      </w:r>
    </w:p>
    <w:p w:rsidR="001A0427" w:rsidRPr="009D27AB" w:rsidRDefault="001A0427" w:rsidP="001A0427">
      <w:pPr>
        <w:autoSpaceDE w:val="0"/>
        <w:autoSpaceDN w:val="0"/>
        <w:adjustRightInd w:val="0"/>
        <w:spacing w:line="360" w:lineRule="auto"/>
        <w:jc w:val="both"/>
        <w:rPr>
          <w:rFonts w:cs="Arial"/>
        </w:rPr>
      </w:pPr>
    </w:p>
    <w:p w:rsidR="001A0427" w:rsidRDefault="008905D3" w:rsidP="001A0427">
      <w:pPr>
        <w:widowControl w:val="0"/>
        <w:spacing w:line="360" w:lineRule="auto"/>
        <w:jc w:val="both"/>
        <w:rPr>
          <w:rFonts w:cs="Arial"/>
          <w:sz w:val="20"/>
          <w:szCs w:val="20"/>
        </w:rPr>
      </w:pPr>
      <w:r>
        <w:rPr>
          <w:rFonts w:cs="Arial"/>
          <w:sz w:val="20"/>
          <w:szCs w:val="20"/>
        </w:rPr>
        <w:t>CLC</w:t>
      </w:r>
    </w:p>
    <w:p w:rsidR="00D81800" w:rsidRDefault="00D81800" w:rsidP="001A0427">
      <w:pPr>
        <w:widowControl w:val="0"/>
        <w:spacing w:line="360" w:lineRule="auto"/>
        <w:jc w:val="both"/>
        <w:rPr>
          <w:rFonts w:cs="Arial"/>
          <w:sz w:val="20"/>
          <w:szCs w:val="20"/>
        </w:rPr>
      </w:pPr>
    </w:p>
    <w:p w:rsidR="00D81800" w:rsidRDefault="00D81800" w:rsidP="001A0427">
      <w:pPr>
        <w:widowControl w:val="0"/>
        <w:spacing w:line="360" w:lineRule="auto"/>
        <w:jc w:val="both"/>
        <w:rPr>
          <w:rFonts w:cs="Arial"/>
          <w:sz w:val="20"/>
          <w:szCs w:val="20"/>
        </w:rPr>
      </w:pPr>
    </w:p>
    <w:p w:rsidR="00D81800" w:rsidRDefault="00D81800" w:rsidP="001A0427">
      <w:pPr>
        <w:widowControl w:val="0"/>
        <w:spacing w:line="360" w:lineRule="auto"/>
        <w:jc w:val="both"/>
        <w:rPr>
          <w:rFonts w:cs="Arial"/>
          <w:sz w:val="20"/>
          <w:szCs w:val="20"/>
        </w:rPr>
      </w:pPr>
    </w:p>
    <w:p w:rsidR="00D81800" w:rsidRDefault="00D81800" w:rsidP="001A0427">
      <w:pPr>
        <w:widowControl w:val="0"/>
        <w:spacing w:line="360" w:lineRule="auto"/>
        <w:jc w:val="both"/>
        <w:rPr>
          <w:rFonts w:cs="Arial"/>
          <w:sz w:val="20"/>
          <w:szCs w:val="20"/>
        </w:rPr>
      </w:pPr>
    </w:p>
    <w:p w:rsidR="00D81800" w:rsidRPr="00D55ACA" w:rsidRDefault="00D81800" w:rsidP="00544E50">
      <w:pPr>
        <w:pStyle w:val="Subttulo"/>
        <w:jc w:val="center"/>
        <w:rPr>
          <w:rFonts w:ascii="Arial" w:hAnsi="Arial" w:cs="Arial"/>
          <w:lang w:val="es-UY"/>
        </w:rPr>
      </w:pPr>
      <w:bookmarkStart w:id="1" w:name="_Toc400023262"/>
      <w:r w:rsidRPr="005B6382">
        <w:rPr>
          <w:rFonts w:ascii="Arial" w:hAnsi="Arial" w:cs="Arial"/>
        </w:rPr>
        <w:lastRenderedPageBreak/>
        <w:t>DICTAMEN</w:t>
      </w:r>
      <w:bookmarkEnd w:id="1"/>
    </w:p>
    <w:p w:rsidR="00D81800" w:rsidRDefault="00D81800" w:rsidP="00E07E1C">
      <w:pPr>
        <w:spacing w:line="360" w:lineRule="auto"/>
        <w:jc w:val="both"/>
        <w:rPr>
          <w:rFonts w:cs="Arial"/>
          <w:b/>
        </w:rPr>
      </w:pPr>
    </w:p>
    <w:p w:rsidR="00D81800" w:rsidRPr="000F1AC8" w:rsidRDefault="00D81800" w:rsidP="00E07E1C">
      <w:pPr>
        <w:spacing w:line="360" w:lineRule="auto"/>
        <w:jc w:val="both"/>
        <w:rPr>
          <w:rFonts w:cs="Arial"/>
          <w:b/>
        </w:rPr>
      </w:pPr>
      <w:r w:rsidRPr="000F1AC8">
        <w:rPr>
          <w:rFonts w:cs="Arial"/>
          <w:b/>
        </w:rPr>
        <w:t>Opinión</w:t>
      </w:r>
    </w:p>
    <w:p w:rsidR="00D81800" w:rsidRPr="00544E50" w:rsidRDefault="00D81800" w:rsidP="00544E50">
      <w:pPr>
        <w:spacing w:line="360" w:lineRule="auto"/>
        <w:jc w:val="both"/>
        <w:rPr>
          <w:rFonts w:cs="Arial"/>
        </w:rPr>
      </w:pPr>
      <w:r w:rsidRPr="005B6382">
        <w:rPr>
          <w:rFonts w:cs="Arial"/>
        </w:rPr>
        <w:t>El Tribunal de Cuentas ha auditado la Rendición de Cuentas y el Balance de Ejecución Presupuestal de la Intendencia de Florida que comprende</w:t>
      </w:r>
      <w:r>
        <w:rPr>
          <w:rFonts w:cs="Arial"/>
        </w:rPr>
        <w:t xml:space="preserve"> los</w:t>
      </w:r>
      <w:r w:rsidRPr="005B6382">
        <w:rPr>
          <w:rFonts w:cs="Arial"/>
        </w:rPr>
        <w:t xml:space="preserve"> </w:t>
      </w:r>
      <w:r>
        <w:rPr>
          <w:rFonts w:cs="Arial"/>
        </w:rPr>
        <w:t>e</w:t>
      </w:r>
      <w:r w:rsidRPr="005B6382">
        <w:rPr>
          <w:rFonts w:cs="Arial"/>
        </w:rPr>
        <w:t xml:space="preserve">stados </w:t>
      </w:r>
      <w:r>
        <w:rPr>
          <w:rFonts w:cs="Arial"/>
        </w:rPr>
        <w:t>de ejecución p</w:t>
      </w:r>
      <w:r w:rsidRPr="005B6382">
        <w:rPr>
          <w:rFonts w:cs="Arial"/>
        </w:rPr>
        <w:t xml:space="preserve">resupuestal con relación a los </w:t>
      </w:r>
      <w:r>
        <w:rPr>
          <w:rFonts w:cs="Arial"/>
        </w:rPr>
        <w:t>recursos y a los créditos, R</w:t>
      </w:r>
      <w:r w:rsidRPr="005B6382">
        <w:rPr>
          <w:rFonts w:cs="Arial"/>
        </w:rPr>
        <w:t xml:space="preserve">esultado del </w:t>
      </w:r>
      <w:r>
        <w:rPr>
          <w:rFonts w:cs="Arial"/>
        </w:rPr>
        <w:t>ejercicio, Resultado acumulado, y</w:t>
      </w:r>
      <w:r w:rsidRPr="005B6382">
        <w:rPr>
          <w:rFonts w:cs="Arial"/>
        </w:rPr>
        <w:t xml:space="preserve"> otros estados complementarios, por el eje</w:t>
      </w:r>
      <w:r>
        <w:rPr>
          <w:rFonts w:cs="Arial"/>
        </w:rPr>
        <w:t>rcicio finalizado el 31/12/2017.</w:t>
      </w:r>
    </w:p>
    <w:p w:rsidR="00D81800" w:rsidRDefault="00D81800" w:rsidP="003747F4">
      <w:pPr>
        <w:spacing w:line="360" w:lineRule="auto"/>
        <w:jc w:val="both"/>
        <w:rPr>
          <w:rFonts w:eastAsia="Lucida Sans Unicode" w:cs="Arial"/>
          <w:kern w:val="1"/>
          <w:lang w:eastAsia="ar-SA"/>
        </w:rPr>
      </w:pPr>
      <w:r w:rsidRPr="00B9084A">
        <w:rPr>
          <w:rFonts w:eastAsia="Lucida Sans Unicode" w:cs="Arial"/>
          <w:kern w:val="1"/>
          <w:lang w:eastAsia="ar-SA"/>
        </w:rPr>
        <w:t xml:space="preserve">En opinión del Tribunal de Cuentas, los estados </w:t>
      </w:r>
      <w:r>
        <w:rPr>
          <w:rFonts w:cs="Arial"/>
        </w:rPr>
        <w:t xml:space="preserve">mencionados, </w:t>
      </w:r>
      <w:r w:rsidRPr="00B9084A">
        <w:rPr>
          <w:rFonts w:eastAsia="Lucida Sans Unicode" w:cs="Arial"/>
          <w:kern w:val="1"/>
          <w:lang w:eastAsia="ar-SA"/>
        </w:rPr>
        <w:t>presentan razonablemente, en todos sus aspectos significativos, la ejecución presupuestal</w:t>
      </w:r>
      <w:r w:rsidRPr="006A0762">
        <w:rPr>
          <w:rFonts w:cs="Arial"/>
        </w:rPr>
        <w:t xml:space="preserve"> </w:t>
      </w:r>
      <w:r>
        <w:rPr>
          <w:rFonts w:cs="Arial"/>
        </w:rPr>
        <w:t xml:space="preserve">del ejercicio 2017, el resultado del ejercicio, el resultado acumulado, la evolución de las obligaciones presupuestales impagas y de los fondos indisponibles de </w:t>
      </w:r>
      <w:r w:rsidRPr="00B9084A">
        <w:rPr>
          <w:rFonts w:eastAsia="Lucida Sans Unicode" w:cs="Arial"/>
          <w:kern w:val="1"/>
          <w:lang w:eastAsia="ar-SA"/>
        </w:rPr>
        <w:t xml:space="preserve">acuerdo </w:t>
      </w:r>
      <w:r>
        <w:rPr>
          <w:rFonts w:eastAsia="Lucida Sans Unicode" w:cs="Arial"/>
          <w:kern w:val="1"/>
          <w:lang w:eastAsia="ar-SA"/>
        </w:rPr>
        <w:t>con</w:t>
      </w:r>
      <w:r w:rsidRPr="00B9084A">
        <w:rPr>
          <w:rFonts w:eastAsia="Lucida Sans Unicode" w:cs="Arial"/>
          <w:kern w:val="1"/>
          <w:lang w:eastAsia="ar-SA"/>
        </w:rPr>
        <w:t xml:space="preserve"> las normas establecidas en el TOCAF y </w:t>
      </w:r>
      <w:r>
        <w:rPr>
          <w:rFonts w:eastAsia="Lucida Sans Unicode" w:cs="Arial"/>
          <w:kern w:val="1"/>
          <w:lang w:eastAsia="ar-SA"/>
        </w:rPr>
        <w:t>el instructivo vigente a la fecha de presentación de los mismos</w:t>
      </w:r>
      <w:r w:rsidRPr="00B9084A">
        <w:rPr>
          <w:rFonts w:eastAsia="Lucida Sans Unicode" w:cs="Arial"/>
          <w:kern w:val="1"/>
          <w:lang w:eastAsia="ar-SA"/>
        </w:rPr>
        <w:t>.</w:t>
      </w:r>
    </w:p>
    <w:p w:rsidR="00D81800" w:rsidRDefault="00D81800" w:rsidP="00FA1BAA">
      <w:pPr>
        <w:widowControl w:val="0"/>
        <w:suppressAutoHyphens/>
        <w:spacing w:line="360" w:lineRule="auto"/>
        <w:ind w:left="28"/>
        <w:jc w:val="both"/>
        <w:rPr>
          <w:rFonts w:eastAsia="Lucida Sans Unicode" w:cs="Arial"/>
          <w:kern w:val="1"/>
          <w:lang w:eastAsia="ar-SA"/>
        </w:rPr>
      </w:pPr>
    </w:p>
    <w:p w:rsidR="00D81800" w:rsidRDefault="00D81800" w:rsidP="00C65DE3">
      <w:pPr>
        <w:spacing w:line="360" w:lineRule="auto"/>
        <w:jc w:val="both"/>
        <w:rPr>
          <w:b/>
        </w:rPr>
      </w:pPr>
      <w:r w:rsidRPr="005E754E">
        <w:rPr>
          <w:b/>
        </w:rPr>
        <w:t>Opinión respecto al cumplimiento de la normativa legal aplicable</w:t>
      </w:r>
    </w:p>
    <w:p w:rsidR="00D81800" w:rsidRPr="006F410D" w:rsidRDefault="00D81800" w:rsidP="00FA1BAA">
      <w:pPr>
        <w:spacing w:line="360" w:lineRule="auto"/>
        <w:jc w:val="both"/>
      </w:pPr>
      <w:r w:rsidRPr="006F410D">
        <w:t>En el curso de la auditoría se han constatado los siguientes incumplimientos:</w:t>
      </w:r>
    </w:p>
    <w:p w:rsidR="00D81800" w:rsidRDefault="00D81800" w:rsidP="00A3373D">
      <w:pPr>
        <w:spacing w:line="360" w:lineRule="auto"/>
        <w:jc w:val="both"/>
      </w:pPr>
      <w:r w:rsidRPr="006F410D">
        <w:t xml:space="preserve">Artículos 86 y 297 Numeral 1) de la Constitución de la República, Artículo 94 del Código Tributario, Artículos 16, 50, 84, 90, 94, 97y 154 del TOCAF, </w:t>
      </w:r>
      <w:r w:rsidRPr="006F410D">
        <w:rPr>
          <w:rFonts w:cs="Arial"/>
          <w:lang w:val="es-ES_tradnl"/>
        </w:rPr>
        <w:t xml:space="preserve">Artículo 49 de </w:t>
      </w:r>
      <w:smartTag w:uri="urn:schemas-microsoft-com:office:smarttags" w:element="PersonName">
        <w:smartTagPr>
          <w:attr w:name="ProductID" w:val="la Ley N"/>
        </w:smartTagPr>
        <w:r w:rsidRPr="006F410D">
          <w:rPr>
            <w:rFonts w:cs="Arial"/>
            <w:lang w:val="es-ES_tradnl"/>
          </w:rPr>
          <w:t>la Ley N</w:t>
        </w:r>
      </w:smartTag>
      <w:r w:rsidRPr="006F410D">
        <w:rPr>
          <w:rFonts w:cs="Arial"/>
          <w:lang w:val="es-ES_tradnl"/>
        </w:rPr>
        <w:t xml:space="preserve">º 18.651, Artículos 12 y 14 de </w:t>
      </w:r>
      <w:smartTag w:uri="urn:schemas-microsoft-com:office:smarttags" w:element="PersonName">
        <w:smartTagPr>
          <w:attr w:name="ProductID" w:val="la Ley N"/>
        </w:smartTagPr>
        <w:r w:rsidRPr="006F410D">
          <w:rPr>
            <w:rFonts w:cs="Arial"/>
            <w:lang w:val="es-ES_tradnl"/>
          </w:rPr>
          <w:t>la Ley N</w:t>
        </w:r>
      </w:smartTag>
      <w:r w:rsidRPr="006F410D">
        <w:rPr>
          <w:rFonts w:cs="Arial"/>
          <w:lang w:val="es-ES_tradnl"/>
        </w:rPr>
        <w:t xml:space="preserve">º 19.272, </w:t>
      </w:r>
      <w:r w:rsidRPr="006F410D">
        <w:rPr>
          <w:rFonts w:cs="Arial"/>
          <w:bCs/>
          <w:lang w:val="es-ES_tradnl"/>
        </w:rPr>
        <w:t xml:space="preserve">Artículo 31 del Decreto de la JDF Nº 24/90, Ordenanzas Nº 62 y 89 del Tribunal de Cuentas y </w:t>
      </w:r>
      <w:r w:rsidRPr="006F410D">
        <w:rPr>
          <w:lang w:val="es-ES_tradnl"/>
        </w:rPr>
        <w:t xml:space="preserve"> </w:t>
      </w:r>
      <w:r w:rsidRPr="006F410D">
        <w:t>Artículos 14 y 15 del Estatuto del funcionario.</w:t>
      </w:r>
    </w:p>
    <w:p w:rsidR="00D81800" w:rsidRDefault="00D81800" w:rsidP="00EE0810">
      <w:pPr>
        <w:spacing w:line="360" w:lineRule="auto"/>
        <w:jc w:val="both"/>
        <w:rPr>
          <w:b/>
          <w:bCs/>
        </w:rPr>
      </w:pPr>
    </w:p>
    <w:p w:rsidR="00D81800" w:rsidRPr="00544E50" w:rsidRDefault="00D81800" w:rsidP="00EE0810">
      <w:pPr>
        <w:spacing w:line="360" w:lineRule="auto"/>
        <w:jc w:val="both"/>
        <w:rPr>
          <w:b/>
          <w:bCs/>
        </w:rPr>
      </w:pPr>
      <w:r w:rsidRPr="00BA7397">
        <w:rPr>
          <w:b/>
          <w:bCs/>
        </w:rPr>
        <w:t>Bases para la Opinión</w:t>
      </w:r>
      <w:r w:rsidR="00D55ACA">
        <w:rPr>
          <w:b/>
          <w:bCs/>
        </w:rPr>
        <w:t xml:space="preserve"> sin salvedades</w:t>
      </w:r>
    </w:p>
    <w:p w:rsidR="00D81800" w:rsidRPr="005E754E" w:rsidRDefault="00D81800" w:rsidP="00EE0810">
      <w:pPr>
        <w:spacing w:line="360" w:lineRule="auto"/>
        <w:jc w:val="both"/>
        <w:rPr>
          <w:bCs/>
        </w:rPr>
      </w:pPr>
      <w:r w:rsidRPr="005E754E">
        <w:rPr>
          <w:bCs/>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w:t>
      </w:r>
      <w:r>
        <w:rPr>
          <w:bCs/>
        </w:rPr>
        <w:t xml:space="preserve"> financieros</w:t>
      </w:r>
      <w:r w:rsidRPr="005E754E">
        <w:rPr>
          <w:bCs/>
        </w:rPr>
        <w:t xml:space="preserve">. Este Tribunal es independiente de la </w:t>
      </w:r>
      <w:r>
        <w:rPr>
          <w:bCs/>
        </w:rPr>
        <w:t>Intendencia</w:t>
      </w:r>
      <w:r w:rsidRPr="005E754E">
        <w:rPr>
          <w:bCs/>
        </w:rPr>
        <w:t xml:space="preserve"> de Florida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D81800" w:rsidRDefault="00D81800" w:rsidP="00D421E1">
      <w:pPr>
        <w:spacing w:line="360" w:lineRule="auto"/>
        <w:jc w:val="both"/>
        <w:rPr>
          <w:b/>
          <w:bCs/>
        </w:rPr>
      </w:pPr>
    </w:p>
    <w:p w:rsidR="00D81800" w:rsidRPr="005E754E" w:rsidRDefault="00D81800" w:rsidP="00D421E1">
      <w:pPr>
        <w:spacing w:line="360" w:lineRule="auto"/>
        <w:jc w:val="both"/>
        <w:rPr>
          <w:b/>
          <w:bCs/>
        </w:rPr>
      </w:pPr>
      <w:r w:rsidRPr="005E754E">
        <w:rPr>
          <w:b/>
          <w:bCs/>
        </w:rPr>
        <w:t xml:space="preserve">Responsabilidad de la </w:t>
      </w:r>
      <w:r>
        <w:rPr>
          <w:b/>
          <w:bCs/>
        </w:rPr>
        <w:t>Intendencia de Florida</w:t>
      </w:r>
      <w:r w:rsidRPr="005E754E">
        <w:rPr>
          <w:b/>
          <w:bCs/>
        </w:rPr>
        <w:t xml:space="preserve"> en relación </w:t>
      </w:r>
      <w:r>
        <w:rPr>
          <w:b/>
          <w:bCs/>
        </w:rPr>
        <w:t>a los estados financieros.</w:t>
      </w:r>
    </w:p>
    <w:p w:rsidR="00D81800" w:rsidRDefault="00D81800" w:rsidP="00A00B5B">
      <w:pPr>
        <w:spacing w:line="360" w:lineRule="auto"/>
        <w:jc w:val="both"/>
        <w:rPr>
          <w:bCs/>
        </w:rPr>
      </w:pPr>
      <w:r w:rsidRPr="005E754E">
        <w:rPr>
          <w:bCs/>
        </w:rPr>
        <w:t xml:space="preserve">La </w:t>
      </w:r>
      <w:r>
        <w:rPr>
          <w:bCs/>
        </w:rPr>
        <w:t>Intendencia</w:t>
      </w:r>
      <w:r w:rsidRPr="005E754E">
        <w:rPr>
          <w:bCs/>
        </w:rPr>
        <w:t xml:space="preserve"> de Florida es responsable por la preparación y presentación razonable de la Rendición de Cuentas y Balan</w:t>
      </w:r>
      <w:r>
        <w:rPr>
          <w:bCs/>
        </w:rPr>
        <w:t>ce de Ejecución Presupuestal de</w:t>
      </w:r>
      <w:r w:rsidRPr="005E754E">
        <w:rPr>
          <w:bCs/>
        </w:rPr>
        <w:t xml:space="preserve"> acuerdo con el instructivo</w:t>
      </w:r>
      <w:r>
        <w:rPr>
          <w:bCs/>
        </w:rPr>
        <w:t xml:space="preserve"> del Tribunal de Cuentas</w:t>
      </w:r>
      <w:r w:rsidRPr="005E754E">
        <w:rPr>
          <w:bCs/>
        </w:rPr>
        <w:t xml:space="preserve"> vigente a la fecha de presentación de la misma y del control interno que la administración de la </w:t>
      </w:r>
      <w:r>
        <w:rPr>
          <w:bCs/>
        </w:rPr>
        <w:t>Intendencia</w:t>
      </w:r>
      <w:r w:rsidRPr="005E754E">
        <w:rPr>
          <w:bCs/>
        </w:rPr>
        <w:t xml:space="preserve"> consideró necesario para permitir la preparación de</w:t>
      </w:r>
      <w:r>
        <w:rPr>
          <w:bCs/>
        </w:rPr>
        <w:t xml:space="preserve"> los citados estados financieros</w:t>
      </w:r>
      <w:r w:rsidRPr="005E754E">
        <w:rPr>
          <w:bCs/>
        </w:rPr>
        <w:t xml:space="preserve"> libres de errores significativos ya sea debido a fraude o error.</w:t>
      </w:r>
    </w:p>
    <w:p w:rsidR="00D81800" w:rsidRDefault="00D81800" w:rsidP="00A00B5B">
      <w:pPr>
        <w:spacing w:line="360" w:lineRule="auto"/>
        <w:jc w:val="both"/>
        <w:rPr>
          <w:bCs/>
        </w:rPr>
      </w:pPr>
      <w:r w:rsidRPr="005E754E">
        <w:rPr>
          <w:bCs/>
        </w:rPr>
        <w:t xml:space="preserve">La </w:t>
      </w:r>
      <w:r>
        <w:rPr>
          <w:bCs/>
        </w:rPr>
        <w:t>Intendencia de</w:t>
      </w:r>
      <w:r w:rsidRPr="005E754E">
        <w:rPr>
          <w:bCs/>
        </w:rPr>
        <w:t xml:space="preserve"> Florida es responsable de supervisar el proceso de preparación de la Rendición de Cuentas y Balance </w:t>
      </w:r>
      <w:r>
        <w:rPr>
          <w:bCs/>
        </w:rPr>
        <w:t>de Ejecución Presupuestal</w:t>
      </w:r>
      <w:r w:rsidR="00D55ACA">
        <w:rPr>
          <w:bCs/>
        </w:rPr>
        <w:t>.</w:t>
      </w:r>
    </w:p>
    <w:p w:rsidR="00D81800" w:rsidRPr="00D55ACA" w:rsidRDefault="00D81800" w:rsidP="00556B4C">
      <w:pPr>
        <w:pStyle w:val="Textoindependiente"/>
        <w:rPr>
          <w:highlight w:val="yellow"/>
          <w:lang w:val="es-ES"/>
        </w:rPr>
      </w:pPr>
    </w:p>
    <w:p w:rsidR="00D81800" w:rsidRDefault="00D81800" w:rsidP="003F311A">
      <w:pPr>
        <w:spacing w:line="360" w:lineRule="auto"/>
        <w:jc w:val="both"/>
        <w:rPr>
          <w:b/>
          <w:bCs/>
        </w:rPr>
      </w:pPr>
      <w:r w:rsidRPr="005E754E">
        <w:rPr>
          <w:b/>
          <w:bCs/>
        </w:rPr>
        <w:t>Responsabilidad del Tribunal de Cuentas por la auditoría de los estados financieros</w:t>
      </w:r>
      <w:r>
        <w:rPr>
          <w:b/>
          <w:bCs/>
        </w:rPr>
        <w:t>.</w:t>
      </w:r>
    </w:p>
    <w:p w:rsidR="00D81800" w:rsidRDefault="00D81800" w:rsidP="003F311A">
      <w:pPr>
        <w:spacing w:line="360" w:lineRule="auto"/>
        <w:jc w:val="both"/>
        <w:rPr>
          <w:bCs/>
        </w:rPr>
      </w:pPr>
      <w:r w:rsidRPr="005E754E">
        <w:rPr>
          <w:bCs/>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D55ACA" w:rsidRPr="005E754E" w:rsidRDefault="00D55ACA" w:rsidP="003F311A">
      <w:pPr>
        <w:spacing w:line="360" w:lineRule="auto"/>
        <w:jc w:val="both"/>
        <w:rPr>
          <w:bCs/>
        </w:rPr>
      </w:pPr>
    </w:p>
    <w:p w:rsidR="00D81800" w:rsidRPr="005E754E" w:rsidRDefault="00D81800" w:rsidP="003F311A">
      <w:pPr>
        <w:spacing w:line="360" w:lineRule="auto"/>
        <w:jc w:val="both"/>
        <w:rPr>
          <w:bCs/>
        </w:rPr>
      </w:pPr>
      <w:r w:rsidRPr="005E754E">
        <w:rPr>
          <w:bCs/>
        </w:rPr>
        <w:t>Como parte de una auditoría de acuerdo con las ISSAI referidas en la sección Bases para la Opinión, el Tribunal de Cuentas aplica su juicio profesional y mantiene el escepticismo profesional durante el proceso de auditoría. Asimismo:</w:t>
      </w:r>
    </w:p>
    <w:p w:rsidR="00D81800" w:rsidRDefault="00D81800" w:rsidP="00D81800">
      <w:pPr>
        <w:pStyle w:val="Prrafodelista"/>
        <w:numPr>
          <w:ilvl w:val="0"/>
          <w:numId w:val="2"/>
        </w:numPr>
        <w:suppressAutoHyphens/>
        <w:spacing w:line="360" w:lineRule="auto"/>
        <w:ind w:left="0" w:firstLine="360"/>
        <w:jc w:val="both"/>
        <w:rPr>
          <w:bCs/>
        </w:rPr>
      </w:pPr>
      <w:r w:rsidRPr="00F27A74">
        <w:rPr>
          <w:bCs/>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D81800" w:rsidRPr="005E6812" w:rsidRDefault="00D81800" w:rsidP="00D81800">
      <w:pPr>
        <w:pStyle w:val="Prrafodelista"/>
        <w:numPr>
          <w:ilvl w:val="0"/>
          <w:numId w:val="2"/>
        </w:numPr>
        <w:suppressAutoHyphens/>
        <w:spacing w:line="360" w:lineRule="auto"/>
        <w:ind w:left="0" w:firstLine="360"/>
        <w:jc w:val="both"/>
        <w:rPr>
          <w:bCs/>
        </w:rPr>
      </w:pPr>
      <w:r w:rsidRPr="00F27A74">
        <w:rPr>
          <w:bCs/>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D81800" w:rsidRPr="00F27A74" w:rsidRDefault="00D81800" w:rsidP="00D81800">
      <w:pPr>
        <w:pStyle w:val="Prrafodelista"/>
        <w:numPr>
          <w:ilvl w:val="0"/>
          <w:numId w:val="2"/>
        </w:numPr>
        <w:suppressAutoHyphens/>
        <w:spacing w:line="360" w:lineRule="auto"/>
        <w:ind w:left="0" w:firstLine="360"/>
        <w:jc w:val="both"/>
        <w:rPr>
          <w:bCs/>
        </w:rPr>
      </w:pPr>
      <w:r w:rsidRPr="00F27A74">
        <w:rPr>
          <w:bCs/>
        </w:rPr>
        <w:t>Evalúa la presentación general, la estructura y  contenido de los estados, incluyendo las revelaciones y si los estados representan las transacciones y eventos subyacentes de un modo que se logre una representación fiel de los mismos.</w:t>
      </w:r>
    </w:p>
    <w:p w:rsidR="00D81800" w:rsidRPr="005E754E" w:rsidRDefault="00D81800" w:rsidP="003F311A">
      <w:pPr>
        <w:spacing w:line="360" w:lineRule="auto"/>
        <w:jc w:val="both"/>
        <w:rPr>
          <w:bCs/>
          <w:highlight w:val="yellow"/>
        </w:rPr>
      </w:pPr>
    </w:p>
    <w:p w:rsidR="00D81800" w:rsidRPr="005E754E" w:rsidRDefault="00D81800" w:rsidP="003F311A">
      <w:pPr>
        <w:spacing w:line="360" w:lineRule="auto"/>
        <w:jc w:val="both"/>
        <w:rPr>
          <w:bCs/>
        </w:rPr>
      </w:pPr>
      <w:r w:rsidRPr="006C38ED">
        <w:rPr>
          <w:bCs/>
        </w:rPr>
        <w:t>El Tribunal de Cuentas se comunicó con la Intendencia, en relación a los hallazgos significativos de auditoría que se identificaron en el transcurso de la auditoría.</w:t>
      </w:r>
    </w:p>
    <w:p w:rsidR="00D81800" w:rsidRDefault="00D81800" w:rsidP="004F636F">
      <w:pPr>
        <w:spacing w:line="360" w:lineRule="auto"/>
        <w:jc w:val="both"/>
        <w:rPr>
          <w:b/>
          <w:bCs/>
        </w:rPr>
      </w:pPr>
    </w:p>
    <w:p w:rsidR="00D81800" w:rsidRDefault="00D81800" w:rsidP="004F636F">
      <w:pPr>
        <w:spacing w:line="360" w:lineRule="auto"/>
        <w:jc w:val="both"/>
        <w:rPr>
          <w:b/>
          <w:bCs/>
        </w:rPr>
      </w:pPr>
      <w:r w:rsidRPr="005E754E">
        <w:rPr>
          <w:b/>
          <w:bCs/>
        </w:rPr>
        <w:t>Informe de cumplimiento de la normativa vigente</w:t>
      </w:r>
    </w:p>
    <w:p w:rsidR="00D81800" w:rsidRPr="005E754E" w:rsidRDefault="00D81800" w:rsidP="004F636F">
      <w:pPr>
        <w:spacing w:line="360" w:lineRule="auto"/>
        <w:jc w:val="both"/>
        <w:rPr>
          <w:bCs/>
          <w:highlight w:val="yellow"/>
        </w:rPr>
      </w:pPr>
      <w:r w:rsidRPr="005E754E">
        <w:rPr>
          <w:bCs/>
        </w:rPr>
        <w:t>Respecto a los incumplimientos mencionados en el párrafo Opinión respecto al cumplimiento de la normativa legal aplicable corresponde señalar lo siguiente:</w:t>
      </w:r>
    </w:p>
    <w:p w:rsidR="00D81800" w:rsidRDefault="00D81800" w:rsidP="004F636F">
      <w:pPr>
        <w:suppressAutoHyphens/>
        <w:spacing w:line="360" w:lineRule="auto"/>
        <w:jc w:val="both"/>
        <w:rPr>
          <w:rFonts w:cs="Arial"/>
          <w:b/>
          <w:lang w:val="es-ES_tradnl"/>
        </w:rPr>
      </w:pPr>
    </w:p>
    <w:p w:rsidR="00D81800" w:rsidRPr="0049155E" w:rsidRDefault="00D81800" w:rsidP="004F636F">
      <w:pPr>
        <w:suppressAutoHyphens/>
        <w:spacing w:line="360" w:lineRule="auto"/>
        <w:jc w:val="both"/>
        <w:rPr>
          <w:rFonts w:cs="Arial"/>
          <w:lang w:val="es-ES_tradnl"/>
        </w:rPr>
      </w:pPr>
      <w:r>
        <w:rPr>
          <w:rFonts w:cs="Arial"/>
          <w:b/>
          <w:lang w:val="es-ES_tradnl"/>
        </w:rPr>
        <w:t>1</w:t>
      </w:r>
      <w:r w:rsidRPr="004E6D0D">
        <w:rPr>
          <w:rFonts w:cs="Arial"/>
          <w:b/>
          <w:lang w:val="es-ES_tradnl"/>
        </w:rPr>
        <w:t xml:space="preserve">. </w:t>
      </w:r>
      <w:r>
        <w:rPr>
          <w:rFonts w:cs="Arial"/>
          <w:b/>
          <w:lang w:val="es-ES_tradnl"/>
        </w:rPr>
        <w:t xml:space="preserve">Artículo 86 de la Constitución de la República y </w:t>
      </w:r>
      <w:r w:rsidRPr="004E6D0D">
        <w:rPr>
          <w:rFonts w:cs="Arial"/>
          <w:b/>
          <w:lang w:val="es-ES_tradnl"/>
        </w:rPr>
        <w:t>Artículos 14 y 15 del Estatuto del Funcionario</w:t>
      </w:r>
      <w:r w:rsidRPr="004E6D0D">
        <w:rPr>
          <w:rFonts w:cs="Arial"/>
          <w:lang w:val="es-ES_tradnl"/>
        </w:rPr>
        <w:t xml:space="preserve">: Las diferencias de sueldos abonadas por </w:t>
      </w:r>
      <w:r>
        <w:rPr>
          <w:rFonts w:cs="Arial"/>
          <w:lang w:val="es-ES_tradnl"/>
        </w:rPr>
        <w:t xml:space="preserve">concepto de subrogación superan </w:t>
      </w:r>
      <w:r w:rsidRPr="004E6D0D">
        <w:rPr>
          <w:rFonts w:cs="Arial"/>
          <w:lang w:val="es-ES_tradnl"/>
        </w:rPr>
        <w:t xml:space="preserve">el plazo máximo establecido en </w:t>
      </w:r>
      <w:r>
        <w:rPr>
          <w:rFonts w:cs="Arial"/>
          <w:lang w:val="es-ES_tradnl"/>
        </w:rPr>
        <w:t xml:space="preserve">el Estatuto del </w:t>
      </w:r>
      <w:r w:rsidRPr="0049155E">
        <w:rPr>
          <w:rFonts w:cs="Arial"/>
          <w:lang w:val="es-ES_tradnl"/>
        </w:rPr>
        <w:t>funcionario de 18 meses, de las cuales no existe norma presupuestal que la avale. Del total del padrón de funcionarios, aproximadamente el 15% percibe una compensación por subrogación por períodos superiores al establecido.</w:t>
      </w:r>
    </w:p>
    <w:p w:rsidR="00D81800" w:rsidRPr="00A11A77" w:rsidRDefault="00D81800" w:rsidP="004F636F">
      <w:pPr>
        <w:autoSpaceDE w:val="0"/>
        <w:autoSpaceDN w:val="0"/>
        <w:adjustRightInd w:val="0"/>
        <w:spacing w:line="360" w:lineRule="auto"/>
        <w:jc w:val="both"/>
        <w:rPr>
          <w:rFonts w:cs="Arial"/>
          <w:iCs/>
          <w:kern w:val="1"/>
          <w:szCs w:val="20"/>
          <w:lang w:val="es-MX" w:eastAsia="ar-SA"/>
        </w:rPr>
      </w:pPr>
      <w:r>
        <w:rPr>
          <w:rFonts w:eastAsia="Calibri"/>
          <w:b/>
          <w:bCs/>
          <w:lang w:eastAsia="en-US"/>
        </w:rPr>
        <w:t>2</w:t>
      </w:r>
      <w:r w:rsidRPr="00A11A77">
        <w:rPr>
          <w:rFonts w:eastAsia="Calibri"/>
          <w:b/>
          <w:bCs/>
          <w:lang w:eastAsia="en-US"/>
        </w:rPr>
        <w:t xml:space="preserve">. </w:t>
      </w:r>
      <w:r w:rsidRPr="00A11A77">
        <w:rPr>
          <w:rFonts w:eastAsia="Calibri"/>
          <w:b/>
          <w:bCs/>
          <w:lang w:val="x-none" w:eastAsia="en-US"/>
        </w:rPr>
        <w:t>Art</w:t>
      </w:r>
      <w:r w:rsidRPr="00A11A77">
        <w:rPr>
          <w:rFonts w:eastAsia="Calibri"/>
          <w:b/>
          <w:bCs/>
          <w:lang w:eastAsia="en-US"/>
        </w:rPr>
        <w:t>ículo</w:t>
      </w:r>
      <w:r w:rsidRPr="00A11A77">
        <w:rPr>
          <w:rFonts w:eastAsia="Calibri"/>
          <w:b/>
          <w:bCs/>
          <w:lang w:val="x-none" w:eastAsia="en-US"/>
        </w:rPr>
        <w:t xml:space="preserve"> 297 </w:t>
      </w:r>
      <w:r w:rsidRPr="00A11A77">
        <w:rPr>
          <w:rFonts w:eastAsia="Calibri"/>
          <w:b/>
          <w:color w:val="000000"/>
          <w:lang w:val="x-none" w:eastAsia="en-US"/>
        </w:rPr>
        <w:t xml:space="preserve">Numeral 1) </w:t>
      </w:r>
      <w:r w:rsidRPr="00A11A77">
        <w:rPr>
          <w:rFonts w:eastAsia="Calibri"/>
          <w:b/>
          <w:bCs/>
          <w:lang w:val="x-none" w:eastAsia="en-US"/>
        </w:rPr>
        <w:t xml:space="preserve">de </w:t>
      </w:r>
      <w:smartTag w:uri="urn:schemas-microsoft-com:office:smarttags" w:element="PersonName">
        <w:smartTagPr>
          <w:attr w:name="ProductID" w:val="la Constituci￳n"/>
        </w:smartTagPr>
        <w:r w:rsidRPr="00A11A77">
          <w:rPr>
            <w:rFonts w:eastAsia="Calibri"/>
            <w:b/>
            <w:bCs/>
            <w:lang w:val="x-none" w:eastAsia="en-US"/>
          </w:rPr>
          <w:t>la Constitución</w:t>
        </w:r>
      </w:smartTag>
      <w:r w:rsidRPr="00A11A77">
        <w:rPr>
          <w:rFonts w:eastAsia="Calibri"/>
          <w:b/>
          <w:bCs/>
          <w:lang w:val="x-none" w:eastAsia="en-US"/>
        </w:rPr>
        <w:t xml:space="preserve"> de </w:t>
      </w:r>
      <w:smartTag w:uri="urn:schemas-microsoft-com:office:smarttags" w:element="PersonName">
        <w:smartTagPr>
          <w:attr w:name="ProductID" w:val="la Rep￺blica"/>
        </w:smartTagPr>
        <w:r w:rsidRPr="00A11A77">
          <w:rPr>
            <w:rFonts w:eastAsia="Calibri"/>
            <w:b/>
            <w:bCs/>
            <w:lang w:val="x-none" w:eastAsia="en-US"/>
          </w:rPr>
          <w:t>la República</w:t>
        </w:r>
      </w:smartTag>
      <w:r w:rsidRPr="00A11A77">
        <w:rPr>
          <w:rFonts w:eastAsia="Calibri"/>
          <w:b/>
          <w:bCs/>
          <w:lang w:eastAsia="en-US"/>
        </w:rPr>
        <w:t xml:space="preserve"> y Artículo 94 del Código Tributario</w:t>
      </w:r>
      <w:r w:rsidRPr="00A11A77">
        <w:rPr>
          <w:rFonts w:eastAsia="Calibri"/>
          <w:b/>
          <w:color w:val="000000"/>
          <w:lang w:val="x-none" w:eastAsia="en-US"/>
        </w:rPr>
        <w:t>:</w:t>
      </w:r>
      <w:r w:rsidRPr="00A11A77">
        <w:rPr>
          <w:rFonts w:eastAsia="Calibri"/>
          <w:color w:val="000000"/>
          <w:lang w:val="x-none" w:eastAsia="en-US"/>
        </w:rPr>
        <w:t xml:space="preserve"> </w:t>
      </w:r>
      <w:r w:rsidRPr="00A11A77">
        <w:rPr>
          <w:rFonts w:cs="Arial"/>
          <w:color w:val="000000"/>
          <w:kern w:val="1"/>
        </w:rPr>
        <w:t xml:space="preserve">No se dio cumplimiento a lo dispuesto </w:t>
      </w:r>
      <w:r w:rsidRPr="00A11A77">
        <w:rPr>
          <w:kern w:val="1"/>
          <w:szCs w:val="20"/>
          <w:lang w:val="es-ES_tradnl" w:eastAsia="ar-SA"/>
        </w:rPr>
        <w:t xml:space="preserve">por el Artículo 297 de </w:t>
      </w:r>
      <w:smartTag w:uri="urn:schemas-microsoft-com:office:smarttags" w:element="PersonName">
        <w:smartTagPr>
          <w:attr w:name="ProductID" w:val="la Constituci￳n"/>
        </w:smartTagPr>
        <w:r w:rsidRPr="00A11A77">
          <w:rPr>
            <w:kern w:val="1"/>
            <w:szCs w:val="20"/>
            <w:lang w:val="es-ES_tradnl" w:eastAsia="ar-SA"/>
          </w:rPr>
          <w:t>la Constitución</w:t>
        </w:r>
      </w:smartTag>
      <w:r w:rsidRPr="00A11A77">
        <w:rPr>
          <w:kern w:val="1"/>
          <w:szCs w:val="20"/>
          <w:lang w:val="es-ES_tradnl" w:eastAsia="ar-SA"/>
        </w:rPr>
        <w:t xml:space="preserve"> de </w:t>
      </w:r>
      <w:smartTag w:uri="urn:schemas-microsoft-com:office:smarttags" w:element="PersonName">
        <w:smartTagPr>
          <w:attr w:name="ProductID" w:val="la Rep￺blica"/>
        </w:smartTagPr>
        <w:r w:rsidRPr="00A11A77">
          <w:rPr>
            <w:kern w:val="1"/>
            <w:szCs w:val="20"/>
            <w:lang w:val="es-ES_tradnl" w:eastAsia="ar-SA"/>
          </w:rPr>
          <w:t>la República</w:t>
        </w:r>
      </w:smartTag>
      <w:r w:rsidRPr="00A11A77">
        <w:rPr>
          <w:kern w:val="1"/>
          <w:szCs w:val="20"/>
          <w:lang w:val="es-ES_tradnl" w:eastAsia="ar-SA"/>
        </w:rPr>
        <w:t xml:space="preserve">, en cuanto a que </w:t>
      </w:r>
      <w:r w:rsidRPr="00A11A77">
        <w:rPr>
          <w:rFonts w:cs="Arial"/>
          <w:color w:val="000000"/>
          <w:kern w:val="1"/>
        </w:rPr>
        <w:t xml:space="preserve">las multas por mora aplicadas por el pago fuera de fecha de </w:t>
      </w:r>
      <w:smartTag w:uri="urn:schemas-microsoft-com:office:smarttags" w:element="PersonName">
        <w:smartTagPr>
          <w:attr w:name="ProductID" w:val="la Contribuci￳n Inmobiliaria"/>
        </w:smartTagPr>
        <w:r w:rsidRPr="00A11A77">
          <w:rPr>
            <w:rFonts w:cs="Arial"/>
            <w:color w:val="000000"/>
            <w:kern w:val="1"/>
          </w:rPr>
          <w:t>la Contribución Inmobiliaria</w:t>
        </w:r>
      </w:smartTag>
      <w:r w:rsidRPr="00A11A77">
        <w:rPr>
          <w:rFonts w:cs="Arial"/>
          <w:color w:val="000000"/>
          <w:kern w:val="1"/>
        </w:rPr>
        <w:t xml:space="preserve"> Rural no respetaron lo establecido en el Artículo 94 del Código Tributario. </w:t>
      </w:r>
      <w:smartTag w:uri="urn:schemas-microsoft-com:office:smarttags" w:element="PersonName">
        <w:smartTagPr>
          <w:attr w:name="ProductID" w:val="la Intendencia"/>
        </w:smartTagPr>
        <w:r w:rsidRPr="00A11A77">
          <w:rPr>
            <w:rFonts w:cs="Arial"/>
            <w:color w:val="000000"/>
            <w:kern w:val="1"/>
          </w:rPr>
          <w:t>La Intendencia</w:t>
        </w:r>
      </w:smartTag>
      <w:r w:rsidRPr="00A11A77">
        <w:rPr>
          <w:rFonts w:cs="Arial"/>
          <w:color w:val="000000"/>
          <w:kern w:val="1"/>
        </w:rPr>
        <w:t xml:space="preserve"> aplica el porcentaje establecido en el Decreto del Legislativo Departamental </w:t>
      </w:r>
      <w:r>
        <w:rPr>
          <w:rFonts w:cs="Arial"/>
          <w:color w:val="000000"/>
          <w:kern w:val="1"/>
        </w:rPr>
        <w:t xml:space="preserve">   </w:t>
      </w:r>
      <w:r w:rsidRPr="00A11A77">
        <w:rPr>
          <w:rFonts w:cs="Arial"/>
          <w:color w:val="000000"/>
          <w:kern w:val="1"/>
        </w:rPr>
        <w:t xml:space="preserve">Nº 09/2001, que </w:t>
      </w:r>
      <w:r w:rsidRPr="00A11A77">
        <w:rPr>
          <w:rFonts w:cs="Arial"/>
          <w:iCs/>
          <w:kern w:val="1"/>
          <w:szCs w:val="20"/>
          <w:lang w:val="es-MX" w:eastAsia="ar-SA"/>
        </w:rPr>
        <w:t>excede la potestad tributaria del Gobierno Departamental, por cuanto el citado impuesto tiene origen legal de carácter nacional, siendo competencia del Gobierno Nacional el establecimiento de tales multas.</w:t>
      </w:r>
    </w:p>
    <w:p w:rsidR="00D81800" w:rsidRPr="00A11A77" w:rsidRDefault="00D81800" w:rsidP="004F636F">
      <w:pPr>
        <w:suppressAutoHyphens/>
        <w:autoSpaceDE w:val="0"/>
        <w:autoSpaceDN w:val="0"/>
        <w:adjustRightInd w:val="0"/>
        <w:spacing w:line="360" w:lineRule="auto"/>
        <w:jc w:val="both"/>
        <w:rPr>
          <w:rFonts w:cs="Arial"/>
          <w:iCs/>
          <w:kern w:val="1"/>
          <w:szCs w:val="20"/>
          <w:lang w:val="es-MX" w:eastAsia="ar-SA"/>
        </w:rPr>
      </w:pPr>
      <w:r w:rsidRPr="00A11A77">
        <w:rPr>
          <w:rFonts w:cs="Arial"/>
          <w:iCs/>
          <w:kern w:val="1"/>
          <w:szCs w:val="20"/>
          <w:lang w:val="es-MX" w:eastAsia="ar-SA"/>
        </w:rPr>
        <w:t>Las diferencias son las que se detallan:</w:t>
      </w:r>
    </w:p>
    <w:tbl>
      <w:tblPr>
        <w:tblW w:w="7791" w:type="dxa"/>
        <w:tblInd w:w="55" w:type="dxa"/>
        <w:tblCellMar>
          <w:left w:w="70" w:type="dxa"/>
          <w:right w:w="70" w:type="dxa"/>
        </w:tblCellMar>
        <w:tblLook w:val="0000" w:firstRow="0" w:lastRow="0" w:firstColumn="0" w:lastColumn="0" w:noHBand="0" w:noVBand="0"/>
      </w:tblPr>
      <w:tblGrid>
        <w:gridCol w:w="827"/>
        <w:gridCol w:w="2768"/>
        <w:gridCol w:w="196"/>
        <w:gridCol w:w="751"/>
        <w:gridCol w:w="2049"/>
        <w:gridCol w:w="1200"/>
      </w:tblGrid>
      <w:tr w:rsidR="00D81800" w:rsidRPr="00A11A77" w:rsidTr="00823240">
        <w:trPr>
          <w:trHeight w:val="255"/>
        </w:trPr>
        <w:tc>
          <w:tcPr>
            <w:tcW w:w="3791" w:type="dxa"/>
            <w:gridSpan w:val="3"/>
            <w:tcBorders>
              <w:top w:val="single" w:sz="4" w:space="0" w:color="auto"/>
              <w:left w:val="single" w:sz="4" w:space="0" w:color="auto"/>
              <w:bottom w:val="nil"/>
              <w:right w:val="single" w:sz="4" w:space="0" w:color="000000"/>
            </w:tcBorders>
            <w:shd w:val="clear" w:color="auto" w:fill="FFFFFF"/>
            <w:noWrap/>
            <w:vAlign w:val="bottom"/>
          </w:tcPr>
          <w:p w:rsidR="00D81800" w:rsidRPr="00A11A77" w:rsidRDefault="00D81800" w:rsidP="00823240">
            <w:pPr>
              <w:suppressAutoHyphens/>
              <w:jc w:val="both"/>
              <w:rPr>
                <w:rFonts w:cs="Arial"/>
                <w:b/>
                <w:bCs/>
                <w:kern w:val="1"/>
                <w:sz w:val="20"/>
                <w:szCs w:val="20"/>
                <w:u w:val="single"/>
              </w:rPr>
            </w:pPr>
            <w:r w:rsidRPr="00A11A77">
              <w:rPr>
                <w:rFonts w:cs="Arial"/>
                <w:b/>
                <w:bCs/>
                <w:kern w:val="1"/>
                <w:sz w:val="20"/>
                <w:szCs w:val="20"/>
                <w:u w:val="single"/>
              </w:rPr>
              <w:t>CODIGO TRIBUTARIO multas</w:t>
            </w:r>
          </w:p>
        </w:tc>
        <w:tc>
          <w:tcPr>
            <w:tcW w:w="2800" w:type="dxa"/>
            <w:gridSpan w:val="2"/>
            <w:tcBorders>
              <w:top w:val="single" w:sz="4" w:space="0" w:color="auto"/>
              <w:left w:val="single" w:sz="4" w:space="0" w:color="auto"/>
              <w:bottom w:val="nil"/>
              <w:right w:val="nil"/>
            </w:tcBorders>
            <w:shd w:val="clear" w:color="auto" w:fill="FFFFFF"/>
            <w:noWrap/>
            <w:vAlign w:val="bottom"/>
          </w:tcPr>
          <w:p w:rsidR="00D81800" w:rsidRPr="00A11A77" w:rsidRDefault="00D81800" w:rsidP="00823240">
            <w:pPr>
              <w:suppressAutoHyphens/>
              <w:jc w:val="both"/>
              <w:rPr>
                <w:rFonts w:cs="Arial"/>
                <w:b/>
                <w:bCs/>
                <w:kern w:val="1"/>
                <w:sz w:val="20"/>
                <w:szCs w:val="20"/>
                <w:u w:val="single"/>
              </w:rPr>
            </w:pPr>
            <w:r w:rsidRPr="00A11A77">
              <w:rPr>
                <w:rFonts w:cs="Arial"/>
                <w:b/>
                <w:bCs/>
                <w:kern w:val="1"/>
                <w:sz w:val="20"/>
                <w:szCs w:val="20"/>
                <w:u w:val="single"/>
              </w:rPr>
              <w:t>DECRETO JDF 9/01 multas</w:t>
            </w:r>
          </w:p>
        </w:tc>
        <w:tc>
          <w:tcPr>
            <w:tcW w:w="1200" w:type="dxa"/>
            <w:tcBorders>
              <w:top w:val="single" w:sz="4" w:space="0" w:color="auto"/>
              <w:left w:val="nil"/>
              <w:bottom w:val="nil"/>
              <w:right w:val="single" w:sz="4" w:space="0" w:color="auto"/>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 </w:t>
            </w:r>
          </w:p>
        </w:tc>
      </w:tr>
      <w:tr w:rsidR="00D81800" w:rsidRPr="00A11A77" w:rsidTr="00823240">
        <w:trPr>
          <w:trHeight w:val="255"/>
        </w:trPr>
        <w:tc>
          <w:tcPr>
            <w:tcW w:w="827" w:type="dxa"/>
            <w:tcBorders>
              <w:top w:val="nil"/>
              <w:left w:val="single" w:sz="4" w:space="0" w:color="auto"/>
              <w:bottom w:val="nil"/>
              <w:right w:val="nil"/>
            </w:tcBorders>
            <w:shd w:val="clear" w:color="auto" w:fill="FFFFFF"/>
            <w:noWrap/>
            <w:vAlign w:val="bottom"/>
          </w:tcPr>
          <w:p w:rsidR="00D81800" w:rsidRPr="00A11A77" w:rsidRDefault="00D81800" w:rsidP="00823240">
            <w:pPr>
              <w:suppressAutoHyphens/>
              <w:jc w:val="right"/>
              <w:rPr>
                <w:rFonts w:cs="Arial"/>
                <w:kern w:val="1"/>
                <w:sz w:val="20"/>
                <w:szCs w:val="20"/>
              </w:rPr>
            </w:pPr>
            <w:r w:rsidRPr="00A11A77">
              <w:rPr>
                <w:rFonts w:cs="Arial"/>
                <w:kern w:val="1"/>
                <w:sz w:val="20"/>
                <w:szCs w:val="20"/>
              </w:rPr>
              <w:t>5%</w:t>
            </w:r>
          </w:p>
        </w:tc>
        <w:tc>
          <w:tcPr>
            <w:tcW w:w="2768" w:type="dxa"/>
            <w:tcBorders>
              <w:top w:val="nil"/>
              <w:left w:val="nil"/>
              <w:bottom w:val="nil"/>
              <w:right w:val="nil"/>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0-5 días hábiles</w:t>
            </w:r>
          </w:p>
        </w:tc>
        <w:tc>
          <w:tcPr>
            <w:tcW w:w="196" w:type="dxa"/>
            <w:tcBorders>
              <w:top w:val="nil"/>
              <w:left w:val="nil"/>
              <w:bottom w:val="nil"/>
              <w:right w:val="single" w:sz="4" w:space="0" w:color="auto"/>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 </w:t>
            </w:r>
          </w:p>
        </w:tc>
        <w:tc>
          <w:tcPr>
            <w:tcW w:w="751" w:type="dxa"/>
            <w:tcBorders>
              <w:top w:val="nil"/>
              <w:left w:val="nil"/>
              <w:bottom w:val="nil"/>
              <w:right w:val="nil"/>
            </w:tcBorders>
            <w:shd w:val="clear" w:color="auto" w:fill="FFFFFF"/>
            <w:noWrap/>
            <w:vAlign w:val="bottom"/>
          </w:tcPr>
          <w:p w:rsidR="00D81800" w:rsidRPr="00A11A77" w:rsidRDefault="00D81800" w:rsidP="00823240">
            <w:pPr>
              <w:suppressAutoHyphens/>
              <w:jc w:val="right"/>
              <w:rPr>
                <w:rFonts w:cs="Arial"/>
                <w:kern w:val="1"/>
                <w:sz w:val="20"/>
                <w:szCs w:val="20"/>
              </w:rPr>
            </w:pPr>
            <w:r w:rsidRPr="00A11A77">
              <w:rPr>
                <w:rFonts w:cs="Arial"/>
                <w:kern w:val="1"/>
                <w:sz w:val="20"/>
                <w:szCs w:val="20"/>
              </w:rPr>
              <w:t>0%</w:t>
            </w:r>
          </w:p>
        </w:tc>
        <w:tc>
          <w:tcPr>
            <w:tcW w:w="2049" w:type="dxa"/>
            <w:tcBorders>
              <w:top w:val="nil"/>
              <w:left w:val="nil"/>
              <w:bottom w:val="nil"/>
              <w:right w:val="nil"/>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del día 1 al 2</w:t>
            </w:r>
          </w:p>
        </w:tc>
        <w:tc>
          <w:tcPr>
            <w:tcW w:w="1200" w:type="dxa"/>
            <w:tcBorders>
              <w:top w:val="nil"/>
              <w:left w:val="nil"/>
              <w:bottom w:val="nil"/>
              <w:right w:val="single" w:sz="4" w:space="0" w:color="auto"/>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 </w:t>
            </w:r>
          </w:p>
        </w:tc>
      </w:tr>
      <w:tr w:rsidR="00D81800" w:rsidRPr="00A11A77" w:rsidTr="00823240">
        <w:trPr>
          <w:trHeight w:val="255"/>
        </w:trPr>
        <w:tc>
          <w:tcPr>
            <w:tcW w:w="827" w:type="dxa"/>
            <w:tcBorders>
              <w:top w:val="nil"/>
              <w:left w:val="single" w:sz="4" w:space="0" w:color="auto"/>
              <w:bottom w:val="nil"/>
              <w:right w:val="nil"/>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 </w:t>
            </w:r>
          </w:p>
        </w:tc>
        <w:tc>
          <w:tcPr>
            <w:tcW w:w="2768" w:type="dxa"/>
            <w:tcBorders>
              <w:top w:val="nil"/>
              <w:left w:val="nil"/>
              <w:bottom w:val="nil"/>
              <w:right w:val="nil"/>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 </w:t>
            </w:r>
          </w:p>
        </w:tc>
        <w:tc>
          <w:tcPr>
            <w:tcW w:w="196" w:type="dxa"/>
            <w:tcBorders>
              <w:top w:val="nil"/>
              <w:left w:val="nil"/>
              <w:bottom w:val="nil"/>
              <w:right w:val="single" w:sz="4" w:space="0" w:color="auto"/>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 </w:t>
            </w:r>
          </w:p>
        </w:tc>
        <w:tc>
          <w:tcPr>
            <w:tcW w:w="751" w:type="dxa"/>
            <w:tcBorders>
              <w:top w:val="nil"/>
              <w:left w:val="nil"/>
              <w:bottom w:val="nil"/>
              <w:right w:val="nil"/>
            </w:tcBorders>
            <w:shd w:val="clear" w:color="auto" w:fill="FFFFFF"/>
            <w:noWrap/>
            <w:vAlign w:val="bottom"/>
          </w:tcPr>
          <w:p w:rsidR="00D81800" w:rsidRPr="00A11A77" w:rsidRDefault="00D81800" w:rsidP="00823240">
            <w:pPr>
              <w:suppressAutoHyphens/>
              <w:jc w:val="right"/>
              <w:rPr>
                <w:rFonts w:cs="Arial"/>
                <w:kern w:val="1"/>
                <w:sz w:val="20"/>
                <w:szCs w:val="20"/>
              </w:rPr>
            </w:pPr>
            <w:r w:rsidRPr="00A11A77">
              <w:rPr>
                <w:rFonts w:cs="Arial"/>
                <w:kern w:val="1"/>
                <w:sz w:val="20"/>
                <w:szCs w:val="20"/>
              </w:rPr>
              <w:t>5%</w:t>
            </w:r>
          </w:p>
        </w:tc>
        <w:tc>
          <w:tcPr>
            <w:tcW w:w="2049" w:type="dxa"/>
            <w:tcBorders>
              <w:top w:val="nil"/>
              <w:left w:val="nil"/>
              <w:bottom w:val="nil"/>
              <w:right w:val="nil"/>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3-5 día</w:t>
            </w:r>
          </w:p>
        </w:tc>
        <w:tc>
          <w:tcPr>
            <w:tcW w:w="1200" w:type="dxa"/>
            <w:tcBorders>
              <w:top w:val="nil"/>
              <w:left w:val="nil"/>
              <w:bottom w:val="nil"/>
              <w:right w:val="single" w:sz="4" w:space="0" w:color="auto"/>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 </w:t>
            </w:r>
          </w:p>
        </w:tc>
      </w:tr>
      <w:tr w:rsidR="00D81800" w:rsidRPr="00A11A77" w:rsidTr="00823240">
        <w:trPr>
          <w:trHeight w:val="255"/>
        </w:trPr>
        <w:tc>
          <w:tcPr>
            <w:tcW w:w="827" w:type="dxa"/>
            <w:tcBorders>
              <w:top w:val="nil"/>
              <w:left w:val="single" w:sz="4" w:space="0" w:color="auto"/>
              <w:bottom w:val="nil"/>
              <w:right w:val="nil"/>
            </w:tcBorders>
            <w:shd w:val="clear" w:color="auto" w:fill="FFFFFF"/>
            <w:noWrap/>
            <w:vAlign w:val="bottom"/>
          </w:tcPr>
          <w:p w:rsidR="00D81800" w:rsidRPr="00A11A77" w:rsidRDefault="00D81800" w:rsidP="00823240">
            <w:pPr>
              <w:suppressAutoHyphens/>
              <w:jc w:val="right"/>
              <w:rPr>
                <w:rFonts w:cs="Arial"/>
                <w:kern w:val="1"/>
                <w:sz w:val="20"/>
                <w:szCs w:val="20"/>
              </w:rPr>
            </w:pPr>
            <w:r w:rsidRPr="00A11A77">
              <w:rPr>
                <w:rFonts w:cs="Arial"/>
                <w:kern w:val="1"/>
                <w:sz w:val="20"/>
                <w:szCs w:val="20"/>
              </w:rPr>
              <w:t>10%</w:t>
            </w:r>
          </w:p>
        </w:tc>
        <w:tc>
          <w:tcPr>
            <w:tcW w:w="2768" w:type="dxa"/>
            <w:tcBorders>
              <w:top w:val="nil"/>
              <w:left w:val="nil"/>
              <w:bottom w:val="nil"/>
              <w:right w:val="nil"/>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6to.día hábil-90 días corridos</w:t>
            </w:r>
          </w:p>
        </w:tc>
        <w:tc>
          <w:tcPr>
            <w:tcW w:w="196" w:type="dxa"/>
            <w:tcBorders>
              <w:top w:val="nil"/>
              <w:left w:val="nil"/>
              <w:bottom w:val="nil"/>
              <w:right w:val="single" w:sz="4" w:space="0" w:color="auto"/>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 </w:t>
            </w:r>
          </w:p>
        </w:tc>
        <w:tc>
          <w:tcPr>
            <w:tcW w:w="751" w:type="dxa"/>
            <w:tcBorders>
              <w:top w:val="nil"/>
              <w:left w:val="nil"/>
              <w:bottom w:val="nil"/>
              <w:right w:val="nil"/>
            </w:tcBorders>
            <w:shd w:val="clear" w:color="auto" w:fill="FFFFFF"/>
            <w:noWrap/>
            <w:vAlign w:val="bottom"/>
          </w:tcPr>
          <w:p w:rsidR="00D81800" w:rsidRPr="00A11A77" w:rsidRDefault="00D81800" w:rsidP="00823240">
            <w:pPr>
              <w:suppressAutoHyphens/>
              <w:jc w:val="right"/>
              <w:rPr>
                <w:rFonts w:cs="Arial"/>
                <w:kern w:val="1"/>
                <w:sz w:val="20"/>
                <w:szCs w:val="20"/>
              </w:rPr>
            </w:pPr>
            <w:r w:rsidRPr="00A11A77">
              <w:rPr>
                <w:rFonts w:cs="Arial"/>
                <w:kern w:val="1"/>
                <w:sz w:val="20"/>
                <w:szCs w:val="20"/>
              </w:rPr>
              <w:t>10%</w:t>
            </w:r>
          </w:p>
        </w:tc>
        <w:tc>
          <w:tcPr>
            <w:tcW w:w="2049" w:type="dxa"/>
            <w:tcBorders>
              <w:top w:val="nil"/>
              <w:left w:val="nil"/>
              <w:bottom w:val="nil"/>
              <w:right w:val="nil"/>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6-15 día</w:t>
            </w:r>
          </w:p>
        </w:tc>
        <w:tc>
          <w:tcPr>
            <w:tcW w:w="1200" w:type="dxa"/>
            <w:tcBorders>
              <w:top w:val="nil"/>
              <w:left w:val="nil"/>
              <w:bottom w:val="nil"/>
              <w:right w:val="single" w:sz="4" w:space="0" w:color="auto"/>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 </w:t>
            </w:r>
          </w:p>
        </w:tc>
      </w:tr>
      <w:tr w:rsidR="00D81800" w:rsidRPr="00A11A77" w:rsidTr="00823240">
        <w:trPr>
          <w:trHeight w:val="255"/>
        </w:trPr>
        <w:tc>
          <w:tcPr>
            <w:tcW w:w="827" w:type="dxa"/>
            <w:tcBorders>
              <w:top w:val="nil"/>
              <w:left w:val="single" w:sz="4" w:space="0" w:color="auto"/>
              <w:bottom w:val="single" w:sz="4" w:space="0" w:color="auto"/>
              <w:right w:val="nil"/>
            </w:tcBorders>
            <w:shd w:val="clear" w:color="auto" w:fill="FFFFFF"/>
            <w:noWrap/>
            <w:vAlign w:val="bottom"/>
          </w:tcPr>
          <w:p w:rsidR="00D81800" w:rsidRPr="00A11A77" w:rsidRDefault="00D81800" w:rsidP="00823240">
            <w:pPr>
              <w:suppressAutoHyphens/>
              <w:jc w:val="right"/>
              <w:rPr>
                <w:rFonts w:cs="Arial"/>
                <w:kern w:val="1"/>
                <w:sz w:val="20"/>
                <w:szCs w:val="20"/>
              </w:rPr>
            </w:pPr>
            <w:r w:rsidRPr="00A11A77">
              <w:rPr>
                <w:rFonts w:cs="Arial"/>
                <w:kern w:val="1"/>
                <w:sz w:val="20"/>
                <w:szCs w:val="20"/>
              </w:rPr>
              <w:t>20%</w:t>
            </w:r>
          </w:p>
        </w:tc>
        <w:tc>
          <w:tcPr>
            <w:tcW w:w="2964" w:type="dxa"/>
            <w:gridSpan w:val="2"/>
            <w:tcBorders>
              <w:top w:val="nil"/>
              <w:left w:val="nil"/>
              <w:bottom w:val="single" w:sz="4" w:space="0" w:color="auto"/>
              <w:right w:val="single" w:sz="4" w:space="0" w:color="000000"/>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más de 90 días corridos</w:t>
            </w:r>
          </w:p>
        </w:tc>
        <w:tc>
          <w:tcPr>
            <w:tcW w:w="751" w:type="dxa"/>
            <w:tcBorders>
              <w:top w:val="nil"/>
              <w:left w:val="nil"/>
              <w:bottom w:val="single" w:sz="4" w:space="0" w:color="auto"/>
              <w:right w:val="nil"/>
            </w:tcBorders>
            <w:shd w:val="clear" w:color="auto" w:fill="FFFFFF"/>
            <w:noWrap/>
            <w:vAlign w:val="bottom"/>
          </w:tcPr>
          <w:p w:rsidR="00D81800" w:rsidRPr="00A11A77" w:rsidRDefault="00D81800" w:rsidP="00823240">
            <w:pPr>
              <w:suppressAutoHyphens/>
              <w:jc w:val="right"/>
              <w:rPr>
                <w:rFonts w:cs="Arial"/>
                <w:kern w:val="1"/>
                <w:sz w:val="20"/>
                <w:szCs w:val="20"/>
              </w:rPr>
            </w:pPr>
            <w:r w:rsidRPr="00A11A77">
              <w:rPr>
                <w:rFonts w:cs="Arial"/>
                <w:kern w:val="1"/>
                <w:sz w:val="20"/>
                <w:szCs w:val="20"/>
              </w:rPr>
              <w:t>15%</w:t>
            </w:r>
          </w:p>
        </w:tc>
        <w:tc>
          <w:tcPr>
            <w:tcW w:w="3249" w:type="dxa"/>
            <w:gridSpan w:val="2"/>
            <w:tcBorders>
              <w:top w:val="nil"/>
              <w:left w:val="nil"/>
              <w:bottom w:val="single" w:sz="4" w:space="0" w:color="auto"/>
              <w:right w:val="single" w:sz="4" w:space="0" w:color="000000"/>
            </w:tcBorders>
            <w:shd w:val="clear" w:color="auto" w:fill="FFFFFF"/>
            <w:noWrap/>
            <w:vAlign w:val="bottom"/>
          </w:tcPr>
          <w:p w:rsidR="00D81800" w:rsidRPr="00A11A77" w:rsidRDefault="00D81800" w:rsidP="00823240">
            <w:pPr>
              <w:suppressAutoHyphens/>
              <w:jc w:val="both"/>
              <w:rPr>
                <w:rFonts w:cs="Arial"/>
                <w:kern w:val="1"/>
                <w:sz w:val="20"/>
                <w:szCs w:val="20"/>
              </w:rPr>
            </w:pPr>
            <w:r w:rsidRPr="00A11A77">
              <w:rPr>
                <w:rFonts w:cs="Arial"/>
                <w:kern w:val="1"/>
                <w:sz w:val="20"/>
                <w:szCs w:val="20"/>
              </w:rPr>
              <w:t xml:space="preserve">más de 16 días </w:t>
            </w:r>
          </w:p>
        </w:tc>
      </w:tr>
    </w:tbl>
    <w:p w:rsidR="00D81800" w:rsidRDefault="00D81800" w:rsidP="004F636F">
      <w:pPr>
        <w:suppressAutoHyphens/>
        <w:spacing w:line="360" w:lineRule="auto"/>
        <w:jc w:val="both"/>
        <w:rPr>
          <w:rFonts w:cs="Arial"/>
          <w:b/>
          <w:lang w:val="es-ES_tradnl"/>
        </w:rPr>
      </w:pPr>
    </w:p>
    <w:p w:rsidR="00D81800" w:rsidRDefault="00D81800" w:rsidP="004F636F">
      <w:pPr>
        <w:suppressAutoHyphens/>
        <w:spacing w:line="360" w:lineRule="auto"/>
        <w:jc w:val="both"/>
        <w:rPr>
          <w:rFonts w:cs="Arial"/>
          <w:lang w:val="es-ES_tradnl"/>
        </w:rPr>
      </w:pPr>
      <w:r>
        <w:rPr>
          <w:rFonts w:cs="Arial"/>
          <w:b/>
          <w:lang w:val="es-ES_tradnl"/>
        </w:rPr>
        <w:t>3</w:t>
      </w:r>
      <w:r w:rsidRPr="00C250C8">
        <w:rPr>
          <w:rFonts w:cs="Arial"/>
          <w:b/>
          <w:lang w:val="es-ES_tradnl"/>
        </w:rPr>
        <w:t>. Artículo 49 de la Ley Nº 18.651:</w:t>
      </w:r>
      <w:r w:rsidRPr="00C250C8">
        <w:rPr>
          <w:rFonts w:cs="Arial"/>
          <w:lang w:val="es-ES_tradnl"/>
        </w:rPr>
        <w:t xml:space="preserve"> En el ejercicio 2017</w:t>
      </w:r>
      <w:r>
        <w:rPr>
          <w:rFonts w:cs="Arial"/>
          <w:lang w:val="es-ES_tradnl"/>
        </w:rPr>
        <w:t xml:space="preserve"> no se dio cumplimiento a lo dispuesto en esta norma al no haber contratado personas con discapacidad en una proporción mínima no inferior al 4% de sus vacantes</w:t>
      </w:r>
      <w:r w:rsidR="00D55ACA">
        <w:rPr>
          <w:rFonts w:cs="Arial"/>
          <w:lang w:val="es-ES_tradnl"/>
        </w:rPr>
        <w:t>.</w:t>
      </w:r>
    </w:p>
    <w:p w:rsidR="00D81800" w:rsidRPr="0049155E" w:rsidRDefault="00D81800" w:rsidP="004F636F">
      <w:pPr>
        <w:suppressAutoHyphens/>
        <w:spacing w:line="360" w:lineRule="auto"/>
        <w:jc w:val="both"/>
        <w:rPr>
          <w:rFonts w:cs="Arial"/>
          <w:lang w:val="es-ES_tradnl"/>
        </w:rPr>
      </w:pPr>
      <w:r>
        <w:rPr>
          <w:rFonts w:cs="Arial"/>
          <w:b/>
          <w:lang w:val="es-ES_tradnl"/>
        </w:rPr>
        <w:t>4</w:t>
      </w:r>
      <w:r w:rsidRPr="00327014">
        <w:rPr>
          <w:rFonts w:cs="Arial"/>
          <w:b/>
          <w:lang w:val="es-ES_tradnl"/>
        </w:rPr>
        <w:t xml:space="preserve">. Artículos 12 y 14 de </w:t>
      </w:r>
      <w:smartTag w:uri="urn:schemas-microsoft-com:office:smarttags" w:element="PersonName">
        <w:smartTagPr>
          <w:attr w:name="ProductID" w:val="la Ley N"/>
        </w:smartTagPr>
        <w:r w:rsidRPr="00327014">
          <w:rPr>
            <w:rFonts w:cs="Arial"/>
            <w:b/>
            <w:lang w:val="es-ES_tradnl"/>
          </w:rPr>
          <w:t>la Ley N</w:t>
        </w:r>
      </w:smartTag>
      <w:r w:rsidRPr="00327014">
        <w:rPr>
          <w:rFonts w:cs="Arial"/>
          <w:b/>
          <w:lang w:val="es-ES_tradnl"/>
        </w:rPr>
        <w:t>º 19.272:</w:t>
      </w:r>
      <w:r w:rsidRPr="00327014">
        <w:rPr>
          <w:rFonts w:cs="Arial"/>
          <w:lang w:val="es-ES_tradnl"/>
        </w:rPr>
        <w:t xml:space="preserve"> Si bien en el ejercicio 2017 la Intendencia </w:t>
      </w:r>
      <w:r>
        <w:rPr>
          <w:rFonts w:cs="Arial"/>
          <w:lang w:val="es-ES_tradnl"/>
        </w:rPr>
        <w:t xml:space="preserve">reglamentó para </w:t>
      </w:r>
      <w:r w:rsidRPr="00327014">
        <w:rPr>
          <w:rFonts w:cs="Arial"/>
          <w:lang w:val="es-ES_tradnl"/>
        </w:rPr>
        <w:t xml:space="preserve">el funcionamiento </w:t>
      </w:r>
      <w:r>
        <w:rPr>
          <w:rFonts w:cs="Arial"/>
          <w:lang w:val="es-ES_tradnl"/>
        </w:rPr>
        <w:t xml:space="preserve">del sistema de compras que los gastos y pagos sean ordenandos por el </w:t>
      </w:r>
      <w:r w:rsidRPr="00327014">
        <w:rPr>
          <w:rFonts w:cs="Arial"/>
          <w:lang w:val="es-ES_tradnl"/>
        </w:rPr>
        <w:t>Concejo o por el Alcalde respectivamente</w:t>
      </w:r>
      <w:r>
        <w:rPr>
          <w:rFonts w:cs="Arial"/>
          <w:lang w:val="es-ES_tradnl"/>
        </w:rPr>
        <w:t xml:space="preserve">, se constataron casos que los gastos no son ordenados por el </w:t>
      </w:r>
      <w:r w:rsidRPr="0049155E">
        <w:rPr>
          <w:rFonts w:cs="Arial"/>
          <w:lang w:val="es-ES_tradnl"/>
        </w:rPr>
        <w:t>Alcalde y dos concejales como mínimo. El 32% de los casos de la muestra analizada incumple dicha norma.</w:t>
      </w:r>
    </w:p>
    <w:p w:rsidR="00D81800" w:rsidRPr="0022387B" w:rsidRDefault="00D81800" w:rsidP="004F636F">
      <w:pPr>
        <w:suppressAutoHyphens/>
        <w:spacing w:line="360" w:lineRule="auto"/>
        <w:jc w:val="both"/>
        <w:rPr>
          <w:rFonts w:cs="Arial"/>
          <w:lang w:val="es-ES_tradnl"/>
        </w:rPr>
      </w:pPr>
      <w:r>
        <w:rPr>
          <w:rFonts w:cs="Arial"/>
          <w:b/>
          <w:lang w:val="es-ES_tradnl"/>
        </w:rPr>
        <w:t>5</w:t>
      </w:r>
      <w:r w:rsidRPr="00C0054C">
        <w:rPr>
          <w:rFonts w:cs="Arial"/>
          <w:b/>
          <w:lang w:val="es-ES_tradnl"/>
        </w:rPr>
        <w:t>. Artículo 16 del TOCAF:</w:t>
      </w:r>
      <w:r w:rsidRPr="00C0054C">
        <w:rPr>
          <w:rFonts w:cs="Arial"/>
          <w:lang w:val="es-ES_tradnl"/>
        </w:rPr>
        <w:t xml:space="preserve"> Se imputaron gastos en objetos presupuestales que no </w:t>
      </w:r>
      <w:r w:rsidRPr="0022387B">
        <w:rPr>
          <w:rFonts w:cs="Arial"/>
          <w:lang w:val="es-ES_tradnl"/>
        </w:rPr>
        <w:t xml:space="preserve">corresponden por su concepto. Se constataron gastos imputados </w:t>
      </w:r>
      <w:r>
        <w:rPr>
          <w:rFonts w:cs="Arial"/>
          <w:lang w:val="es-ES_tradnl"/>
        </w:rPr>
        <w:t xml:space="preserve">al grupo 5 Transferencias </w:t>
      </w:r>
      <w:r w:rsidRPr="0022387B">
        <w:rPr>
          <w:rFonts w:cs="Arial"/>
          <w:lang w:val="es-ES_tradnl"/>
        </w:rPr>
        <w:t>al objeto presupuestal 559</w:t>
      </w:r>
      <w:r>
        <w:rPr>
          <w:rFonts w:cs="Arial"/>
          <w:lang w:val="es-ES_tradnl"/>
        </w:rPr>
        <w:t xml:space="preserve">, </w:t>
      </w:r>
      <w:r w:rsidRPr="0022387B">
        <w:rPr>
          <w:rFonts w:cs="Arial"/>
          <w:lang w:val="es-ES_tradnl"/>
        </w:rPr>
        <w:t>que corresponden imputarlos en el grupo 2</w:t>
      </w:r>
      <w:r>
        <w:rPr>
          <w:rFonts w:cs="Arial"/>
          <w:lang w:val="es-ES_tradnl"/>
        </w:rPr>
        <w:t xml:space="preserve"> Servicios no personales </w:t>
      </w:r>
      <w:r w:rsidRPr="0022387B">
        <w:rPr>
          <w:rFonts w:cs="Arial"/>
          <w:lang w:val="es-ES_tradnl"/>
        </w:rPr>
        <w:t xml:space="preserve">al objeto 289 por tratarse de servicios </w:t>
      </w:r>
      <w:proofErr w:type="spellStart"/>
      <w:r w:rsidRPr="0022387B">
        <w:rPr>
          <w:rFonts w:cs="Arial"/>
          <w:lang w:val="es-ES_tradnl"/>
        </w:rPr>
        <w:t>tercerizados</w:t>
      </w:r>
      <w:proofErr w:type="spellEnd"/>
      <w:r w:rsidRPr="0022387B">
        <w:rPr>
          <w:rFonts w:cs="Arial"/>
          <w:lang w:val="es-ES_tradnl"/>
        </w:rPr>
        <w:t xml:space="preserve"> a una ONG por concepto de limpieza, barrido y vigilancia. Los mismos ascienden a $ 8.269.179</w:t>
      </w:r>
      <w:r w:rsidR="00D55ACA">
        <w:rPr>
          <w:rFonts w:cs="Arial"/>
          <w:lang w:val="es-ES_tradnl"/>
        </w:rPr>
        <w:t>.</w:t>
      </w:r>
    </w:p>
    <w:p w:rsidR="00D81800" w:rsidRPr="00C15E74" w:rsidRDefault="00D81800" w:rsidP="004F636F">
      <w:pPr>
        <w:suppressAutoHyphens/>
        <w:spacing w:line="360" w:lineRule="auto"/>
        <w:jc w:val="both"/>
        <w:rPr>
          <w:rFonts w:cs="Arial"/>
          <w:lang w:val="es-ES_tradnl"/>
        </w:rPr>
      </w:pPr>
      <w:r>
        <w:rPr>
          <w:rFonts w:cs="Arial"/>
          <w:b/>
          <w:lang w:val="es-ES_tradnl"/>
        </w:rPr>
        <w:t>6</w:t>
      </w:r>
      <w:r w:rsidRPr="00C15E74">
        <w:rPr>
          <w:rFonts w:cs="Arial"/>
          <w:b/>
          <w:lang w:val="es-ES_tradnl"/>
        </w:rPr>
        <w:t>. Artículo 50 del TOCAF:</w:t>
      </w:r>
      <w:r w:rsidRPr="00C15E74">
        <w:rPr>
          <w:rFonts w:cs="Arial"/>
          <w:lang w:val="es-ES_tradnl"/>
        </w:rPr>
        <w:t xml:space="preserve"> No se publicaron las contrataciones mayores al 50% del tope de compra directa en el sitio web de comp</w:t>
      </w:r>
      <w:r w:rsidR="00D55ACA">
        <w:rPr>
          <w:rFonts w:cs="Arial"/>
          <w:lang w:val="es-ES_tradnl"/>
        </w:rPr>
        <w:t>ras y contrataciones estatales.</w:t>
      </w:r>
    </w:p>
    <w:p w:rsidR="00D81800" w:rsidRPr="00B7365B" w:rsidRDefault="00D81800" w:rsidP="004F636F">
      <w:pPr>
        <w:suppressAutoHyphens/>
        <w:spacing w:line="360" w:lineRule="auto"/>
        <w:jc w:val="both"/>
        <w:rPr>
          <w:rFonts w:cs="Arial"/>
        </w:rPr>
      </w:pPr>
      <w:r>
        <w:rPr>
          <w:rFonts w:cs="Arial"/>
          <w:b/>
          <w:bCs/>
          <w:lang w:val="es-ES_tradnl"/>
        </w:rPr>
        <w:t>7</w:t>
      </w:r>
      <w:r w:rsidRPr="00B7365B">
        <w:rPr>
          <w:rFonts w:cs="Arial"/>
          <w:b/>
          <w:bCs/>
          <w:lang w:val="es-ES_tradnl"/>
        </w:rPr>
        <w:t xml:space="preserve">. </w:t>
      </w:r>
      <w:r w:rsidRPr="00B7365B">
        <w:rPr>
          <w:rFonts w:cs="Arial"/>
          <w:b/>
          <w:lang w:val="es-ES_tradnl"/>
        </w:rPr>
        <w:t xml:space="preserve">Artículos </w:t>
      </w:r>
      <w:r w:rsidRPr="00B7365B">
        <w:rPr>
          <w:rFonts w:cs="Arial"/>
          <w:b/>
          <w:bCs/>
          <w:lang w:val="es-ES_tradnl"/>
        </w:rPr>
        <w:t xml:space="preserve">84 y 97 del TOCAF: </w:t>
      </w:r>
      <w:smartTag w:uri="urn:schemas-microsoft-com:office:smarttags" w:element="PersonName">
        <w:smartTagPr>
          <w:attr w:name="ProductID" w:val="la Intendencia"/>
        </w:smartTagPr>
        <w:r w:rsidRPr="00B7365B">
          <w:rPr>
            <w:rFonts w:cs="Arial"/>
          </w:rPr>
          <w:t>La Intendencia</w:t>
        </w:r>
      </w:smartTag>
      <w:r w:rsidRPr="00B7365B">
        <w:rPr>
          <w:rFonts w:cs="Arial"/>
        </w:rPr>
        <w:t xml:space="preserve"> no cuenta con un inventario completo y valuado de la totalidad de los bienes que integran su patrimonio.</w:t>
      </w:r>
    </w:p>
    <w:p w:rsidR="00D81800" w:rsidRPr="002B6A07" w:rsidRDefault="00D81800" w:rsidP="004F636F">
      <w:pPr>
        <w:suppressAutoHyphens/>
        <w:spacing w:line="360" w:lineRule="auto"/>
        <w:jc w:val="both"/>
        <w:rPr>
          <w:rFonts w:cs="Arial"/>
          <w:bCs/>
          <w:lang w:val="es-ES_tradnl"/>
        </w:rPr>
      </w:pPr>
      <w:r>
        <w:rPr>
          <w:rFonts w:cs="Arial"/>
          <w:b/>
          <w:lang w:val="es-ES_tradnl"/>
        </w:rPr>
        <w:t>8</w:t>
      </w:r>
      <w:r w:rsidRPr="002B6A07">
        <w:rPr>
          <w:rFonts w:cs="Arial"/>
          <w:b/>
          <w:lang w:val="es-ES_tradnl"/>
        </w:rPr>
        <w:t xml:space="preserve">. Artículos 90 y 154 del TOCAF: </w:t>
      </w:r>
      <w:r w:rsidRPr="002B6A07">
        <w:rPr>
          <w:rFonts w:cs="Arial"/>
          <w:bCs/>
          <w:lang w:val="es-ES_tradnl"/>
        </w:rPr>
        <w:t>La Administración no ha efectuado contrato de fianza o seguro de caución de fidelidad respecto de la totalidad de los funcionarios que manejan o custodian fondos o valore</w:t>
      </w:r>
      <w:r w:rsidR="00D55ACA">
        <w:rPr>
          <w:rFonts w:cs="Arial"/>
          <w:bCs/>
          <w:lang w:val="es-ES_tradnl"/>
        </w:rPr>
        <w:t>s.</w:t>
      </w:r>
    </w:p>
    <w:p w:rsidR="00D81800" w:rsidRPr="00B7365B" w:rsidRDefault="00D81800" w:rsidP="004F636F">
      <w:pPr>
        <w:suppressAutoHyphens/>
        <w:spacing w:line="360" w:lineRule="auto"/>
        <w:jc w:val="both"/>
        <w:rPr>
          <w:rFonts w:cs="Arial"/>
          <w:bCs/>
          <w:lang w:val="es-ES_tradnl"/>
        </w:rPr>
      </w:pPr>
      <w:r>
        <w:rPr>
          <w:rFonts w:cs="Arial"/>
          <w:b/>
          <w:lang w:val="es-ES_tradnl"/>
        </w:rPr>
        <w:t>9</w:t>
      </w:r>
      <w:r w:rsidRPr="00B7365B">
        <w:rPr>
          <w:rFonts w:cs="Arial"/>
          <w:b/>
          <w:lang w:val="es-ES_tradnl"/>
        </w:rPr>
        <w:t>. Artículo 94 del TOCAF y Ordenanza Nº 89 del Tribunal de Cuentas:</w:t>
      </w:r>
      <w:r w:rsidRPr="00B7365B">
        <w:rPr>
          <w:rFonts w:cs="Arial"/>
          <w:b/>
          <w:bCs/>
          <w:lang w:val="es-ES_tradnl"/>
        </w:rPr>
        <w:t xml:space="preserve"> </w:t>
      </w:r>
      <w:r w:rsidRPr="00B7365B">
        <w:rPr>
          <w:rFonts w:cs="Arial"/>
          <w:bCs/>
          <w:lang w:val="es-ES_tradnl"/>
        </w:rPr>
        <w:t xml:space="preserve">La Intendencia no ha implementado en su totalidad un sistema de contabilidad patrimonial que permita cumplir con </w:t>
      </w:r>
      <w:r w:rsidR="00D55ACA">
        <w:rPr>
          <w:rFonts w:cs="Arial"/>
          <w:bCs/>
          <w:lang w:val="es-ES_tradnl"/>
        </w:rPr>
        <w:t>lo establecido en estas normas.</w:t>
      </w:r>
    </w:p>
    <w:p w:rsidR="00D81800" w:rsidRDefault="00D81800" w:rsidP="004F636F">
      <w:pPr>
        <w:suppressAutoHyphens/>
        <w:spacing w:line="360" w:lineRule="auto"/>
        <w:jc w:val="both"/>
        <w:rPr>
          <w:rFonts w:cs="Arial"/>
          <w:bCs/>
          <w:lang w:val="es-ES_tradnl"/>
        </w:rPr>
      </w:pPr>
      <w:r w:rsidRPr="009C7F12">
        <w:rPr>
          <w:rFonts w:cs="Arial"/>
          <w:b/>
          <w:bCs/>
          <w:lang w:val="es-ES_tradnl"/>
        </w:rPr>
        <w:t>1</w:t>
      </w:r>
      <w:r>
        <w:rPr>
          <w:rFonts w:cs="Arial"/>
          <w:b/>
          <w:bCs/>
          <w:lang w:val="es-ES_tradnl"/>
        </w:rPr>
        <w:t>0</w:t>
      </w:r>
      <w:r w:rsidRPr="009C7F12">
        <w:rPr>
          <w:rFonts w:cs="Arial"/>
          <w:b/>
          <w:bCs/>
          <w:lang w:val="es-ES_tradnl"/>
        </w:rPr>
        <w:t xml:space="preserve">. Artículo 31 del Decreto de la JDF Nº 24/90: </w:t>
      </w:r>
      <w:r w:rsidRPr="009C7F12">
        <w:rPr>
          <w:rFonts w:cs="Arial"/>
          <w:bCs/>
          <w:lang w:val="es-ES_tradnl"/>
        </w:rPr>
        <w:t xml:space="preserve">La Intendencia no aplicó correctamente </w:t>
      </w:r>
      <w:r>
        <w:rPr>
          <w:rFonts w:cs="Arial"/>
          <w:bCs/>
          <w:lang w:val="es-ES_tradnl"/>
        </w:rPr>
        <w:t>el valor de la tasa de expedición en el cobro de la con</w:t>
      </w:r>
      <w:r w:rsidR="00D55ACA">
        <w:rPr>
          <w:rFonts w:cs="Arial"/>
          <w:bCs/>
          <w:lang w:val="es-ES_tradnl"/>
        </w:rPr>
        <w:t>tribución inmobiliaria urbana.</w:t>
      </w:r>
    </w:p>
    <w:p w:rsidR="00D81800" w:rsidRDefault="00D81800" w:rsidP="004F636F">
      <w:pPr>
        <w:suppressAutoHyphens/>
        <w:spacing w:line="360" w:lineRule="auto"/>
        <w:jc w:val="both"/>
        <w:rPr>
          <w:rFonts w:cs="Arial"/>
          <w:bCs/>
          <w:lang w:val="es-ES_tradnl"/>
        </w:rPr>
      </w:pPr>
      <w:r w:rsidRPr="00A11A77">
        <w:rPr>
          <w:rFonts w:cs="Arial"/>
          <w:b/>
          <w:bCs/>
          <w:lang w:val="es-ES_tradnl"/>
        </w:rPr>
        <w:t>1</w:t>
      </w:r>
      <w:r>
        <w:rPr>
          <w:rFonts w:cs="Arial"/>
          <w:b/>
          <w:bCs/>
          <w:lang w:val="es-ES_tradnl"/>
        </w:rPr>
        <w:t>1</w:t>
      </w:r>
      <w:r w:rsidRPr="00A11A77">
        <w:rPr>
          <w:rFonts w:cs="Arial"/>
          <w:b/>
          <w:bCs/>
          <w:lang w:val="es-ES_tradnl"/>
        </w:rPr>
        <w:t>. Ordenanza Nº 62 del Tribunal de Cuentas:</w:t>
      </w:r>
      <w:r w:rsidRPr="00A11A77">
        <w:rPr>
          <w:rFonts w:cs="Arial"/>
          <w:bCs/>
          <w:lang w:val="es-ES_tradnl"/>
        </w:rPr>
        <w:t xml:space="preserve"> </w:t>
      </w:r>
      <w:r>
        <w:rPr>
          <w:rFonts w:cs="Arial"/>
          <w:bCs/>
          <w:lang w:val="es-ES_tradnl"/>
        </w:rPr>
        <w:t>El Decreto JDF Nº28/2017 y la Resolución JDF Nº 68/2017 los cuales refieren a modificación de recursos, fueron promulgados sin que la Junta Departamental los hubiera remitido a informe de este Tribunal.</w:t>
      </w:r>
    </w:p>
    <w:p w:rsidR="00D81800" w:rsidRDefault="00D81800" w:rsidP="00D55ACA">
      <w:pPr>
        <w:pStyle w:val="Textoindependiente"/>
        <w:ind w:left="4248"/>
        <w:jc w:val="right"/>
      </w:pPr>
      <w:r w:rsidRPr="00F43E7F">
        <w:t>Montevideo,</w:t>
      </w:r>
      <w:r>
        <w:t xml:space="preserve"> 4 de febrero de 2019</w:t>
      </w:r>
    </w:p>
    <w:p w:rsidR="00D81800" w:rsidRDefault="00D81800" w:rsidP="00926DC2">
      <w:pPr>
        <w:pStyle w:val="Textoindependiente"/>
        <w:ind w:left="4248"/>
      </w:pPr>
    </w:p>
    <w:p w:rsidR="00D81800" w:rsidRDefault="00D81800" w:rsidP="00926DC2">
      <w:pPr>
        <w:pStyle w:val="Textoindependiente"/>
        <w:ind w:left="4248"/>
      </w:pPr>
    </w:p>
    <w:p w:rsidR="00D81800" w:rsidRPr="005C46F4" w:rsidRDefault="00D55ACA" w:rsidP="001A0427">
      <w:pPr>
        <w:widowControl w:val="0"/>
        <w:spacing w:line="360" w:lineRule="auto"/>
        <w:jc w:val="both"/>
        <w:rPr>
          <w:rFonts w:cs="Arial"/>
          <w:sz w:val="20"/>
          <w:szCs w:val="20"/>
        </w:rPr>
      </w:pPr>
      <w:r w:rsidRPr="005C46F4">
        <w:rPr>
          <w:rFonts w:cs="Arial"/>
          <w:sz w:val="20"/>
          <w:szCs w:val="20"/>
        </w:rPr>
        <w:t>CLC</w:t>
      </w:r>
    </w:p>
    <w:p w:rsidR="00D81800" w:rsidRDefault="00D81800" w:rsidP="001A0427">
      <w:pPr>
        <w:widowControl w:val="0"/>
        <w:spacing w:line="360" w:lineRule="auto"/>
        <w:jc w:val="both"/>
        <w:rPr>
          <w:rFonts w:cs="Arial"/>
          <w:sz w:val="20"/>
          <w:szCs w:val="20"/>
        </w:rPr>
      </w:pPr>
    </w:p>
    <w:p w:rsidR="00D81800" w:rsidRDefault="00D81800" w:rsidP="001A0427">
      <w:pPr>
        <w:widowControl w:val="0"/>
        <w:spacing w:line="360" w:lineRule="auto"/>
        <w:jc w:val="both"/>
        <w:rPr>
          <w:rFonts w:cs="Arial"/>
          <w:sz w:val="20"/>
          <w:szCs w:val="20"/>
        </w:rPr>
      </w:pPr>
    </w:p>
    <w:p w:rsidR="00D81800" w:rsidRPr="00001744" w:rsidRDefault="00D81800" w:rsidP="005F010D">
      <w:pPr>
        <w:pStyle w:val="Textoindependiente"/>
        <w:jc w:val="center"/>
        <w:rPr>
          <w:b/>
        </w:rPr>
      </w:pPr>
      <w:r w:rsidRPr="00001744">
        <w:rPr>
          <w:b/>
        </w:rPr>
        <w:t>INFORME A LA ADMINISTRACIÓN</w:t>
      </w:r>
    </w:p>
    <w:p w:rsidR="00D81800" w:rsidRPr="00FA223C" w:rsidRDefault="00D81800" w:rsidP="00556B4C">
      <w:pPr>
        <w:pStyle w:val="Textoindependiente"/>
        <w:rPr>
          <w:highlight w:val="yellow"/>
        </w:rPr>
      </w:pPr>
    </w:p>
    <w:p w:rsidR="00D81800" w:rsidRPr="00952F33" w:rsidRDefault="00D81800" w:rsidP="00556B4C">
      <w:pPr>
        <w:pStyle w:val="Textoindependiente"/>
      </w:pPr>
      <w:r w:rsidRPr="00952F33">
        <w:t>El Tribunal de Cuentas ha examinado la Rendición de Cuentas y Balance de Ejecución Presupuestal de la Intendencia de Florida por el ejercicio finalizado al 31/12/2017 y ha emitido su correspondiente Dictamen.</w:t>
      </w:r>
    </w:p>
    <w:p w:rsidR="00D81800" w:rsidRPr="00952F33" w:rsidRDefault="00D81800" w:rsidP="00556B4C">
      <w:pPr>
        <w:pStyle w:val="Textoindependiente"/>
      </w:pPr>
      <w:r w:rsidRPr="00952F33">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D81800" w:rsidRDefault="00D81800" w:rsidP="00556B4C">
      <w:pPr>
        <w:pStyle w:val="Textoindependiente"/>
      </w:pPr>
      <w:r w:rsidRPr="00952F33">
        <w:t xml:space="preserve">También se agregan las principales recomendaciones que </w:t>
      </w:r>
      <w:proofErr w:type="gramStart"/>
      <w:r w:rsidRPr="00952F33">
        <w:t>deberá</w:t>
      </w:r>
      <w:proofErr w:type="gramEnd"/>
      <w:r w:rsidRPr="00952F33">
        <w:t xml:space="preserve"> atender el Organismo y una evaluación del cumplimiento de las recomendaciones presentadas en el informe de auditoría del ejercicio anterior.</w:t>
      </w:r>
    </w:p>
    <w:p w:rsidR="005C46F4" w:rsidRPr="00952F33" w:rsidRDefault="005C46F4" w:rsidP="00556B4C">
      <w:pPr>
        <w:pStyle w:val="Textoindependiente"/>
      </w:pPr>
    </w:p>
    <w:p w:rsidR="00D81800" w:rsidRPr="00E34EBA" w:rsidRDefault="00D81800" w:rsidP="00CE1F1B">
      <w:pPr>
        <w:spacing w:line="360" w:lineRule="auto"/>
        <w:rPr>
          <w:rFonts w:cs="Arial"/>
          <w:b/>
        </w:rPr>
      </w:pPr>
      <w:r>
        <w:rPr>
          <w:rFonts w:cs="Arial"/>
          <w:b/>
        </w:rPr>
        <w:t xml:space="preserve">1. </w:t>
      </w:r>
      <w:r w:rsidR="00D55ACA">
        <w:rPr>
          <w:rFonts w:cs="Arial"/>
          <w:b/>
        </w:rPr>
        <w:t>Presentación de los Estados</w:t>
      </w:r>
    </w:p>
    <w:p w:rsidR="00D81800" w:rsidRPr="00E34EBA" w:rsidRDefault="00D81800" w:rsidP="008B7AA3">
      <w:pPr>
        <w:spacing w:line="360" w:lineRule="auto"/>
        <w:jc w:val="both"/>
        <w:rPr>
          <w:rFonts w:cs="Arial"/>
          <w:spacing w:val="-3"/>
          <w:lang w:val="es-ES_tradnl"/>
        </w:rPr>
      </w:pPr>
      <w:r w:rsidRPr="00952F33">
        <w:rPr>
          <w:rFonts w:cs="Arial"/>
        </w:rPr>
        <w:t xml:space="preserve">La </w:t>
      </w:r>
      <w:r w:rsidRPr="00952F33">
        <w:t xml:space="preserve">Rendición de Cuentas y Balance de Ejecución Presupuestal de la Intendencia de Florida </w:t>
      </w:r>
      <w:r w:rsidRPr="00E34EBA">
        <w:rPr>
          <w:rFonts w:cs="Arial"/>
          <w:bCs/>
        </w:rPr>
        <w:t>correspondi</w:t>
      </w:r>
      <w:r>
        <w:rPr>
          <w:rFonts w:cs="Arial"/>
          <w:bCs/>
        </w:rPr>
        <w:t>entes al ejercicio finalizado el</w:t>
      </w:r>
      <w:r w:rsidRPr="00E34EBA">
        <w:rPr>
          <w:rFonts w:cs="Arial"/>
          <w:bCs/>
        </w:rPr>
        <w:t xml:space="preserve"> </w:t>
      </w:r>
      <w:r>
        <w:rPr>
          <w:rFonts w:cs="Arial"/>
          <w:spacing w:val="-12"/>
        </w:rPr>
        <w:t>31/12/2017</w:t>
      </w:r>
      <w:r>
        <w:rPr>
          <w:rFonts w:cs="Arial"/>
          <w:bCs/>
        </w:rPr>
        <w:t xml:space="preserve">, </w:t>
      </w:r>
      <w:r w:rsidRPr="00395D31">
        <w:rPr>
          <w:rFonts w:cs="Arial"/>
          <w:bCs/>
        </w:rPr>
        <w:t xml:space="preserve">fueron </w:t>
      </w:r>
      <w:r>
        <w:rPr>
          <w:rFonts w:cs="Arial"/>
          <w:bCs/>
        </w:rPr>
        <w:t xml:space="preserve">remitidos por la Junta Departamental </w:t>
      </w:r>
      <w:r>
        <w:rPr>
          <w:rFonts w:cs="Arial"/>
          <w:spacing w:val="-3"/>
          <w:lang w:val="es-ES_tradnl"/>
        </w:rPr>
        <w:t>a este Tribunal para realizar su informe.</w:t>
      </w:r>
    </w:p>
    <w:p w:rsidR="00D81800" w:rsidRDefault="00D81800" w:rsidP="008B7AA3">
      <w:pPr>
        <w:spacing w:line="360" w:lineRule="auto"/>
        <w:jc w:val="both"/>
        <w:rPr>
          <w:rFonts w:cs="Arial"/>
          <w:lang w:val="es-MX"/>
        </w:rPr>
      </w:pPr>
      <w:r w:rsidRPr="00044805">
        <w:rPr>
          <w:rFonts w:cs="Arial"/>
          <w:spacing w:val="-3"/>
          <w:lang w:val="es-ES_tradnl"/>
        </w:rPr>
        <w:t xml:space="preserve">Dichos estados se presentan de acuerdo a lo  establecido en </w:t>
      </w:r>
      <w:r w:rsidRPr="00044805">
        <w:rPr>
          <w:rFonts w:cs="Arial"/>
          <w:lang w:val="es-MX"/>
        </w:rPr>
        <w:t>Resolución de este Tribunal de fecha 28/01/</w:t>
      </w:r>
      <w:r>
        <w:rPr>
          <w:rFonts w:cs="Arial"/>
          <w:lang w:val="es-MX"/>
        </w:rPr>
        <w:t>20</w:t>
      </w:r>
      <w:r w:rsidRPr="00044805">
        <w:rPr>
          <w:rFonts w:cs="Arial"/>
          <w:lang w:val="es-MX"/>
        </w:rPr>
        <w:t>04.</w:t>
      </w:r>
    </w:p>
    <w:p w:rsidR="005C46F4" w:rsidRDefault="005C46F4" w:rsidP="008B7AA3">
      <w:pPr>
        <w:spacing w:line="360" w:lineRule="auto"/>
        <w:jc w:val="both"/>
        <w:rPr>
          <w:rFonts w:cs="Arial"/>
          <w:lang w:val="es-MX"/>
        </w:rPr>
      </w:pPr>
    </w:p>
    <w:p w:rsidR="00D81800" w:rsidRPr="00E34EBA" w:rsidRDefault="00D81800" w:rsidP="00CE1F1B">
      <w:pPr>
        <w:spacing w:line="360" w:lineRule="auto"/>
        <w:jc w:val="both"/>
        <w:rPr>
          <w:rFonts w:cs="Arial"/>
          <w:b/>
        </w:rPr>
      </w:pPr>
      <w:r>
        <w:rPr>
          <w:rFonts w:cs="Arial"/>
          <w:b/>
        </w:rPr>
        <w:t xml:space="preserve">2. </w:t>
      </w:r>
      <w:r w:rsidRPr="00E34EBA">
        <w:rPr>
          <w:rFonts w:cs="Arial"/>
          <w:b/>
        </w:rPr>
        <w:t>Evaluación del control interno</w:t>
      </w:r>
    </w:p>
    <w:p w:rsidR="00D81800" w:rsidRPr="005F010D" w:rsidRDefault="00D81800" w:rsidP="005F010D">
      <w:pPr>
        <w:spacing w:line="360" w:lineRule="auto"/>
        <w:jc w:val="both"/>
      </w:pPr>
      <w:r w:rsidRPr="00E34EBA">
        <w:rPr>
          <w:rFonts w:cs="Arial"/>
          <w:bCs/>
        </w:rPr>
        <w:t>El examen de los aspectos de control interno relevantes para la preparación y presentación</w:t>
      </w:r>
      <w:r>
        <w:rPr>
          <w:rFonts w:cs="Arial"/>
          <w:bCs/>
        </w:rPr>
        <w:t xml:space="preserve"> r</w:t>
      </w:r>
      <w:r w:rsidRPr="00E34EBA">
        <w:rPr>
          <w:rFonts w:cs="Arial"/>
          <w:bCs/>
        </w:rPr>
        <w:t xml:space="preserve">azonable de </w:t>
      </w:r>
      <w:r w:rsidRPr="00E34EBA">
        <w:rPr>
          <w:rFonts w:cs="Arial"/>
        </w:rPr>
        <w:t>l</w:t>
      </w:r>
      <w:r>
        <w:rPr>
          <w:rFonts w:cs="Arial"/>
        </w:rPr>
        <w:t xml:space="preserve">a </w:t>
      </w:r>
      <w:r>
        <w:t>Rendición de Cuentas y Balance de Ejecución Presupuestal permitió constatar la siguiente debilidad:</w:t>
      </w:r>
    </w:p>
    <w:p w:rsidR="00D81800" w:rsidRDefault="00D55ACA" w:rsidP="00452035">
      <w:pPr>
        <w:widowControl w:val="0"/>
        <w:spacing w:line="360" w:lineRule="auto"/>
        <w:jc w:val="both"/>
        <w:rPr>
          <w:rFonts w:cs="Arial"/>
          <w:b/>
        </w:rPr>
      </w:pPr>
      <w:r>
        <w:rPr>
          <w:rFonts w:cs="Arial"/>
          <w:b/>
        </w:rPr>
        <w:t>Manuales de procedimiento</w:t>
      </w:r>
    </w:p>
    <w:p w:rsidR="00D81800" w:rsidRPr="00452035" w:rsidRDefault="00D81800" w:rsidP="00452035">
      <w:pPr>
        <w:spacing w:line="360" w:lineRule="auto"/>
        <w:jc w:val="both"/>
        <w:rPr>
          <w:rFonts w:cs="Arial"/>
          <w:color w:val="FF0000"/>
          <w:kern w:val="1"/>
          <w:lang w:eastAsia="zh-CN"/>
        </w:rPr>
      </w:pPr>
      <w:r>
        <w:rPr>
          <w:rFonts w:cs="Arial"/>
          <w:color w:val="000000"/>
          <w:kern w:val="1"/>
          <w:lang w:eastAsia="zh-CN"/>
        </w:rPr>
        <w:t>Si bien la Administración va avanzando en el tema, n</w:t>
      </w:r>
      <w:r w:rsidRPr="002F7FE9">
        <w:rPr>
          <w:rFonts w:cs="Arial"/>
          <w:color w:val="000000"/>
          <w:kern w:val="1"/>
          <w:lang w:eastAsia="zh-CN"/>
        </w:rPr>
        <w:t xml:space="preserve">o se cuenta con manuales de procedimientos para la totalidad de las tareas a realizar. </w:t>
      </w:r>
      <w:r w:rsidRPr="00452035">
        <w:rPr>
          <w:rFonts w:cs="Arial"/>
          <w:kern w:val="1"/>
          <w:lang w:eastAsia="zh-CN"/>
        </w:rPr>
        <w:t>E</w:t>
      </w:r>
      <w:r w:rsidRPr="00011917">
        <w:rPr>
          <w:rFonts w:cs="Arial"/>
        </w:rPr>
        <w:t xml:space="preserve">xisten pautas </w:t>
      </w:r>
      <w:r>
        <w:rPr>
          <w:rFonts w:cs="Arial"/>
        </w:rPr>
        <w:t>y algunos</w:t>
      </w:r>
      <w:r w:rsidRPr="00011917">
        <w:rPr>
          <w:rFonts w:cs="Arial"/>
        </w:rPr>
        <w:t xml:space="preserve"> instructivos para el funcionamiento de cada área, </w:t>
      </w:r>
      <w:r>
        <w:rPr>
          <w:rFonts w:cs="Arial"/>
        </w:rPr>
        <w:t xml:space="preserve">pero </w:t>
      </w:r>
      <w:r w:rsidRPr="00011917">
        <w:rPr>
          <w:rFonts w:cs="Arial"/>
        </w:rPr>
        <w:t>no existen manuales por escrito, que expliciten con relación a la organización, en forma ordenada y sistemática, su estructura, procedimientos, políticas, normas, etc</w:t>
      </w:r>
      <w:r>
        <w:rPr>
          <w:rFonts w:cs="Arial"/>
        </w:rPr>
        <w:t>.</w:t>
      </w:r>
    </w:p>
    <w:p w:rsidR="00D81800" w:rsidRDefault="00D81800" w:rsidP="0056268A">
      <w:pPr>
        <w:widowControl w:val="0"/>
        <w:spacing w:line="360" w:lineRule="auto"/>
        <w:jc w:val="both"/>
        <w:rPr>
          <w:rFonts w:cs="Arial"/>
          <w:b/>
        </w:rPr>
      </w:pPr>
    </w:p>
    <w:p w:rsidR="00D81800" w:rsidRDefault="00D81800" w:rsidP="00A34F3F">
      <w:pPr>
        <w:spacing w:line="360" w:lineRule="auto"/>
        <w:jc w:val="both"/>
        <w:rPr>
          <w:rFonts w:cs="Arial"/>
          <w:b/>
          <w:bCs/>
        </w:rPr>
      </w:pPr>
      <w:r>
        <w:rPr>
          <w:rFonts w:cs="Arial"/>
          <w:b/>
          <w:bCs/>
        </w:rPr>
        <w:t xml:space="preserve">3. </w:t>
      </w:r>
      <w:r w:rsidRPr="00E34EBA">
        <w:rPr>
          <w:rFonts w:cs="Arial"/>
          <w:b/>
          <w:bCs/>
        </w:rPr>
        <w:t>Otras constataciones</w:t>
      </w:r>
    </w:p>
    <w:p w:rsidR="005C46F4" w:rsidRDefault="005C46F4" w:rsidP="00A34F3F">
      <w:pPr>
        <w:spacing w:line="360" w:lineRule="auto"/>
        <w:jc w:val="both"/>
        <w:rPr>
          <w:rFonts w:cs="Arial"/>
          <w:b/>
          <w:bCs/>
        </w:rPr>
      </w:pPr>
    </w:p>
    <w:p w:rsidR="00D81800" w:rsidRDefault="00D81800" w:rsidP="00326198">
      <w:pPr>
        <w:spacing w:line="360" w:lineRule="auto"/>
        <w:jc w:val="both"/>
        <w:rPr>
          <w:rFonts w:cs="Arial"/>
          <w:b/>
          <w:bCs/>
        </w:rPr>
      </w:pPr>
      <w:r>
        <w:rPr>
          <w:rFonts w:cs="Arial"/>
          <w:b/>
          <w:bCs/>
        </w:rPr>
        <w:t>3.1 Fideicomiso Financiero</w:t>
      </w:r>
    </w:p>
    <w:p w:rsidR="00D81800" w:rsidRPr="00326198" w:rsidRDefault="00D81800" w:rsidP="00326198">
      <w:pPr>
        <w:spacing w:line="360" w:lineRule="auto"/>
        <w:jc w:val="both"/>
        <w:rPr>
          <w:rFonts w:cs="Arial"/>
          <w:b/>
          <w:bCs/>
        </w:rPr>
      </w:pPr>
      <w:r w:rsidRPr="00326198">
        <w:rPr>
          <w:kern w:val="1"/>
          <w:szCs w:val="20"/>
        </w:rPr>
        <w:t>Al igual que en el ejercicio anterior, en el documento presentado no se incluye información relativa a las obras y adquisiciones realizadas con cargo al fideicomiso existente con AFISA indicando el detalle de su cumplimiento durante el ejercicio y situación al 31/12/17.</w:t>
      </w:r>
    </w:p>
    <w:p w:rsidR="00D81800" w:rsidRPr="00326198" w:rsidRDefault="00D81800" w:rsidP="00326198">
      <w:pPr>
        <w:suppressAutoHyphens/>
        <w:spacing w:line="360" w:lineRule="auto"/>
        <w:ind w:left="720"/>
        <w:jc w:val="both"/>
        <w:rPr>
          <w:kern w:val="1"/>
          <w:szCs w:val="20"/>
        </w:rPr>
      </w:pPr>
    </w:p>
    <w:p w:rsidR="00D81800" w:rsidRDefault="00D81800" w:rsidP="00326198">
      <w:pPr>
        <w:spacing w:line="360" w:lineRule="auto"/>
        <w:jc w:val="both"/>
      </w:pPr>
      <w:r>
        <w:t>Cabe señalar, que en la Modificación Presupuestal 2018-2020  se incorpora al capítulo de inversiones un nuevo programa “Fideicomiso”, por el cual se proyectan obras para el período mencionado.</w:t>
      </w:r>
    </w:p>
    <w:p w:rsidR="00D81800" w:rsidRDefault="00D81800" w:rsidP="003F77C5">
      <w:pPr>
        <w:suppressAutoHyphens/>
        <w:spacing w:line="360" w:lineRule="auto"/>
        <w:jc w:val="both"/>
        <w:rPr>
          <w:b/>
          <w:kern w:val="1"/>
          <w:szCs w:val="20"/>
        </w:rPr>
      </w:pPr>
    </w:p>
    <w:p w:rsidR="00D81800" w:rsidRPr="00FB58C5" w:rsidRDefault="00D81800" w:rsidP="003F77C5">
      <w:pPr>
        <w:suppressAutoHyphens/>
        <w:spacing w:line="360" w:lineRule="auto"/>
        <w:jc w:val="both"/>
        <w:rPr>
          <w:b/>
          <w:kern w:val="1"/>
          <w:szCs w:val="20"/>
        </w:rPr>
      </w:pPr>
      <w:r>
        <w:rPr>
          <w:b/>
          <w:kern w:val="1"/>
          <w:szCs w:val="20"/>
        </w:rPr>
        <w:t>3.2</w:t>
      </w:r>
      <w:r w:rsidRPr="00FB58C5">
        <w:rPr>
          <w:b/>
          <w:kern w:val="1"/>
          <w:szCs w:val="20"/>
        </w:rPr>
        <w:t xml:space="preserve"> Partida no incluida en recursos nacionales</w:t>
      </w:r>
    </w:p>
    <w:p w:rsidR="00D81800" w:rsidRDefault="00D81800" w:rsidP="003F77C5">
      <w:pPr>
        <w:suppressAutoHyphens/>
        <w:spacing w:line="360" w:lineRule="auto"/>
        <w:jc w:val="both"/>
        <w:rPr>
          <w:kern w:val="1"/>
          <w:szCs w:val="20"/>
        </w:rPr>
      </w:pPr>
      <w:r w:rsidRPr="00FB58C5">
        <w:rPr>
          <w:kern w:val="1"/>
          <w:szCs w:val="20"/>
        </w:rPr>
        <w:t xml:space="preserve">Se constató una partida de $3.660.950 </w:t>
      </w:r>
      <w:r>
        <w:rPr>
          <w:kern w:val="1"/>
          <w:szCs w:val="20"/>
        </w:rPr>
        <w:t>que no fue incluida en el Estado 4 en los recursos nacionales. S</w:t>
      </w:r>
      <w:r w:rsidRPr="00E87B7A">
        <w:rPr>
          <w:kern w:val="1"/>
          <w:szCs w:val="20"/>
        </w:rPr>
        <w:t>e</w:t>
      </w:r>
      <w:r>
        <w:rPr>
          <w:kern w:val="1"/>
          <w:szCs w:val="20"/>
        </w:rPr>
        <w:t xml:space="preserve"> trata de la cuota 10 del 2017 Ley Nº</w:t>
      </w:r>
      <w:r w:rsidRPr="00E87B7A">
        <w:rPr>
          <w:kern w:val="1"/>
          <w:szCs w:val="20"/>
        </w:rPr>
        <w:t xml:space="preserve"> 18</w:t>
      </w:r>
      <w:r>
        <w:rPr>
          <w:kern w:val="1"/>
          <w:szCs w:val="20"/>
        </w:rPr>
        <w:t>.</w:t>
      </w:r>
      <w:r w:rsidRPr="00E87B7A">
        <w:rPr>
          <w:kern w:val="1"/>
          <w:szCs w:val="20"/>
        </w:rPr>
        <w:t>719 (rubro 4211) que</w:t>
      </w:r>
      <w:r>
        <w:rPr>
          <w:kern w:val="1"/>
          <w:szCs w:val="20"/>
        </w:rPr>
        <w:t xml:space="preserve"> al 31/12/17</w:t>
      </w:r>
      <w:r w:rsidRPr="00E87B7A">
        <w:rPr>
          <w:kern w:val="1"/>
          <w:szCs w:val="20"/>
        </w:rPr>
        <w:t xml:space="preserve"> está como partida pendiente en la conciliación </w:t>
      </w:r>
      <w:r>
        <w:rPr>
          <w:kern w:val="1"/>
          <w:szCs w:val="20"/>
        </w:rPr>
        <w:t>bancaria de la Cuenta BROU 4341. La misma fue cobrada efectivamente el 29/11/17 y expuesta en los datos obtenidos del SIIF como partida cobrada en el 2017.</w:t>
      </w:r>
    </w:p>
    <w:p w:rsidR="00D81800" w:rsidRPr="005F010D" w:rsidRDefault="00D81800" w:rsidP="003F77C5">
      <w:pPr>
        <w:suppressAutoHyphens/>
        <w:spacing w:line="360" w:lineRule="auto"/>
        <w:jc w:val="both"/>
        <w:rPr>
          <w:kern w:val="1"/>
          <w:szCs w:val="20"/>
        </w:rPr>
      </w:pPr>
    </w:p>
    <w:p w:rsidR="00D81800" w:rsidRPr="00260787" w:rsidRDefault="00D81800" w:rsidP="003F77C5">
      <w:pPr>
        <w:suppressAutoHyphens/>
        <w:spacing w:line="360" w:lineRule="auto"/>
        <w:jc w:val="both"/>
        <w:rPr>
          <w:rFonts w:cs="Arial"/>
          <w:b/>
          <w:iCs/>
          <w:color w:val="000000"/>
          <w:kern w:val="1"/>
          <w:lang w:val="es-ES_tradnl" w:eastAsia="ar-SA"/>
        </w:rPr>
      </w:pPr>
      <w:r>
        <w:rPr>
          <w:rFonts w:cs="Arial"/>
          <w:b/>
          <w:iCs/>
          <w:color w:val="000000"/>
          <w:kern w:val="1"/>
          <w:lang w:val="es-ES_tradnl" w:eastAsia="ar-SA"/>
        </w:rPr>
        <w:t xml:space="preserve">3.3 </w:t>
      </w:r>
      <w:r w:rsidRPr="00260787">
        <w:rPr>
          <w:rFonts w:cs="Arial"/>
          <w:b/>
          <w:iCs/>
          <w:color w:val="000000"/>
          <w:kern w:val="1"/>
          <w:lang w:val="es-ES_tradnl" w:eastAsia="ar-SA"/>
        </w:rPr>
        <w:t xml:space="preserve">Ajuste </w:t>
      </w:r>
      <w:r>
        <w:rPr>
          <w:rFonts w:cs="Arial"/>
          <w:b/>
          <w:iCs/>
          <w:color w:val="000000"/>
          <w:kern w:val="1"/>
          <w:lang w:val="es-ES_tradnl" w:eastAsia="ar-SA"/>
        </w:rPr>
        <w:t>al R</w:t>
      </w:r>
      <w:r w:rsidRPr="00260787">
        <w:rPr>
          <w:rFonts w:cs="Arial"/>
          <w:b/>
          <w:iCs/>
          <w:color w:val="000000"/>
          <w:kern w:val="1"/>
          <w:lang w:val="es-ES_tradnl" w:eastAsia="ar-SA"/>
        </w:rPr>
        <w:t>esultado A</w:t>
      </w:r>
      <w:r w:rsidR="00D55ACA">
        <w:rPr>
          <w:rFonts w:cs="Arial"/>
          <w:b/>
          <w:iCs/>
          <w:color w:val="000000"/>
          <w:kern w:val="1"/>
          <w:lang w:val="es-ES_tradnl" w:eastAsia="ar-SA"/>
        </w:rPr>
        <w:t>cumulado del ejercicio anterior</w:t>
      </w:r>
    </w:p>
    <w:p w:rsidR="00D81800" w:rsidRDefault="00D81800" w:rsidP="003F77C5">
      <w:pPr>
        <w:suppressAutoHyphens/>
        <w:spacing w:line="360" w:lineRule="auto"/>
        <w:jc w:val="both"/>
        <w:rPr>
          <w:rFonts w:cs="Arial"/>
          <w:iCs/>
          <w:color w:val="000000"/>
          <w:kern w:val="1"/>
          <w:lang w:val="es-ES_tradnl" w:eastAsia="ar-SA"/>
        </w:rPr>
      </w:pPr>
      <w:r w:rsidRPr="00260787">
        <w:rPr>
          <w:rFonts w:cs="Arial"/>
          <w:iCs/>
          <w:color w:val="000000"/>
          <w:kern w:val="1"/>
          <w:lang w:val="es-ES_tradnl" w:eastAsia="ar-SA"/>
        </w:rPr>
        <w:t xml:space="preserve">En el dictamen del ejercicio pasado, se constató un error en la suma algebraica del </w:t>
      </w:r>
      <w:r>
        <w:rPr>
          <w:rFonts w:cs="Arial"/>
          <w:iCs/>
          <w:color w:val="000000"/>
          <w:kern w:val="1"/>
          <w:lang w:val="es-ES_tradnl" w:eastAsia="ar-SA"/>
        </w:rPr>
        <w:t xml:space="preserve">Estado </w:t>
      </w:r>
      <w:r w:rsidRPr="00260787">
        <w:rPr>
          <w:rFonts w:cs="Arial"/>
          <w:iCs/>
          <w:color w:val="000000"/>
          <w:kern w:val="1"/>
          <w:lang w:val="es-ES_tradnl" w:eastAsia="ar-SA"/>
        </w:rPr>
        <w:t xml:space="preserve">10 de convenios, lo cual </w:t>
      </w:r>
      <w:r>
        <w:rPr>
          <w:rFonts w:cs="Arial"/>
          <w:iCs/>
          <w:color w:val="000000"/>
          <w:kern w:val="1"/>
          <w:lang w:val="es-ES_tradnl" w:eastAsia="ar-SA"/>
        </w:rPr>
        <w:t xml:space="preserve">modifica </w:t>
      </w:r>
      <w:r w:rsidRPr="00260787">
        <w:rPr>
          <w:rFonts w:cs="Arial"/>
          <w:iCs/>
          <w:color w:val="000000"/>
          <w:kern w:val="1"/>
          <w:lang w:val="es-ES_tradnl" w:eastAsia="ar-SA"/>
        </w:rPr>
        <w:t>la determinación del  r</w:t>
      </w:r>
      <w:r w:rsidR="00D55ACA">
        <w:rPr>
          <w:rFonts w:cs="Arial"/>
          <w:iCs/>
          <w:color w:val="000000"/>
          <w:kern w:val="1"/>
          <w:lang w:val="es-ES_tradnl" w:eastAsia="ar-SA"/>
        </w:rPr>
        <w:t>esultado acumulado al 31/12/16.</w:t>
      </w:r>
    </w:p>
    <w:p w:rsidR="005C46F4" w:rsidRDefault="005C46F4" w:rsidP="003F77C5">
      <w:pPr>
        <w:suppressAutoHyphens/>
        <w:spacing w:line="360" w:lineRule="auto"/>
        <w:jc w:val="both"/>
        <w:rPr>
          <w:rFonts w:cs="Arial"/>
          <w:iCs/>
          <w:color w:val="000000"/>
          <w:kern w:val="1"/>
          <w:lang w:val="es-ES_tradnl" w:eastAsia="ar-SA"/>
        </w:rPr>
      </w:pPr>
    </w:p>
    <w:p w:rsidR="005C46F4" w:rsidRPr="00260787" w:rsidRDefault="005C46F4" w:rsidP="003F77C5">
      <w:pPr>
        <w:suppressAutoHyphens/>
        <w:spacing w:line="360" w:lineRule="auto"/>
        <w:jc w:val="both"/>
        <w:rPr>
          <w:rFonts w:cs="Arial"/>
          <w:iCs/>
          <w:color w:val="000000"/>
          <w:kern w:val="1"/>
          <w:lang w:val="es-ES_tradnl" w:eastAsia="ar-SA"/>
        </w:rPr>
      </w:pPr>
    </w:p>
    <w:p w:rsidR="00D81800" w:rsidRDefault="00D81800" w:rsidP="003F77C5">
      <w:pPr>
        <w:suppressAutoHyphens/>
        <w:spacing w:line="360" w:lineRule="auto"/>
        <w:jc w:val="both"/>
        <w:rPr>
          <w:rFonts w:cs="Arial"/>
          <w:iCs/>
          <w:color w:val="000000"/>
          <w:kern w:val="1"/>
          <w:lang w:val="es-ES_tradnl" w:eastAsia="ar-SA"/>
        </w:rPr>
      </w:pPr>
      <w:r w:rsidRPr="00605CD9">
        <w:rPr>
          <w:rFonts w:cs="Arial"/>
          <w:iCs/>
          <w:color w:val="000000"/>
          <w:kern w:val="1"/>
          <w:lang w:val="es-ES_tradnl" w:eastAsia="ar-SA"/>
        </w:rPr>
        <w:t>El déficit acumulado al 31/12/16 debió aumentar en</w:t>
      </w:r>
      <w:r>
        <w:rPr>
          <w:rFonts w:cs="Arial"/>
          <w:iCs/>
          <w:color w:val="000000"/>
          <w:kern w:val="1"/>
          <w:lang w:val="es-ES_tradnl" w:eastAsia="ar-SA"/>
        </w:rPr>
        <w:t xml:space="preserve"> $</w:t>
      </w:r>
      <w:r w:rsidRPr="00605CD9">
        <w:rPr>
          <w:rFonts w:cs="Arial"/>
          <w:iCs/>
          <w:color w:val="000000"/>
          <w:kern w:val="1"/>
          <w:lang w:val="es-ES_tradnl" w:eastAsia="ar-SA"/>
        </w:rPr>
        <w:t>1.226.394, sin embargo se ajustó por $196</w:t>
      </w:r>
      <w:r>
        <w:rPr>
          <w:rFonts w:cs="Arial"/>
          <w:iCs/>
          <w:color w:val="000000"/>
          <w:kern w:val="1"/>
          <w:lang w:val="es-ES_tradnl" w:eastAsia="ar-SA"/>
        </w:rPr>
        <w:t>.</w:t>
      </w:r>
      <w:r w:rsidRPr="00605CD9">
        <w:rPr>
          <w:rFonts w:cs="Arial"/>
          <w:iCs/>
          <w:color w:val="000000"/>
          <w:kern w:val="1"/>
          <w:lang w:val="es-ES_tradnl" w:eastAsia="ar-SA"/>
        </w:rPr>
        <w:t>058, lo que genera un aumento del Resultado acumulado al 31/12/17 por la diferencia de $1.030.336.</w:t>
      </w:r>
    </w:p>
    <w:p w:rsidR="005C46F4" w:rsidRPr="00605CD9" w:rsidRDefault="005C46F4" w:rsidP="003F77C5">
      <w:pPr>
        <w:suppressAutoHyphens/>
        <w:spacing w:line="360" w:lineRule="auto"/>
        <w:jc w:val="both"/>
        <w:rPr>
          <w:rFonts w:cs="Arial"/>
          <w:iCs/>
          <w:color w:val="000000"/>
          <w:kern w:val="1"/>
          <w:lang w:val="es-ES_tradnl" w:eastAsia="ar-SA"/>
        </w:rPr>
      </w:pPr>
    </w:p>
    <w:p w:rsidR="00D81800" w:rsidRPr="00542C60" w:rsidRDefault="00D81800" w:rsidP="003F77C5">
      <w:pPr>
        <w:suppressAutoHyphens/>
        <w:spacing w:line="360" w:lineRule="auto"/>
        <w:jc w:val="both"/>
        <w:rPr>
          <w:rFonts w:cs="Arial"/>
          <w:b/>
          <w:iCs/>
          <w:color w:val="000000"/>
          <w:kern w:val="1"/>
          <w:lang w:val="es-ES_tradnl" w:eastAsia="ar-SA"/>
        </w:rPr>
      </w:pPr>
      <w:r>
        <w:rPr>
          <w:rFonts w:cs="Arial"/>
          <w:b/>
          <w:iCs/>
          <w:color w:val="000000"/>
          <w:kern w:val="1"/>
          <w:lang w:val="es-ES_tradnl" w:eastAsia="ar-SA"/>
        </w:rPr>
        <w:t>3.4</w:t>
      </w:r>
      <w:r w:rsidRPr="00542C60">
        <w:rPr>
          <w:rFonts w:cs="Arial"/>
          <w:b/>
          <w:iCs/>
          <w:color w:val="000000"/>
          <w:kern w:val="1"/>
          <w:lang w:val="es-ES_tradnl" w:eastAsia="ar-SA"/>
        </w:rPr>
        <w:t xml:space="preserve"> Juicios pendientes contra la Intendencia</w:t>
      </w:r>
    </w:p>
    <w:p w:rsidR="00D81800" w:rsidRPr="00885771" w:rsidRDefault="00D81800" w:rsidP="003F77C5">
      <w:pPr>
        <w:suppressAutoHyphens/>
        <w:spacing w:line="360" w:lineRule="auto"/>
        <w:jc w:val="both"/>
        <w:rPr>
          <w:rFonts w:cs="Arial"/>
          <w:iCs/>
          <w:color w:val="000000"/>
          <w:kern w:val="1"/>
          <w:lang w:val="es-ES_tradnl" w:eastAsia="ar-SA"/>
        </w:rPr>
      </w:pPr>
      <w:r w:rsidRPr="00885771">
        <w:rPr>
          <w:rFonts w:cs="Arial"/>
          <w:iCs/>
          <w:color w:val="000000"/>
          <w:kern w:val="1"/>
          <w:lang w:val="es-ES_tradnl" w:eastAsia="ar-SA"/>
        </w:rPr>
        <w:t>En el documento de la Rendición de Cuentas correspondiente al ejercicio 201</w:t>
      </w:r>
      <w:r>
        <w:rPr>
          <w:rFonts w:cs="Arial"/>
          <w:iCs/>
          <w:color w:val="000000"/>
          <w:kern w:val="1"/>
          <w:lang w:val="es-ES_tradnl" w:eastAsia="ar-SA"/>
        </w:rPr>
        <w:t>7</w:t>
      </w:r>
      <w:r w:rsidRPr="00885771">
        <w:rPr>
          <w:rFonts w:cs="Arial"/>
          <w:iCs/>
          <w:color w:val="000000"/>
          <w:kern w:val="1"/>
          <w:lang w:val="es-ES_tradnl" w:eastAsia="ar-SA"/>
        </w:rPr>
        <w:t xml:space="preserve"> se presenta un listado de los juicios en trámite contra la I</w:t>
      </w:r>
      <w:r>
        <w:rPr>
          <w:rFonts w:cs="Arial"/>
          <w:iCs/>
          <w:color w:val="000000"/>
          <w:kern w:val="1"/>
          <w:lang w:val="es-ES_tradnl" w:eastAsia="ar-SA"/>
        </w:rPr>
        <w:t>ntendencia, los que totalizan $17.403.517, U$S2</w:t>
      </w:r>
      <w:r w:rsidRPr="00885771">
        <w:rPr>
          <w:rFonts w:cs="Arial"/>
          <w:iCs/>
          <w:color w:val="000000"/>
          <w:kern w:val="1"/>
          <w:lang w:val="es-ES_tradnl" w:eastAsia="ar-SA"/>
        </w:rPr>
        <w:t xml:space="preserve">0.000 </w:t>
      </w:r>
      <w:r>
        <w:rPr>
          <w:rFonts w:cs="Arial"/>
          <w:iCs/>
          <w:color w:val="000000"/>
          <w:kern w:val="1"/>
          <w:lang w:val="es-ES_tradnl" w:eastAsia="ar-SA"/>
        </w:rPr>
        <w:t xml:space="preserve">y UR258 </w:t>
      </w:r>
      <w:r w:rsidRPr="00885771">
        <w:rPr>
          <w:rFonts w:cs="Arial"/>
          <w:iCs/>
          <w:color w:val="000000"/>
          <w:kern w:val="1"/>
          <w:lang w:val="es-ES_tradnl" w:eastAsia="ar-SA"/>
        </w:rPr>
        <w:t>y se informa sobre el estado de los mismos. Las eventuales erogaciones resultantes pueden modificar el resultado acumulado al 31/12/201</w:t>
      </w:r>
      <w:r>
        <w:rPr>
          <w:rFonts w:cs="Arial"/>
          <w:iCs/>
          <w:color w:val="000000"/>
          <w:kern w:val="1"/>
          <w:lang w:val="es-ES_tradnl" w:eastAsia="ar-SA"/>
        </w:rPr>
        <w:t>6</w:t>
      </w:r>
      <w:r w:rsidRPr="00885771">
        <w:rPr>
          <w:rFonts w:cs="Arial"/>
          <w:iCs/>
          <w:color w:val="000000"/>
          <w:kern w:val="1"/>
          <w:lang w:val="es-ES_tradnl" w:eastAsia="ar-SA"/>
        </w:rPr>
        <w:t xml:space="preserve"> de la Intendencia.</w:t>
      </w:r>
    </w:p>
    <w:p w:rsidR="00D81800" w:rsidRDefault="00D81800" w:rsidP="003F77C5">
      <w:pPr>
        <w:suppressAutoHyphens/>
        <w:spacing w:line="360" w:lineRule="auto"/>
        <w:jc w:val="both"/>
        <w:rPr>
          <w:rFonts w:cs="Arial"/>
          <w:iCs/>
          <w:color w:val="000000"/>
          <w:kern w:val="1"/>
          <w:lang w:val="es-ES_tradnl" w:eastAsia="ar-SA"/>
        </w:rPr>
      </w:pPr>
      <w:r w:rsidRPr="00885771">
        <w:rPr>
          <w:rFonts w:cs="Arial"/>
          <w:iCs/>
          <w:color w:val="000000"/>
          <w:kern w:val="1"/>
          <w:lang w:val="es-ES_tradnl" w:eastAsia="ar-SA"/>
        </w:rPr>
        <w:t xml:space="preserve">Se incluye además un listado de los juicios promovidos por la Intendencia en el marco del análisis de morosidad realizado por el </w:t>
      </w:r>
      <w:r>
        <w:rPr>
          <w:rFonts w:cs="Arial"/>
          <w:iCs/>
          <w:color w:val="000000"/>
          <w:kern w:val="1"/>
          <w:lang w:val="es-ES_tradnl" w:eastAsia="ar-SA"/>
        </w:rPr>
        <w:t>organismo los que ascienden a $12.099.208 y UR357</w:t>
      </w:r>
      <w:r w:rsidRPr="00885771">
        <w:rPr>
          <w:rFonts w:cs="Arial"/>
          <w:iCs/>
          <w:color w:val="000000"/>
          <w:kern w:val="1"/>
          <w:lang w:val="es-ES_tradnl" w:eastAsia="ar-SA"/>
        </w:rPr>
        <w:t>.</w:t>
      </w:r>
    </w:p>
    <w:p w:rsidR="00D81800" w:rsidRDefault="00D81800" w:rsidP="003F77C5">
      <w:pPr>
        <w:suppressAutoHyphens/>
        <w:spacing w:line="360" w:lineRule="auto"/>
        <w:jc w:val="both"/>
        <w:rPr>
          <w:rFonts w:cs="Arial"/>
          <w:iCs/>
          <w:color w:val="000000"/>
          <w:kern w:val="1"/>
          <w:lang w:val="es-ES_tradnl" w:eastAsia="ar-SA"/>
        </w:rPr>
      </w:pPr>
    </w:p>
    <w:p w:rsidR="00D81800" w:rsidRDefault="00D81800" w:rsidP="003F77C5">
      <w:pPr>
        <w:suppressAutoHyphens/>
        <w:spacing w:line="360" w:lineRule="auto"/>
        <w:jc w:val="both"/>
        <w:rPr>
          <w:rFonts w:cs="Arial"/>
          <w:b/>
          <w:iCs/>
          <w:color w:val="000000"/>
          <w:kern w:val="1"/>
          <w:lang w:val="es-ES_tradnl" w:eastAsia="ar-SA"/>
        </w:rPr>
      </w:pPr>
      <w:r>
        <w:rPr>
          <w:rFonts w:cs="Arial"/>
          <w:b/>
          <w:iCs/>
          <w:color w:val="000000"/>
          <w:kern w:val="1"/>
          <w:lang w:val="es-ES_tradnl" w:eastAsia="ar-SA"/>
        </w:rPr>
        <w:t>3.5</w:t>
      </w:r>
      <w:r w:rsidRPr="00451BBB">
        <w:rPr>
          <w:rFonts w:cs="Arial"/>
          <w:b/>
          <w:iCs/>
          <w:color w:val="000000"/>
          <w:kern w:val="1"/>
          <w:lang w:val="es-ES_tradnl" w:eastAsia="ar-SA"/>
        </w:rPr>
        <w:t xml:space="preserve"> </w:t>
      </w:r>
      <w:proofErr w:type="spellStart"/>
      <w:r w:rsidRPr="00451BBB">
        <w:rPr>
          <w:rFonts w:cs="Arial"/>
          <w:b/>
          <w:iCs/>
          <w:color w:val="000000"/>
          <w:kern w:val="1"/>
          <w:lang w:val="es-ES_tradnl" w:eastAsia="ar-SA"/>
        </w:rPr>
        <w:t>Extrapresupuesto</w:t>
      </w:r>
      <w:proofErr w:type="spellEnd"/>
    </w:p>
    <w:p w:rsidR="00D81800" w:rsidRPr="00AF1264" w:rsidRDefault="00D81800" w:rsidP="00AF1264">
      <w:pPr>
        <w:suppressAutoHyphens/>
        <w:spacing w:line="360" w:lineRule="auto"/>
        <w:jc w:val="both"/>
        <w:rPr>
          <w:rFonts w:cs="Arial"/>
          <w:iCs/>
          <w:color w:val="000000"/>
          <w:kern w:val="1"/>
          <w:lang w:val="es-ES_tradnl" w:eastAsia="ar-SA"/>
        </w:rPr>
      </w:pPr>
      <w:r w:rsidRPr="00AF1264">
        <w:rPr>
          <w:rFonts w:cs="Arial"/>
          <w:iCs/>
          <w:color w:val="000000"/>
          <w:kern w:val="1"/>
          <w:lang w:val="es-ES_tradnl" w:eastAsia="ar-SA"/>
        </w:rPr>
        <w:t xml:space="preserve">Se imputaron durante cuatro meses los servicios prestados por la Institución deportiva Boquita a un rubro </w:t>
      </w:r>
      <w:proofErr w:type="spellStart"/>
      <w:r w:rsidRPr="00AF1264">
        <w:rPr>
          <w:rFonts w:cs="Arial"/>
          <w:iCs/>
          <w:color w:val="000000"/>
          <w:kern w:val="1"/>
          <w:lang w:val="es-ES_tradnl" w:eastAsia="ar-SA"/>
        </w:rPr>
        <w:t>extrapresupuestal</w:t>
      </w:r>
      <w:proofErr w:type="spellEnd"/>
      <w:r w:rsidRPr="00AF1264">
        <w:rPr>
          <w:rFonts w:cs="Arial"/>
          <w:iCs/>
          <w:color w:val="000000"/>
          <w:kern w:val="1"/>
          <w:lang w:val="es-ES_tradnl" w:eastAsia="ar-SA"/>
        </w:rPr>
        <w:t xml:space="preserve">  </w:t>
      </w:r>
      <w:r w:rsidRPr="00AF1264">
        <w:rPr>
          <w:rFonts w:cs="Arial"/>
          <w:iCs/>
          <w:color w:val="000000"/>
          <w:kern w:val="1"/>
          <w:lang w:eastAsia="ar-SA"/>
        </w:rPr>
        <w:t xml:space="preserve">en lugar de imputarse al grupo 2 servicios personales. </w:t>
      </w:r>
      <w:r w:rsidRPr="00AF1264">
        <w:rPr>
          <w:rFonts w:cs="Arial"/>
          <w:iCs/>
          <w:color w:val="000000"/>
          <w:kern w:val="1"/>
          <w:lang w:val="es-ES_tradnl" w:eastAsia="ar-SA"/>
        </w:rPr>
        <w:t xml:space="preserve">Si bien se ajustó el saldo del auxiliar de éste </w:t>
      </w:r>
      <w:proofErr w:type="spellStart"/>
      <w:r w:rsidRPr="00AF1264">
        <w:rPr>
          <w:rFonts w:cs="Arial"/>
          <w:iCs/>
          <w:color w:val="000000"/>
          <w:kern w:val="1"/>
          <w:lang w:val="es-ES_tradnl" w:eastAsia="ar-SA"/>
        </w:rPr>
        <w:t>extrapresupuesto</w:t>
      </w:r>
      <w:proofErr w:type="spellEnd"/>
      <w:r w:rsidRPr="00AF1264">
        <w:rPr>
          <w:rFonts w:cs="Arial"/>
          <w:iCs/>
          <w:color w:val="000000"/>
          <w:kern w:val="1"/>
          <w:lang w:val="es-ES_tradnl" w:eastAsia="ar-SA"/>
        </w:rPr>
        <w:t xml:space="preserve"> quedando en cero al cierre del ejercicio, durante el mismo los importes imputados que ascienden a $ 2.766.886 incumplieron la normativa mencionada dado que no se verificó la existencia de disponibilidad presupuestal</w:t>
      </w:r>
      <w:r w:rsidR="00D55ACA">
        <w:rPr>
          <w:rFonts w:cs="Arial"/>
          <w:iCs/>
          <w:color w:val="000000"/>
          <w:kern w:val="1"/>
          <w:lang w:val="es-ES_tradnl" w:eastAsia="ar-SA"/>
        </w:rPr>
        <w:t xml:space="preserve"> en forma previa al compromiso.</w:t>
      </w:r>
    </w:p>
    <w:p w:rsidR="00D81800" w:rsidRDefault="00D81800" w:rsidP="00BA160E">
      <w:pPr>
        <w:rPr>
          <w:rFonts w:cs="Arial"/>
          <w:b/>
        </w:rPr>
      </w:pPr>
    </w:p>
    <w:p w:rsidR="00D81800" w:rsidRDefault="00D81800" w:rsidP="00BA160E">
      <w:pPr>
        <w:rPr>
          <w:rFonts w:cs="Arial"/>
          <w:b/>
        </w:rPr>
      </w:pPr>
      <w:r>
        <w:rPr>
          <w:rFonts w:cs="Arial"/>
          <w:b/>
        </w:rPr>
        <w:t xml:space="preserve">4. </w:t>
      </w:r>
      <w:r w:rsidRPr="00E34EBA">
        <w:rPr>
          <w:rFonts w:cs="Arial"/>
          <w:b/>
        </w:rPr>
        <w:t>Recomendaciones</w:t>
      </w:r>
    </w:p>
    <w:p w:rsidR="00D81800" w:rsidRPr="00E34EBA" w:rsidRDefault="00D81800" w:rsidP="00BA160E">
      <w:pPr>
        <w:rPr>
          <w:rFonts w:cs="Arial"/>
          <w:b/>
        </w:rPr>
      </w:pPr>
    </w:p>
    <w:p w:rsidR="00D81800" w:rsidRDefault="00D81800" w:rsidP="00BA160E">
      <w:pPr>
        <w:rPr>
          <w:rFonts w:cs="Arial"/>
          <w:b/>
          <w:bCs/>
        </w:rPr>
      </w:pPr>
      <w:r>
        <w:rPr>
          <w:rFonts w:cs="Arial"/>
          <w:b/>
          <w:bCs/>
        </w:rPr>
        <w:t xml:space="preserve">4.1 </w:t>
      </w:r>
      <w:r w:rsidRPr="00E34EBA">
        <w:rPr>
          <w:rFonts w:cs="Arial"/>
          <w:b/>
          <w:bCs/>
        </w:rPr>
        <w:t>Recomendaciones de ejercicios anteriores</w:t>
      </w:r>
    </w:p>
    <w:p w:rsidR="00D81800" w:rsidRDefault="00D81800" w:rsidP="00BA160E">
      <w:pPr>
        <w:rPr>
          <w:rFonts w:cs="Arial"/>
          <w:b/>
          <w:bCs/>
        </w:rPr>
      </w:pPr>
    </w:p>
    <w:p w:rsidR="00D81800" w:rsidRDefault="00D81800" w:rsidP="00BA160E">
      <w:pPr>
        <w:suppressAutoHyphens/>
        <w:rPr>
          <w:rFonts w:cs="Arial"/>
          <w:b/>
          <w:color w:val="000000"/>
          <w:lang w:eastAsia="zh-CN"/>
        </w:rPr>
      </w:pPr>
      <w:bookmarkStart w:id="2" w:name="_Toc422915253"/>
      <w:r>
        <w:rPr>
          <w:rFonts w:cs="Arial"/>
          <w:b/>
          <w:color w:val="000000"/>
          <w:lang w:eastAsia="zh-CN"/>
        </w:rPr>
        <w:t>4.1.1 C</w:t>
      </w:r>
      <w:r w:rsidRPr="0034234A">
        <w:rPr>
          <w:rFonts w:cs="Arial"/>
          <w:b/>
          <w:color w:val="000000"/>
          <w:lang w:eastAsia="zh-CN"/>
        </w:rPr>
        <w:t>umplidas</w:t>
      </w:r>
      <w:bookmarkEnd w:id="2"/>
    </w:p>
    <w:p w:rsidR="00D81800" w:rsidRPr="0034234A" w:rsidRDefault="00D81800" w:rsidP="00BA160E">
      <w:pPr>
        <w:suppressAutoHyphens/>
        <w:rPr>
          <w:rFonts w:cs="Arial"/>
          <w:b/>
          <w:color w:val="000000"/>
          <w:lang w:eastAsia="zh-CN"/>
        </w:rPr>
      </w:pPr>
    </w:p>
    <w:p w:rsidR="00D81800" w:rsidRDefault="00D81800" w:rsidP="005F010D">
      <w:pPr>
        <w:pStyle w:val="Ttulo2"/>
        <w:spacing w:after="0"/>
        <w:rPr>
          <w:rFonts w:cs="Arial"/>
          <w:b w:val="0"/>
          <w:lang w:val="es-UY"/>
        </w:rPr>
      </w:pPr>
      <w:bookmarkStart w:id="3" w:name="_Toc397079412"/>
      <w:r w:rsidRPr="00156354">
        <w:rPr>
          <w:rFonts w:cs="Arial"/>
          <w:b w:val="0"/>
        </w:rPr>
        <w:t xml:space="preserve">La </w:t>
      </w:r>
      <w:r>
        <w:rPr>
          <w:rFonts w:cs="Arial"/>
          <w:b w:val="0"/>
          <w:lang w:val="es-ES"/>
        </w:rPr>
        <w:t>Intendencia</w:t>
      </w:r>
      <w:r w:rsidRPr="00156354">
        <w:rPr>
          <w:rFonts w:cs="Arial"/>
          <w:b w:val="0"/>
        </w:rPr>
        <w:t xml:space="preserve"> de </w:t>
      </w:r>
      <w:r>
        <w:rPr>
          <w:rFonts w:cs="Arial"/>
          <w:b w:val="0"/>
        </w:rPr>
        <w:t>Florida</w:t>
      </w:r>
      <w:r w:rsidRPr="00156354">
        <w:rPr>
          <w:rFonts w:cs="Arial"/>
          <w:b w:val="0"/>
        </w:rPr>
        <w:t xml:space="preserve"> ha implementado medidas correctivas respec</w:t>
      </w:r>
      <w:r w:rsidR="00D55ACA">
        <w:rPr>
          <w:rFonts w:cs="Arial"/>
          <w:b w:val="0"/>
        </w:rPr>
        <w:t>to a los siguientes  aspectos:</w:t>
      </w:r>
    </w:p>
    <w:p w:rsidR="005C46F4" w:rsidRPr="005C46F4" w:rsidRDefault="005C46F4" w:rsidP="005C46F4">
      <w:pPr>
        <w:pStyle w:val="Textoindependiente"/>
        <w:rPr>
          <w:lang w:val="es-UY" w:eastAsia="es-ES"/>
        </w:rPr>
      </w:pPr>
    </w:p>
    <w:p w:rsidR="00D81800" w:rsidRPr="00001744" w:rsidRDefault="00D81800" w:rsidP="00556B4C">
      <w:pPr>
        <w:pStyle w:val="Textoindependiente"/>
        <w:rPr>
          <w:b/>
        </w:rPr>
      </w:pPr>
      <w:r w:rsidRPr="00001744">
        <w:rPr>
          <w:b/>
        </w:rPr>
        <w:t xml:space="preserve">4.1.1.1 Decreto de </w:t>
      </w:r>
      <w:smartTag w:uri="urn:schemas-microsoft-com:office:smarttags" w:element="PersonName">
        <w:smartTagPr>
          <w:attr w:name="ProductID" w:val="la Junta"/>
        </w:smartTagPr>
        <w:r w:rsidRPr="00001744">
          <w:rPr>
            <w:b/>
          </w:rPr>
          <w:t>la Junta</w:t>
        </w:r>
      </w:smartTag>
      <w:r w:rsidRPr="00001744">
        <w:rPr>
          <w:b/>
        </w:rPr>
        <w:t xml:space="preserve"> Departamental de Florida Nº 61/08</w:t>
      </w:r>
    </w:p>
    <w:p w:rsidR="00D81800" w:rsidRDefault="00D81800" w:rsidP="00556B4C">
      <w:pPr>
        <w:pStyle w:val="Textoindependiente"/>
      </w:pPr>
      <w:r w:rsidRPr="00E1617C">
        <w:t>Se constató que durante el ejercicio 2017 se aplicó correctamente la norma que establece el descuento por buen pagador, tanto en el cumplimiento de las condiciones establecidas como en el porcentaje aplicado.</w:t>
      </w:r>
    </w:p>
    <w:p w:rsidR="00D55ACA" w:rsidRPr="005F010D" w:rsidRDefault="00D55ACA" w:rsidP="00556B4C">
      <w:pPr>
        <w:pStyle w:val="Textoindependiente"/>
      </w:pPr>
    </w:p>
    <w:bookmarkEnd w:id="3"/>
    <w:p w:rsidR="00D81800" w:rsidRPr="00001744" w:rsidRDefault="00D81800" w:rsidP="00556B4C">
      <w:pPr>
        <w:pStyle w:val="Textoindependiente"/>
        <w:rPr>
          <w:b/>
        </w:rPr>
      </w:pPr>
      <w:r w:rsidRPr="00001744">
        <w:rPr>
          <w:b/>
        </w:rPr>
        <w:t xml:space="preserve">4.1.1.2 Artículo 32 de </w:t>
      </w:r>
      <w:smartTag w:uri="urn:schemas-microsoft-com:office:smarttags" w:element="PersonName">
        <w:smartTagPr>
          <w:attr w:name="ProductID" w:val="la Ley N"/>
        </w:smartTagPr>
        <w:r w:rsidRPr="00001744">
          <w:rPr>
            <w:b/>
          </w:rPr>
          <w:t>la Ley N</w:t>
        </w:r>
      </w:smartTag>
      <w:r w:rsidRPr="00001744">
        <w:rPr>
          <w:b/>
        </w:rPr>
        <w:t>º 11.923</w:t>
      </w:r>
    </w:p>
    <w:p w:rsidR="00D81800" w:rsidRPr="00BF3318" w:rsidRDefault="00D81800" w:rsidP="00556B4C">
      <w:pPr>
        <w:pStyle w:val="Textoindependiente"/>
      </w:pPr>
      <w:r w:rsidRPr="00E1617C">
        <w:t>En todos los casos analizados se constató el cumplimiento de la normativa en cuanto se presentó la declaración jurada de los funcionarios, que establece  que no ocupan a la vez dos empleos públicos ni perciben más de una remuneración con cargo a fondos públicos que sea incompatible con el d</w:t>
      </w:r>
      <w:r>
        <w:t>esempeño de la función pública.</w:t>
      </w:r>
    </w:p>
    <w:p w:rsidR="00D81800" w:rsidRPr="00001744" w:rsidRDefault="00D81800" w:rsidP="00556B4C">
      <w:pPr>
        <w:pStyle w:val="Textoindependiente"/>
        <w:rPr>
          <w:b/>
        </w:rPr>
      </w:pPr>
      <w:r w:rsidRPr="00001744">
        <w:rPr>
          <w:b/>
        </w:rPr>
        <w:t xml:space="preserve">4.1.1.3 Artículo 34 de </w:t>
      </w:r>
      <w:smartTag w:uri="urn:schemas-microsoft-com:office:smarttags" w:element="PersonName">
        <w:smartTagPr>
          <w:attr w:name="ProductID" w:val="la Ley N"/>
        </w:smartTagPr>
        <w:r w:rsidRPr="00001744">
          <w:rPr>
            <w:b/>
          </w:rPr>
          <w:t>la Ley N</w:t>
        </w:r>
      </w:smartTag>
      <w:r w:rsidRPr="00001744">
        <w:rPr>
          <w:b/>
        </w:rPr>
        <w:t>º 19.210</w:t>
      </w:r>
    </w:p>
    <w:p w:rsidR="00D81800" w:rsidRPr="00BF3318" w:rsidRDefault="00D81800" w:rsidP="00556B4C">
      <w:pPr>
        <w:pStyle w:val="Textoindependiente"/>
      </w:pPr>
      <w:r w:rsidRPr="00BF3318">
        <w:t>Se constató que se adecu</w:t>
      </w:r>
      <w:r>
        <w:t>ó</w:t>
      </w:r>
      <w:r w:rsidRPr="00BF3318">
        <w:t xml:space="preserve"> el porcentaje líquido de las retribuciones nominales abonadas al establecido en la norma.</w:t>
      </w:r>
    </w:p>
    <w:p w:rsidR="00D81800" w:rsidRPr="005B6382" w:rsidRDefault="00D81800" w:rsidP="00556B4C">
      <w:pPr>
        <w:pStyle w:val="Textoindependiente"/>
        <w:rPr>
          <w:highlight w:val="yellow"/>
        </w:rPr>
      </w:pPr>
    </w:p>
    <w:p w:rsidR="00D81800" w:rsidRDefault="00D81800" w:rsidP="00BA160E">
      <w:pPr>
        <w:suppressAutoHyphens/>
        <w:spacing w:line="360" w:lineRule="auto"/>
        <w:rPr>
          <w:rFonts w:eastAsia="Arial Unicode MS" w:cs="Arial"/>
          <w:b/>
          <w:bCs/>
          <w:noProof/>
          <w:color w:val="000000"/>
          <w:lang w:val="es-MX" w:eastAsia="zh-CN"/>
        </w:rPr>
      </w:pPr>
      <w:bookmarkStart w:id="4" w:name="_Toc341790985"/>
      <w:bookmarkStart w:id="5" w:name="_Toc364954072"/>
      <w:r>
        <w:rPr>
          <w:rFonts w:eastAsia="Arial Unicode MS" w:cs="Arial"/>
          <w:b/>
          <w:bCs/>
          <w:noProof/>
          <w:color w:val="000000"/>
          <w:lang w:val="es-MX" w:eastAsia="zh-CN"/>
        </w:rPr>
        <w:t>4.1.2</w:t>
      </w:r>
      <w:r w:rsidRPr="0034234A">
        <w:rPr>
          <w:rFonts w:eastAsia="Arial Unicode MS" w:cs="Arial"/>
          <w:b/>
          <w:bCs/>
          <w:noProof/>
          <w:color w:val="000000"/>
          <w:lang w:val="es-MX" w:eastAsia="zh-CN"/>
        </w:rPr>
        <w:t xml:space="preserve"> </w:t>
      </w:r>
      <w:bookmarkStart w:id="6" w:name="_Toc267318802"/>
      <w:r>
        <w:rPr>
          <w:rFonts w:eastAsia="Arial Unicode MS" w:cs="Arial"/>
          <w:b/>
          <w:bCs/>
          <w:noProof/>
          <w:color w:val="000000"/>
          <w:lang w:val="es-MX" w:eastAsia="zh-CN"/>
        </w:rPr>
        <w:t>N</w:t>
      </w:r>
      <w:r w:rsidRPr="0034234A">
        <w:rPr>
          <w:rFonts w:eastAsia="Arial Unicode MS" w:cs="Arial"/>
          <w:b/>
          <w:bCs/>
          <w:noProof/>
          <w:color w:val="000000"/>
          <w:lang w:val="es-MX" w:eastAsia="zh-CN"/>
        </w:rPr>
        <w:t>o cumplidas</w:t>
      </w:r>
      <w:bookmarkEnd w:id="6"/>
    </w:p>
    <w:p w:rsidR="00D81800" w:rsidRPr="00D55ACA" w:rsidRDefault="00D81800" w:rsidP="005F010D">
      <w:pPr>
        <w:pStyle w:val="Ttulo2"/>
        <w:spacing w:after="0"/>
        <w:rPr>
          <w:rFonts w:cs="Arial"/>
          <w:b w:val="0"/>
          <w:lang w:val="es-UY"/>
        </w:rPr>
      </w:pPr>
      <w:r w:rsidRPr="00156354">
        <w:rPr>
          <w:rFonts w:cs="Arial"/>
          <w:b w:val="0"/>
        </w:rPr>
        <w:t xml:space="preserve">La </w:t>
      </w:r>
      <w:r>
        <w:rPr>
          <w:rFonts w:cs="Arial"/>
          <w:b w:val="0"/>
          <w:lang w:val="es-ES"/>
        </w:rPr>
        <w:t>Intendencia</w:t>
      </w:r>
      <w:r w:rsidRPr="00156354">
        <w:rPr>
          <w:rFonts w:cs="Arial"/>
          <w:b w:val="0"/>
        </w:rPr>
        <w:t xml:space="preserve"> de </w:t>
      </w:r>
      <w:r>
        <w:rPr>
          <w:rFonts w:cs="Arial"/>
          <w:b w:val="0"/>
        </w:rPr>
        <w:t>Florida</w:t>
      </w:r>
      <w:r w:rsidRPr="00156354">
        <w:rPr>
          <w:rFonts w:cs="Arial"/>
          <w:b w:val="0"/>
        </w:rPr>
        <w:t xml:space="preserve"> no ha implementado medidas correctivas respec</w:t>
      </w:r>
      <w:bookmarkStart w:id="7" w:name="_Toc207184783"/>
      <w:bookmarkStart w:id="8" w:name="_Toc340760896"/>
      <w:r>
        <w:rPr>
          <w:rFonts w:cs="Arial"/>
          <w:b w:val="0"/>
        </w:rPr>
        <w:t>to</w:t>
      </w:r>
      <w:r w:rsidR="00D55ACA">
        <w:rPr>
          <w:rFonts w:cs="Arial"/>
          <w:b w:val="0"/>
        </w:rPr>
        <w:t xml:space="preserve"> a los siguientes  aspectos:</w:t>
      </w:r>
    </w:p>
    <w:p w:rsidR="00D81800" w:rsidRPr="00001744" w:rsidRDefault="00D81800" w:rsidP="00556B4C">
      <w:pPr>
        <w:pStyle w:val="Textoindependiente"/>
        <w:rPr>
          <w:b/>
        </w:rPr>
      </w:pPr>
      <w:r w:rsidRPr="00001744">
        <w:rPr>
          <w:b/>
        </w:rPr>
        <w:t xml:space="preserve">4.1.2.1 Artículo 211 Literal B) de </w:t>
      </w:r>
      <w:smartTag w:uri="urn:schemas-microsoft-com:office:smarttags" w:element="PersonName">
        <w:smartTagPr>
          <w:attr w:name="ProductID" w:val="la Constituci￳n"/>
        </w:smartTagPr>
        <w:r w:rsidRPr="00001744">
          <w:rPr>
            <w:b/>
          </w:rPr>
          <w:t>la Constitución</w:t>
        </w:r>
      </w:smartTag>
      <w:r w:rsidRPr="00001744">
        <w:rPr>
          <w:b/>
        </w:rPr>
        <w:t xml:space="preserve"> de </w:t>
      </w:r>
      <w:smartTag w:uri="urn:schemas-microsoft-com:office:smarttags" w:element="PersonName">
        <w:smartTagPr>
          <w:attr w:name="ProductID" w:val="la Rep￺blica"/>
        </w:smartTagPr>
        <w:r w:rsidRPr="00001744">
          <w:rPr>
            <w:b/>
          </w:rPr>
          <w:t>la República</w:t>
        </w:r>
      </w:smartTag>
    </w:p>
    <w:p w:rsidR="00D81800" w:rsidRPr="005F010D" w:rsidRDefault="00D81800" w:rsidP="00556B4C">
      <w:pPr>
        <w:pStyle w:val="Textoindependiente"/>
      </w:pPr>
      <w:r w:rsidRPr="00BF3318">
        <w:t xml:space="preserve">Todos los gastos y pagos de </w:t>
      </w:r>
      <w:smartTag w:uri="urn:schemas-microsoft-com:office:smarttags" w:element="PersonName">
        <w:smartTagPr>
          <w:attr w:name="ProductID" w:val="la Intendencia"/>
        </w:smartTagPr>
        <w:r w:rsidRPr="00BF3318">
          <w:t>la Intendencia</w:t>
        </w:r>
      </w:smartTag>
      <w:r w:rsidRPr="00BF3318">
        <w:t xml:space="preserve"> deben ser sometidos a la intervención preventiva del Tribunal de Cuentas, tal como lo establece la norma</w:t>
      </w:r>
      <w:r>
        <w:t>.</w:t>
      </w:r>
    </w:p>
    <w:p w:rsidR="00D81800" w:rsidRPr="00001744" w:rsidRDefault="00D81800" w:rsidP="00556B4C">
      <w:pPr>
        <w:pStyle w:val="Textoindependiente"/>
        <w:rPr>
          <w:b/>
        </w:rPr>
      </w:pPr>
      <w:r w:rsidRPr="00001744">
        <w:rPr>
          <w:b/>
        </w:rPr>
        <w:t xml:space="preserve">4.1.2.2 </w:t>
      </w:r>
      <w:bookmarkEnd w:id="7"/>
      <w:r w:rsidRPr="00001744">
        <w:rPr>
          <w:b/>
        </w:rPr>
        <w:t xml:space="preserve">Artículo 297 de </w:t>
      </w:r>
      <w:smartTag w:uri="urn:schemas-microsoft-com:office:smarttags" w:element="PersonName">
        <w:smartTagPr>
          <w:attr w:name="ProductID" w:val="la Constituci￳n"/>
        </w:smartTagPr>
        <w:r w:rsidRPr="00001744">
          <w:rPr>
            <w:b/>
          </w:rPr>
          <w:t>la Constitución</w:t>
        </w:r>
      </w:smartTag>
      <w:r w:rsidRPr="00001744">
        <w:rPr>
          <w:b/>
        </w:rPr>
        <w:t xml:space="preserve"> de </w:t>
      </w:r>
      <w:smartTag w:uri="urn:schemas-microsoft-com:office:smarttags" w:element="PersonName">
        <w:smartTagPr>
          <w:attr w:name="ProductID" w:val="la Rep￺blica"/>
        </w:smartTagPr>
        <w:r w:rsidRPr="00001744">
          <w:rPr>
            <w:b/>
          </w:rPr>
          <w:t>la República</w:t>
        </w:r>
      </w:smartTag>
      <w:bookmarkEnd w:id="8"/>
      <w:r w:rsidRPr="00001744">
        <w:rPr>
          <w:b/>
        </w:rPr>
        <w:t xml:space="preserve"> y Artículo 94 del Código Tributario.</w:t>
      </w:r>
    </w:p>
    <w:p w:rsidR="00D81800" w:rsidRPr="00E82E97" w:rsidRDefault="00D81800" w:rsidP="00556B4C">
      <w:pPr>
        <w:pStyle w:val="Textoindependiente"/>
      </w:pPr>
      <w:r w:rsidRPr="00E82E97">
        <w:t xml:space="preserve">Las multas que aplique la </w:t>
      </w:r>
      <w:proofErr w:type="spellStart"/>
      <w:r w:rsidRPr="00E82E97">
        <w:t>lntendencia</w:t>
      </w:r>
      <w:proofErr w:type="spellEnd"/>
      <w:r w:rsidRPr="00E82E97">
        <w:t xml:space="preserve"> para los pagos fuera de fecha en lo que refiere a Impuestos sobre la propiedad inmueble rural, deben ajustarse a lo establecido en el Código Tributario, en virtud de que las mismas no son competencia de las entidades territoriales, sino que</w:t>
      </w:r>
      <w:r w:rsidRPr="00BA160E">
        <w:t xml:space="preserve"> </w:t>
      </w:r>
      <w:r w:rsidRPr="00E82E97">
        <w:t>corresponden al titular o al sujeto activo de la potestad tributaria, que en este caso es el Gobierno Nacional. Por lo expuesto, las multas a aplicar deben ajustarse al siguiente detalle:</w:t>
      </w:r>
    </w:p>
    <w:p w:rsidR="00D81800" w:rsidRPr="00E82E97" w:rsidRDefault="00D81800" w:rsidP="00556B4C">
      <w:pPr>
        <w:pStyle w:val="Textoindependiente"/>
      </w:pPr>
      <w:r w:rsidRPr="00E82E97">
        <w:t xml:space="preserve">- entre 0 y 5 días hábiles de atraso: </w:t>
      </w:r>
      <w:r w:rsidRPr="00E82E97">
        <w:tab/>
        <w:t xml:space="preserve">  5%</w:t>
      </w:r>
    </w:p>
    <w:p w:rsidR="00D81800" w:rsidRPr="00E82E97" w:rsidRDefault="00D81800" w:rsidP="00556B4C">
      <w:pPr>
        <w:pStyle w:val="Textoindependiente"/>
      </w:pPr>
      <w:r w:rsidRPr="00E82E97">
        <w:t xml:space="preserve">- entre 6 y 90 días corridos de atraso: </w:t>
      </w:r>
      <w:r w:rsidRPr="00E82E97">
        <w:tab/>
        <w:t>10%</w:t>
      </w:r>
    </w:p>
    <w:p w:rsidR="00D81800" w:rsidRPr="00BA160E" w:rsidRDefault="00D81800" w:rsidP="00556B4C">
      <w:pPr>
        <w:pStyle w:val="Textoindependiente"/>
      </w:pPr>
      <w:r w:rsidRPr="00E82E97">
        <w:t>- más de 9</w:t>
      </w:r>
      <w:r>
        <w:t xml:space="preserve">0 días corridos de atraso: </w:t>
      </w:r>
      <w:r>
        <w:tab/>
        <w:t>20%</w:t>
      </w:r>
    </w:p>
    <w:p w:rsidR="00D81800" w:rsidRPr="00001744" w:rsidRDefault="00D81800" w:rsidP="00556B4C">
      <w:pPr>
        <w:pStyle w:val="Textoindependiente"/>
        <w:rPr>
          <w:b/>
          <w:iCs/>
        </w:rPr>
      </w:pPr>
      <w:bookmarkStart w:id="9" w:name="_Toc397079420"/>
      <w:bookmarkEnd w:id="4"/>
      <w:bookmarkEnd w:id="5"/>
      <w:r w:rsidRPr="00001744">
        <w:rPr>
          <w:b/>
          <w:iCs/>
        </w:rPr>
        <w:t xml:space="preserve">4.1.2.3 </w:t>
      </w:r>
      <w:r w:rsidRPr="00001744">
        <w:rPr>
          <w:b/>
        </w:rPr>
        <w:t>Artículo 14 del TOCAF</w:t>
      </w:r>
      <w:bookmarkEnd w:id="9"/>
    </w:p>
    <w:p w:rsidR="00D81800" w:rsidRDefault="00D81800" w:rsidP="00556B4C">
      <w:pPr>
        <w:pStyle w:val="Textoindependiente"/>
      </w:pPr>
      <w:r w:rsidRPr="00C651D9">
        <w:t>La totalidad de los gastos que se ejecuten, deben estar debidamente autorizados por el Ordenador competente</w:t>
      </w:r>
      <w:bookmarkStart w:id="10" w:name="_Toc397079405"/>
      <w:bookmarkStart w:id="11" w:name="_Toc240964431"/>
      <w:r w:rsidR="005C46F4">
        <w:t>.</w:t>
      </w:r>
    </w:p>
    <w:p w:rsidR="00D81800" w:rsidRPr="001A5141" w:rsidRDefault="00D81800" w:rsidP="00556B4C">
      <w:pPr>
        <w:pStyle w:val="Textoindependiente"/>
        <w:rPr>
          <w:b/>
        </w:rPr>
      </w:pPr>
      <w:r w:rsidRPr="001A5141">
        <w:rPr>
          <w:b/>
        </w:rPr>
        <w:t xml:space="preserve">4.1.2.4 </w:t>
      </w:r>
      <w:bookmarkEnd w:id="10"/>
      <w:r w:rsidRPr="001A5141">
        <w:rPr>
          <w:b/>
        </w:rPr>
        <w:t>Artículos 84 y 97 del TOCAF</w:t>
      </w:r>
    </w:p>
    <w:p w:rsidR="00D81800" w:rsidRPr="005F010D" w:rsidRDefault="00D81800" w:rsidP="00556B4C">
      <w:pPr>
        <w:pStyle w:val="Textoindependiente"/>
      </w:pPr>
      <w:r w:rsidRPr="00501EC4">
        <w:t xml:space="preserve">La Intendencia deberá mantener un registro permanente, actualizado y valuado de la totalidad de los bienes de uso que integran el patrimonio de </w:t>
      </w:r>
      <w:smartTag w:uri="urn:schemas-microsoft-com:office:smarttags" w:element="PersonName">
        <w:smartTagPr>
          <w:attr w:name="ProductID" w:val="la Intendencia"/>
        </w:smartTagPr>
        <w:r w:rsidRPr="00501EC4">
          <w:t>la Intendencia</w:t>
        </w:r>
      </w:smartTag>
      <w:r w:rsidRPr="00501EC4">
        <w:t>, de acuerdo con lo dispuesto por los Artículos 84 y 97 del TOCAF.</w:t>
      </w:r>
      <w:bookmarkStart w:id="12" w:name="_Toc397079406"/>
      <w:bookmarkEnd w:id="11"/>
    </w:p>
    <w:p w:rsidR="00D81800" w:rsidRPr="001A5141" w:rsidRDefault="00D81800" w:rsidP="00556B4C">
      <w:pPr>
        <w:pStyle w:val="Textoindependiente"/>
        <w:rPr>
          <w:b/>
          <w:iCs/>
        </w:rPr>
      </w:pPr>
      <w:r w:rsidRPr="001A5141">
        <w:rPr>
          <w:b/>
          <w:iCs/>
        </w:rPr>
        <w:t xml:space="preserve">4.1.2.5 </w:t>
      </w:r>
      <w:bookmarkEnd w:id="12"/>
      <w:r w:rsidRPr="001A5141">
        <w:rPr>
          <w:b/>
        </w:rPr>
        <w:t>Artículos 90 y 154 del TOCAF</w:t>
      </w:r>
    </w:p>
    <w:p w:rsidR="00D81800" w:rsidRPr="00501EC4" w:rsidRDefault="00D81800" w:rsidP="00556B4C">
      <w:pPr>
        <w:pStyle w:val="Textoindependiente"/>
      </w:pPr>
      <w:r w:rsidRPr="00501EC4">
        <w:t>Corresponde mantener actualizados los seguros de caución de fidelidad y asignar a un funcionario responsable, el control</w:t>
      </w:r>
      <w:r>
        <w:t xml:space="preserve"> y actualización de los mismos.</w:t>
      </w:r>
    </w:p>
    <w:p w:rsidR="00D81800" w:rsidRPr="001A5141" w:rsidRDefault="00D81800" w:rsidP="00556B4C">
      <w:pPr>
        <w:pStyle w:val="Textoindependiente"/>
        <w:rPr>
          <w:b/>
        </w:rPr>
      </w:pPr>
      <w:bookmarkStart w:id="13" w:name="_Toc110845659"/>
      <w:bookmarkStart w:id="14" w:name="_Toc111889451"/>
      <w:bookmarkStart w:id="15" w:name="_Toc112651564"/>
      <w:bookmarkStart w:id="16" w:name="_Toc397079407"/>
      <w:r w:rsidRPr="001A5141">
        <w:rPr>
          <w:b/>
        </w:rPr>
        <w:t>4.1.2.6 Ordenanza Nº 89 del Tribunal de Cuentas</w:t>
      </w:r>
      <w:bookmarkEnd w:id="13"/>
      <w:bookmarkEnd w:id="14"/>
      <w:bookmarkEnd w:id="15"/>
      <w:bookmarkEnd w:id="16"/>
    </w:p>
    <w:p w:rsidR="00D81800" w:rsidRPr="00501EC4" w:rsidRDefault="00D81800" w:rsidP="00556B4C">
      <w:pPr>
        <w:pStyle w:val="Textoindependiente"/>
      </w:pPr>
      <w:r w:rsidRPr="00501EC4">
        <w:t xml:space="preserve">De acuerdo con </w:t>
      </w:r>
      <w:smartTag w:uri="urn:schemas-microsoft-com:office:smarttags" w:element="PersonName">
        <w:smartTagPr>
          <w:attr w:name="ProductID" w:val="la Ordenanza N"/>
        </w:smartTagPr>
        <w:r w:rsidRPr="00501EC4">
          <w:t>la Ordenanza N</w:t>
        </w:r>
      </w:smartTag>
      <w:r w:rsidRPr="00501EC4">
        <w:t>º 8</w:t>
      </w:r>
      <w:r>
        <w:t>9</w:t>
      </w:r>
      <w:r w:rsidRPr="00501EC4">
        <w:t xml:space="preserve"> de este Tribunal, </w:t>
      </w:r>
      <w:smartTag w:uri="urn:schemas-microsoft-com:office:smarttags" w:element="PersonName">
        <w:smartTagPr>
          <w:attr w:name="ProductID" w:val="la Intendencia"/>
        </w:smartTagPr>
        <w:r w:rsidRPr="00501EC4">
          <w:t>la Intendencia</w:t>
        </w:r>
      </w:smartTag>
      <w:r w:rsidRPr="00501EC4">
        <w:t xml:space="preserve"> deberá presentar los Estados Financieros establecidos en el Artículo 13 de la misma.</w:t>
      </w:r>
    </w:p>
    <w:p w:rsidR="00D81800" w:rsidRPr="001A5141" w:rsidRDefault="00D81800" w:rsidP="00556B4C">
      <w:pPr>
        <w:pStyle w:val="Textoindependiente"/>
        <w:rPr>
          <w:b/>
        </w:rPr>
      </w:pPr>
      <w:bookmarkStart w:id="17" w:name="_Toc336429006"/>
      <w:bookmarkStart w:id="18" w:name="_Toc397079408"/>
      <w:bookmarkStart w:id="19" w:name="_Toc240964434"/>
      <w:r w:rsidRPr="001A5141">
        <w:rPr>
          <w:b/>
        </w:rPr>
        <w:t xml:space="preserve">4.1.2.7 Convenio Nº 30 de </w:t>
      </w:r>
      <w:smartTag w:uri="urn:schemas-microsoft-com:office:smarttags" w:element="PersonName">
        <w:smartTagPr>
          <w:attr w:name="ProductID" w:val="la OIT"/>
        </w:smartTagPr>
        <w:r w:rsidRPr="001A5141">
          <w:rPr>
            <w:b/>
          </w:rPr>
          <w:t>la OIT</w:t>
        </w:r>
      </w:smartTag>
      <w:bookmarkEnd w:id="17"/>
      <w:bookmarkEnd w:id="18"/>
    </w:p>
    <w:p w:rsidR="00D81800" w:rsidRPr="005F010D" w:rsidRDefault="00D81800" w:rsidP="00556B4C">
      <w:pPr>
        <w:pStyle w:val="Textoindependiente"/>
      </w:pPr>
      <w:r w:rsidRPr="00501EC4">
        <w:t xml:space="preserve">El otorgamiento de horas extras a los funcionarios de </w:t>
      </w:r>
      <w:smartTag w:uri="urn:schemas-microsoft-com:office:smarttags" w:element="PersonName">
        <w:smartTagPr>
          <w:attr w:name="ProductID" w:val="la Intendencia"/>
        </w:smartTagPr>
        <w:r w:rsidRPr="00501EC4">
          <w:t>la Intendencia</w:t>
        </w:r>
      </w:smartTag>
      <w:r w:rsidRPr="00501EC4">
        <w:t xml:space="preserve"> debe realizarse de forma que el trabajador no realice más de 48 horas semanales, incluyendo las horas simples y extras.</w:t>
      </w:r>
      <w:bookmarkStart w:id="20" w:name="_Toc208222893"/>
      <w:bookmarkStart w:id="21" w:name="_Toc239140112"/>
      <w:bookmarkStart w:id="22" w:name="_Toc396901079"/>
      <w:bookmarkStart w:id="23" w:name="_Toc397079409"/>
      <w:bookmarkEnd w:id="19"/>
    </w:p>
    <w:p w:rsidR="00D81800" w:rsidRPr="001A5141" w:rsidRDefault="00D81800" w:rsidP="00556B4C">
      <w:pPr>
        <w:pStyle w:val="Textoindependiente"/>
        <w:rPr>
          <w:b/>
        </w:rPr>
      </w:pPr>
      <w:r w:rsidRPr="001A5141">
        <w:rPr>
          <w:b/>
        </w:rPr>
        <w:t>4.1.2.8 Ordenanza N° 62 del Tribunal de Cuentas</w:t>
      </w:r>
      <w:bookmarkEnd w:id="20"/>
      <w:bookmarkEnd w:id="21"/>
      <w:bookmarkEnd w:id="22"/>
    </w:p>
    <w:p w:rsidR="00D81800" w:rsidRDefault="00D81800" w:rsidP="00556B4C">
      <w:pPr>
        <w:pStyle w:val="Textoindependiente"/>
      </w:pPr>
      <w:r w:rsidRPr="00C651D9">
        <w:t>A efectos de dar cumplimiento con esta Ordenanza, no deberán promulgarse y/o aplicarse normas que impliquen creaciones o modificaciones de recursos, que no hayan sido sometidas a Dictamen de este Tribunal por la respectiva Junta Departamental, previamente a su aprobación</w:t>
      </w:r>
      <w:bookmarkStart w:id="24" w:name="_Toc400023314"/>
      <w:bookmarkEnd w:id="23"/>
      <w:r>
        <w:t>.</w:t>
      </w:r>
    </w:p>
    <w:p w:rsidR="00D81800" w:rsidRPr="001A5141" w:rsidRDefault="00D81800" w:rsidP="00556B4C">
      <w:pPr>
        <w:pStyle w:val="Textoindependiente"/>
        <w:rPr>
          <w:b/>
        </w:rPr>
      </w:pPr>
      <w:r w:rsidRPr="001A5141">
        <w:rPr>
          <w:b/>
        </w:rPr>
        <w:t>4.1.2.9 Decreto N° 388/92 y Resolución N° 688/92 de la D</w:t>
      </w:r>
      <w:bookmarkEnd w:id="24"/>
      <w:r w:rsidRPr="001A5141">
        <w:rPr>
          <w:b/>
        </w:rPr>
        <w:t>GI</w:t>
      </w:r>
    </w:p>
    <w:p w:rsidR="00D81800" w:rsidRDefault="00D81800" w:rsidP="00556B4C">
      <w:pPr>
        <w:pStyle w:val="Textoindependiente"/>
      </w:pPr>
      <w:r w:rsidRPr="00C651D9">
        <w:t xml:space="preserve">Los gastos ejecutados deben ser respaldados en documentos que cumplan con los requisitos establecidos por </w:t>
      </w:r>
      <w:smartTag w:uri="urn:schemas-microsoft-com:office:smarttags" w:element="PersonName">
        <w:smartTagPr>
          <w:attr w:name="ProductID" w:val="la Direcci￳n General"/>
        </w:smartTagPr>
        <w:r w:rsidRPr="00C651D9">
          <w:t>la Dirección General</w:t>
        </w:r>
      </w:smartTag>
      <w:r w:rsidRPr="00C651D9">
        <w:t xml:space="preserve"> Impositiva</w:t>
      </w:r>
      <w:r>
        <w:t>.</w:t>
      </w:r>
    </w:p>
    <w:p w:rsidR="00D81800" w:rsidRPr="001A5141" w:rsidRDefault="00D81800" w:rsidP="00556B4C">
      <w:pPr>
        <w:pStyle w:val="Textoindependiente"/>
        <w:rPr>
          <w:b/>
        </w:rPr>
      </w:pPr>
      <w:r w:rsidRPr="001A5141">
        <w:rPr>
          <w:b/>
        </w:rPr>
        <w:t>4.1.2.10 Manuales de procedimiento</w:t>
      </w:r>
    </w:p>
    <w:p w:rsidR="00D81800" w:rsidRDefault="00D81800" w:rsidP="00556B4C">
      <w:pPr>
        <w:pStyle w:val="Textoindependiente"/>
      </w:pPr>
      <w:r w:rsidRPr="00C651D9">
        <w:t>La Intendencia deberá contar con manuales de procedimiento de las tareas que se realizan.</w:t>
      </w:r>
    </w:p>
    <w:p w:rsidR="00D81800" w:rsidRPr="001A5141" w:rsidRDefault="00D81800" w:rsidP="00556B4C">
      <w:pPr>
        <w:pStyle w:val="Textoindependiente"/>
        <w:rPr>
          <w:b/>
        </w:rPr>
      </w:pPr>
      <w:r w:rsidRPr="001A5141">
        <w:rPr>
          <w:b/>
        </w:rPr>
        <w:t>4.1.2.11 Artículo 86 de la Constitución de la República</w:t>
      </w:r>
    </w:p>
    <w:p w:rsidR="00D81800" w:rsidRPr="005F010D" w:rsidRDefault="00D81800" w:rsidP="00556B4C">
      <w:pPr>
        <w:pStyle w:val="Textoindependiente"/>
        <w:rPr>
          <w:rFonts w:cs="Arial"/>
          <w:b/>
          <w:color w:val="00B050"/>
          <w:lang w:eastAsia="es-ES"/>
        </w:rPr>
      </w:pPr>
      <w:r w:rsidRPr="00C651D9">
        <w:t xml:space="preserve">Todas las partidas que abone </w:t>
      </w:r>
      <w:smartTag w:uri="urn:schemas-microsoft-com:office:smarttags" w:element="PersonName">
        <w:smartTagPr>
          <w:attr w:name="ProductID" w:val="la Intendencia"/>
        </w:smartTagPr>
        <w:r w:rsidRPr="00C651D9">
          <w:t>la Intendencia</w:t>
        </w:r>
      </w:smartTag>
      <w:r w:rsidRPr="00C651D9">
        <w:t xml:space="preserve"> a sus funcionarios deben estar amparadas en una norma presupuestal que lo habilite</w:t>
      </w:r>
      <w:r>
        <w:t>.</w:t>
      </w:r>
    </w:p>
    <w:p w:rsidR="00D81800" w:rsidRPr="001A5141" w:rsidRDefault="00D81800" w:rsidP="00556B4C">
      <w:pPr>
        <w:pStyle w:val="Textoindependiente"/>
        <w:rPr>
          <w:b/>
        </w:rPr>
      </w:pPr>
      <w:r w:rsidRPr="001A5141">
        <w:rPr>
          <w:b/>
        </w:rPr>
        <w:t>4.1.2.12 Artículo 13 del TOCAF</w:t>
      </w:r>
    </w:p>
    <w:p w:rsidR="00D81800" w:rsidRPr="00C651D9" w:rsidRDefault="00D81800" w:rsidP="00556B4C">
      <w:pPr>
        <w:pStyle w:val="Textoindependiente"/>
      </w:pPr>
      <w:r w:rsidRPr="00C651D9">
        <w:t>Se deberán imputar en el ejercicio solamente los gastos devengados en el mismo</w:t>
      </w:r>
      <w:r>
        <w:t>.</w:t>
      </w:r>
    </w:p>
    <w:p w:rsidR="00D81800" w:rsidRPr="001A5141" w:rsidRDefault="00D81800" w:rsidP="00556B4C">
      <w:pPr>
        <w:pStyle w:val="Textoindependiente"/>
        <w:rPr>
          <w:b/>
        </w:rPr>
      </w:pPr>
      <w:r w:rsidRPr="001A5141">
        <w:rPr>
          <w:b/>
        </w:rPr>
        <w:t>4.1.2.13 Artículo 16 del TOCAF</w:t>
      </w:r>
    </w:p>
    <w:p w:rsidR="00D81800" w:rsidRPr="005F010D" w:rsidRDefault="00D81800" w:rsidP="00556B4C">
      <w:pPr>
        <w:pStyle w:val="Textoindependiente"/>
        <w:rPr>
          <w:rFonts w:cs="Arial"/>
          <w:b/>
          <w:color w:val="00B050"/>
          <w:highlight w:val="yellow"/>
          <w:lang w:eastAsia="es-ES"/>
        </w:rPr>
      </w:pPr>
      <w:r w:rsidRPr="00C651D9">
        <w:t>Se deberán imputar los gastos en los objetos presupuestales que correspondan por su concepto</w:t>
      </w:r>
      <w:r>
        <w:t>.</w:t>
      </w:r>
    </w:p>
    <w:p w:rsidR="00D81800" w:rsidRPr="001A5141" w:rsidRDefault="00D81800" w:rsidP="00556B4C">
      <w:pPr>
        <w:pStyle w:val="Textoindependiente"/>
        <w:rPr>
          <w:b/>
        </w:rPr>
      </w:pPr>
      <w:r w:rsidRPr="001A5141">
        <w:rPr>
          <w:b/>
        </w:rPr>
        <w:t>4.1.2.14 Artículos 33 y 74 del TOCAF</w:t>
      </w:r>
    </w:p>
    <w:p w:rsidR="00D81800" w:rsidRPr="005F010D" w:rsidRDefault="00D81800" w:rsidP="00556B4C">
      <w:pPr>
        <w:pStyle w:val="Textoindependiente"/>
      </w:pPr>
      <w:r w:rsidRPr="00C651D9">
        <w:t xml:space="preserve">Al momento de la contratación, renovación de contrato y/o prórrogas de los mismos se deberá considerar los montos establecidos en </w:t>
      </w:r>
      <w:proofErr w:type="gramStart"/>
      <w:r w:rsidRPr="00C651D9">
        <w:t>el</w:t>
      </w:r>
      <w:proofErr w:type="gramEnd"/>
      <w:r w:rsidRPr="00C651D9">
        <w:t xml:space="preserve"> Artículos 33 del TOCAF para la determinación del procedimiento de compra, así como considerar que no se puede realizar ampliaciones mayores al 100% de la contratación inicial</w:t>
      </w:r>
      <w:r>
        <w:t>.</w:t>
      </w:r>
    </w:p>
    <w:p w:rsidR="00D81800" w:rsidRPr="001A5141" w:rsidRDefault="00D81800" w:rsidP="00556B4C">
      <w:pPr>
        <w:pStyle w:val="Textoindependiente"/>
        <w:rPr>
          <w:b/>
        </w:rPr>
      </w:pPr>
      <w:r w:rsidRPr="001A5141">
        <w:rPr>
          <w:b/>
        </w:rPr>
        <w:t>4.1.2.15 Artículo 50 del TOCAF</w:t>
      </w:r>
    </w:p>
    <w:p w:rsidR="00D81800" w:rsidRPr="005F010D" w:rsidRDefault="00D81800" w:rsidP="00556B4C">
      <w:pPr>
        <w:pStyle w:val="Textoindependiente"/>
      </w:pPr>
      <w:r w:rsidRPr="00C651D9">
        <w:t>Se deberá publicar en la web de compras estatales todas aquellas compras que superen el importe establecido en esta norma, es decir mayores al 50% del tope de compra directa</w:t>
      </w:r>
      <w:r>
        <w:t>.</w:t>
      </w:r>
    </w:p>
    <w:p w:rsidR="00D81800" w:rsidRPr="001A5141" w:rsidRDefault="00D81800" w:rsidP="00556B4C">
      <w:pPr>
        <w:pStyle w:val="Textoindependiente"/>
        <w:rPr>
          <w:b/>
        </w:rPr>
      </w:pPr>
      <w:r w:rsidRPr="001A5141">
        <w:rPr>
          <w:b/>
        </w:rPr>
        <w:t>4.1.2.16 Artículo 132 del TOCAF</w:t>
      </w:r>
    </w:p>
    <w:p w:rsidR="00D81800" w:rsidRPr="00C651D9" w:rsidRDefault="00D81800" w:rsidP="00556B4C">
      <w:pPr>
        <w:pStyle w:val="Textoindependiente"/>
        <w:rPr>
          <w:rFonts w:cs="Arial"/>
          <w:b/>
          <w:color w:val="00B050"/>
          <w:lang w:eastAsia="es-ES"/>
        </w:rPr>
      </w:pPr>
      <w:r w:rsidRPr="00C651D9">
        <w:t>Los anticipos de fondos otorgados, deben ser rendidos de acuerdo a lo establecido por la referida norma</w:t>
      </w:r>
      <w:r>
        <w:t>.</w:t>
      </w:r>
    </w:p>
    <w:p w:rsidR="00D81800" w:rsidRDefault="00D81800" w:rsidP="00FD041D">
      <w:pPr>
        <w:jc w:val="both"/>
        <w:rPr>
          <w:rFonts w:cs="Arial"/>
          <w:b/>
          <w:bCs/>
        </w:rPr>
      </w:pPr>
    </w:p>
    <w:p w:rsidR="00D81800" w:rsidRDefault="00D81800" w:rsidP="00FD041D">
      <w:pPr>
        <w:spacing w:line="360" w:lineRule="auto"/>
        <w:jc w:val="both"/>
        <w:rPr>
          <w:rFonts w:cs="Arial"/>
          <w:b/>
          <w:bCs/>
        </w:rPr>
      </w:pPr>
      <w:r>
        <w:rPr>
          <w:rFonts w:cs="Arial"/>
          <w:b/>
          <w:bCs/>
        </w:rPr>
        <w:t xml:space="preserve">4.2 </w:t>
      </w:r>
      <w:r w:rsidRPr="00E34EBA">
        <w:rPr>
          <w:rFonts w:cs="Arial"/>
          <w:b/>
          <w:bCs/>
        </w:rPr>
        <w:t xml:space="preserve"> Recomen</w:t>
      </w:r>
      <w:r w:rsidR="00D55ACA">
        <w:rPr>
          <w:rFonts w:cs="Arial"/>
          <w:b/>
          <w:bCs/>
        </w:rPr>
        <w:t>daciones del presente ejercicio</w:t>
      </w:r>
    </w:p>
    <w:p w:rsidR="00D81800" w:rsidRDefault="00D81800" w:rsidP="00FD041D">
      <w:pPr>
        <w:suppressAutoHyphens/>
        <w:spacing w:line="360" w:lineRule="auto"/>
        <w:jc w:val="both"/>
        <w:rPr>
          <w:rFonts w:cs="Arial"/>
          <w:color w:val="000000"/>
          <w:lang w:eastAsia="zh-CN"/>
        </w:rPr>
      </w:pPr>
      <w:r w:rsidRPr="0034234A">
        <w:rPr>
          <w:rFonts w:cs="Arial"/>
          <w:color w:val="000000"/>
          <w:lang w:eastAsia="zh-CN"/>
        </w:rPr>
        <w:t xml:space="preserve">Se reiteran las recomendaciones </w:t>
      </w:r>
      <w:r w:rsidRPr="00E34EBA">
        <w:rPr>
          <w:rFonts w:cs="Arial"/>
        </w:rPr>
        <w:t>no cumplidas de ejercicios anteriores</w:t>
      </w:r>
      <w:r>
        <w:rPr>
          <w:rFonts w:cs="Arial"/>
        </w:rPr>
        <w:t xml:space="preserve">, a la que se agregan </w:t>
      </w:r>
      <w:r w:rsidRPr="0034234A">
        <w:rPr>
          <w:rFonts w:cs="Arial"/>
          <w:color w:val="000000"/>
          <w:lang w:eastAsia="zh-CN"/>
        </w:rPr>
        <w:t xml:space="preserve"> la</w:t>
      </w:r>
      <w:r>
        <w:rPr>
          <w:rFonts w:cs="Arial"/>
          <w:color w:val="000000"/>
          <w:lang w:eastAsia="zh-CN"/>
        </w:rPr>
        <w:t>s</w:t>
      </w:r>
      <w:r w:rsidRPr="0034234A">
        <w:rPr>
          <w:rFonts w:cs="Arial"/>
          <w:color w:val="000000"/>
          <w:lang w:eastAsia="zh-CN"/>
        </w:rPr>
        <w:t xml:space="preserve"> siguiente</w:t>
      </w:r>
      <w:r>
        <w:rPr>
          <w:rFonts w:cs="Arial"/>
          <w:color w:val="000000"/>
          <w:lang w:eastAsia="zh-CN"/>
        </w:rPr>
        <w:t>s</w:t>
      </w:r>
      <w:r w:rsidR="00D55ACA">
        <w:rPr>
          <w:rFonts w:cs="Arial"/>
          <w:color w:val="000000"/>
          <w:lang w:eastAsia="zh-CN"/>
        </w:rPr>
        <w:t>:</w:t>
      </w:r>
    </w:p>
    <w:p w:rsidR="005C46F4" w:rsidRDefault="005C46F4" w:rsidP="00FD041D">
      <w:pPr>
        <w:suppressAutoHyphens/>
        <w:spacing w:line="360" w:lineRule="auto"/>
        <w:jc w:val="both"/>
        <w:rPr>
          <w:rFonts w:cs="Arial"/>
          <w:color w:val="000000"/>
          <w:lang w:eastAsia="zh-CN"/>
        </w:rPr>
      </w:pPr>
    </w:p>
    <w:p w:rsidR="00D81800" w:rsidRPr="00E1617C" w:rsidRDefault="00D81800" w:rsidP="00FD041D">
      <w:pPr>
        <w:suppressAutoHyphens/>
        <w:spacing w:line="360" w:lineRule="auto"/>
        <w:jc w:val="both"/>
        <w:rPr>
          <w:rFonts w:cs="Arial"/>
          <w:color w:val="000000"/>
          <w:lang w:eastAsia="zh-CN"/>
        </w:rPr>
      </w:pPr>
      <w:r w:rsidRPr="00B71CDA">
        <w:rPr>
          <w:rFonts w:cs="Arial"/>
          <w:b/>
          <w:color w:val="000000"/>
          <w:lang w:eastAsia="zh-CN"/>
        </w:rPr>
        <w:t>4.2.1</w:t>
      </w:r>
      <w:r>
        <w:rPr>
          <w:rFonts w:cs="Arial"/>
          <w:color w:val="000000"/>
          <w:lang w:eastAsia="zh-CN"/>
        </w:rPr>
        <w:t xml:space="preserve"> </w:t>
      </w:r>
      <w:r w:rsidRPr="00FD041D">
        <w:rPr>
          <w:rFonts w:cs="Arial"/>
          <w:b/>
          <w:color w:val="000000"/>
          <w:lang w:eastAsia="zh-CN"/>
        </w:rPr>
        <w:t>Fideicomiso Financiero</w:t>
      </w:r>
    </w:p>
    <w:p w:rsidR="00D81800" w:rsidRPr="00874E78" w:rsidRDefault="00D81800" w:rsidP="00FD041D">
      <w:pPr>
        <w:suppressAutoHyphens/>
        <w:spacing w:line="360" w:lineRule="auto"/>
        <w:jc w:val="both"/>
        <w:rPr>
          <w:rFonts w:cs="Arial"/>
          <w:color w:val="000000"/>
          <w:lang w:eastAsia="zh-CN"/>
        </w:rPr>
      </w:pPr>
      <w:r>
        <w:rPr>
          <w:rFonts w:cs="Arial"/>
          <w:color w:val="000000"/>
          <w:lang w:eastAsia="zh-CN"/>
        </w:rPr>
        <w:t>La Intendencia de Florida deberá ajustar la presentación de las Rendiciones de Cuentas, exponiendo toda la información relativa al fideicomiso acorde al instructivo aprobado por este Tribunal según Resolución Nº 1235/18 de 21/03/2018 detallando las obras realizadas (ejecución y costo anual) y la situación de la deuda con AFISA al cierre de cada ejercicio.</w:t>
      </w:r>
    </w:p>
    <w:p w:rsidR="00D81800" w:rsidRPr="00556B4C" w:rsidRDefault="00D81800" w:rsidP="00556B4C">
      <w:pPr>
        <w:pStyle w:val="Textoindependiente"/>
        <w:rPr>
          <w:b/>
        </w:rPr>
      </w:pPr>
      <w:r w:rsidRPr="00556B4C">
        <w:rPr>
          <w:b/>
        </w:rPr>
        <w:t xml:space="preserve">4.2.2 Artículos 12 y 14 de </w:t>
      </w:r>
      <w:smartTag w:uri="urn:schemas-microsoft-com:office:smarttags" w:element="PersonName">
        <w:smartTagPr>
          <w:attr w:name="ProductID" w:val="la Ley N"/>
        </w:smartTagPr>
        <w:r w:rsidRPr="00556B4C">
          <w:rPr>
            <w:b/>
          </w:rPr>
          <w:t>la Ley N</w:t>
        </w:r>
      </w:smartTag>
      <w:r w:rsidRPr="00556B4C">
        <w:rPr>
          <w:b/>
        </w:rPr>
        <w:t>º 19.272</w:t>
      </w:r>
    </w:p>
    <w:p w:rsidR="00D81800" w:rsidRPr="00E1617C" w:rsidRDefault="00D81800" w:rsidP="00556B4C">
      <w:pPr>
        <w:pStyle w:val="Textoindependiente"/>
      </w:pPr>
      <w:r w:rsidRPr="00E1617C">
        <w:t>El funcionamiento de los Municipios debe adecuarse a lo prescripto por estas normas. En particular, los gastos o inversiones deben ser ordenados por mayoría absoluta de los integrantes del Municipio, dentro de la que deberá estar el voto de quien esté ejer</w:t>
      </w:r>
      <w:r w:rsidR="00D55ACA">
        <w:t>ciendo la función de Alcalde.</w:t>
      </w:r>
    </w:p>
    <w:p w:rsidR="00D81800" w:rsidRDefault="00D81800" w:rsidP="00D55ACA">
      <w:pPr>
        <w:pStyle w:val="Textoindependiente"/>
        <w:ind w:left="3540" w:firstLine="708"/>
        <w:jc w:val="right"/>
      </w:pPr>
      <w:r w:rsidRPr="00E1617C">
        <w:t xml:space="preserve">Montevideo, </w:t>
      </w:r>
      <w:r>
        <w:t>4</w:t>
      </w:r>
      <w:r w:rsidRPr="00E1617C">
        <w:t xml:space="preserve"> de </w:t>
      </w:r>
      <w:r>
        <w:t>febrero</w:t>
      </w:r>
      <w:r w:rsidRPr="00E1617C">
        <w:t xml:space="preserve"> de 2019</w:t>
      </w:r>
    </w:p>
    <w:p w:rsidR="00D81800" w:rsidRPr="00D81800" w:rsidRDefault="00D81800" w:rsidP="00D81800">
      <w:pPr>
        <w:pStyle w:val="Textoindependiente"/>
        <w:ind w:left="3540" w:hanging="3540"/>
        <w:rPr>
          <w:sz w:val="20"/>
          <w:szCs w:val="20"/>
        </w:rPr>
      </w:pPr>
      <w:r>
        <w:rPr>
          <w:sz w:val="20"/>
          <w:szCs w:val="20"/>
        </w:rPr>
        <w:t>CLC</w:t>
      </w:r>
    </w:p>
    <w:sectPr w:rsidR="00D81800" w:rsidRPr="00D81800" w:rsidSect="00AF78DA">
      <w:headerReference w:type="default" r:id="rId9"/>
      <w:footerReference w:type="even" r:id="rId10"/>
      <w:footerReference w:type="default" r:id="rId11"/>
      <w:pgSz w:w="11906" w:h="16838" w:code="9"/>
      <w:pgMar w:top="3402" w:right="1701" w:bottom="1134" w:left="1701" w:header="720" w:footer="720" w:gutter="0"/>
      <w:paperSrc w:first="4" w:other="4"/>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D7" w:rsidRDefault="00F84509">
      <w:r>
        <w:separator/>
      </w:r>
    </w:p>
  </w:endnote>
  <w:endnote w:type="continuationSeparator" w:id="0">
    <w:p w:rsidR="005F2FD7" w:rsidRDefault="00F8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61" w:rsidRDefault="00764E88">
    <w:pPr>
      <w:framePr w:wrap="around" w:vAnchor="text" w:hAnchor="margin" w:xAlign="center" w:y="1"/>
    </w:pPr>
    <w:r>
      <w:fldChar w:fldCharType="begin"/>
    </w:r>
    <w:r>
      <w:instrText xml:space="preserve">PAGE  </w:instrText>
    </w:r>
    <w:r>
      <w:fldChar w:fldCharType="separate"/>
    </w:r>
    <w:r>
      <w:rPr>
        <w:noProof/>
      </w:rPr>
      <w:t>1</w:t>
    </w:r>
    <w:r>
      <w:fldChar w:fldCharType="end"/>
    </w:r>
  </w:p>
  <w:p w:rsidR="00E77361" w:rsidRDefault="005C46F4">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61" w:rsidRDefault="00764E8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46F4">
      <w:rPr>
        <w:rStyle w:val="Nmerodepgina"/>
        <w:noProof/>
      </w:rPr>
      <w:t>13</w:t>
    </w:r>
    <w:r>
      <w:rPr>
        <w:rStyle w:val="Nmerodepgina"/>
      </w:rPr>
      <w:fldChar w:fldCharType="end"/>
    </w:r>
  </w:p>
  <w:p w:rsidR="00E77361" w:rsidRDefault="005C46F4">
    <w:pPr>
      <w:framePr w:wrap="around" w:vAnchor="text" w:hAnchor="margin" w:xAlign="right" w:y="1"/>
    </w:pPr>
  </w:p>
  <w:p w:rsidR="00E77361" w:rsidRDefault="00764E88">
    <w:pPr>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D7" w:rsidRDefault="00F84509">
      <w:r>
        <w:separator/>
      </w:r>
    </w:p>
  </w:footnote>
  <w:footnote w:type="continuationSeparator" w:id="0">
    <w:p w:rsidR="005F2FD7" w:rsidRDefault="00F84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61" w:rsidRDefault="00764E88">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3748"/>
    <w:multiLevelType w:val="hybridMultilevel"/>
    <w:tmpl w:val="FA925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41D6DD5"/>
    <w:multiLevelType w:val="hybridMultilevel"/>
    <w:tmpl w:val="64BCD720"/>
    <w:lvl w:ilvl="0" w:tplc="FA2886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427"/>
    <w:rsid w:val="00013493"/>
    <w:rsid w:val="0005501F"/>
    <w:rsid w:val="000C0224"/>
    <w:rsid w:val="000F134C"/>
    <w:rsid w:val="001A0427"/>
    <w:rsid w:val="001D0138"/>
    <w:rsid w:val="002C2939"/>
    <w:rsid w:val="003D1F4F"/>
    <w:rsid w:val="004503DF"/>
    <w:rsid w:val="00497D9F"/>
    <w:rsid w:val="00561B16"/>
    <w:rsid w:val="005C46F4"/>
    <w:rsid w:val="005F2FD7"/>
    <w:rsid w:val="00764E88"/>
    <w:rsid w:val="008905D3"/>
    <w:rsid w:val="00902472"/>
    <w:rsid w:val="00995EDB"/>
    <w:rsid w:val="00A92BDC"/>
    <w:rsid w:val="00AF78DA"/>
    <w:rsid w:val="00B37638"/>
    <w:rsid w:val="00C10BB8"/>
    <w:rsid w:val="00C7736D"/>
    <w:rsid w:val="00C90F78"/>
    <w:rsid w:val="00D55ACA"/>
    <w:rsid w:val="00D81800"/>
    <w:rsid w:val="00F84509"/>
    <w:rsid w:val="00FA48BD"/>
    <w:rsid w:val="00FB3A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427"/>
    <w:pPr>
      <w:spacing w:after="0" w:line="240" w:lineRule="auto"/>
    </w:pPr>
    <w:rPr>
      <w:rFonts w:ascii="Arial" w:eastAsia="Times New Roman" w:hAnsi="Arial" w:cs="Times New Roman"/>
      <w:sz w:val="24"/>
      <w:szCs w:val="24"/>
      <w:lang w:eastAsia="es-ES"/>
    </w:rPr>
  </w:style>
  <w:style w:type="paragraph" w:styleId="Ttulo2">
    <w:name w:val="heading 2"/>
    <w:basedOn w:val="Normal"/>
    <w:next w:val="Textoindependiente"/>
    <w:link w:val="Ttulo2Car"/>
    <w:qFormat/>
    <w:rsid w:val="00D81800"/>
    <w:pPr>
      <w:spacing w:after="170" w:line="360" w:lineRule="auto"/>
      <w:outlineLvl w:val="1"/>
    </w:pPr>
    <w:rPr>
      <w:b/>
      <w:kern w:val="1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A0427"/>
  </w:style>
  <w:style w:type="paragraph" w:styleId="Piedepgina">
    <w:name w:val="footer"/>
    <w:basedOn w:val="Normal"/>
    <w:link w:val="PiedepginaCar"/>
    <w:rsid w:val="001A0427"/>
    <w:pPr>
      <w:tabs>
        <w:tab w:val="center" w:pos="4419"/>
        <w:tab w:val="right" w:pos="8838"/>
      </w:tabs>
      <w:spacing w:line="360" w:lineRule="auto"/>
      <w:jc w:val="both"/>
    </w:pPr>
    <w:rPr>
      <w:kern w:val="18"/>
      <w:lang w:val="es-ES_tradnl"/>
    </w:rPr>
  </w:style>
  <w:style w:type="character" w:customStyle="1" w:styleId="PiedepginaCar">
    <w:name w:val="Pie de página Car"/>
    <w:basedOn w:val="Fuentedeprrafopredeter"/>
    <w:link w:val="Piedepgina"/>
    <w:rsid w:val="001A0427"/>
    <w:rPr>
      <w:rFonts w:ascii="Arial" w:eastAsia="Times New Roman" w:hAnsi="Arial" w:cs="Times New Roman"/>
      <w:kern w:val="18"/>
      <w:sz w:val="24"/>
      <w:szCs w:val="24"/>
      <w:lang w:val="es-ES_tradnl" w:eastAsia="es-ES"/>
    </w:rPr>
  </w:style>
  <w:style w:type="paragraph" w:styleId="Prrafodelista">
    <w:name w:val="List Paragraph"/>
    <w:basedOn w:val="Normal"/>
    <w:uiPriority w:val="34"/>
    <w:qFormat/>
    <w:rsid w:val="00561B16"/>
    <w:pPr>
      <w:ind w:left="720"/>
      <w:contextualSpacing/>
    </w:pPr>
  </w:style>
  <w:style w:type="paragraph" w:styleId="Textoindependiente">
    <w:name w:val="Body Text"/>
    <w:basedOn w:val="Normal"/>
    <w:link w:val="TextoindependienteCar"/>
    <w:autoRedefine/>
    <w:rsid w:val="00D81800"/>
    <w:pPr>
      <w:spacing w:line="360" w:lineRule="auto"/>
      <w:jc w:val="both"/>
    </w:pPr>
    <w:rPr>
      <w:bCs/>
      <w:lang w:val="es-ES_tradnl" w:eastAsia="x-none"/>
    </w:rPr>
  </w:style>
  <w:style w:type="character" w:customStyle="1" w:styleId="TextoindependienteCar">
    <w:name w:val="Texto independiente Car"/>
    <w:basedOn w:val="Fuentedeprrafopredeter"/>
    <w:link w:val="Textoindependiente"/>
    <w:rsid w:val="00D81800"/>
    <w:rPr>
      <w:rFonts w:ascii="Arial" w:eastAsia="Times New Roman" w:hAnsi="Arial" w:cs="Times New Roman"/>
      <w:bCs/>
      <w:sz w:val="24"/>
      <w:szCs w:val="24"/>
      <w:lang w:val="es-ES_tradnl" w:eastAsia="x-none"/>
    </w:rPr>
  </w:style>
  <w:style w:type="paragraph" w:styleId="Subttulo">
    <w:name w:val="Subtitle"/>
    <w:basedOn w:val="Normal"/>
    <w:link w:val="SubttuloCar"/>
    <w:qFormat/>
    <w:rsid w:val="00D81800"/>
    <w:pPr>
      <w:spacing w:line="360" w:lineRule="auto"/>
      <w:jc w:val="both"/>
    </w:pPr>
    <w:rPr>
      <w:rFonts w:ascii="Bookman Old Style" w:hAnsi="Bookman Old Style"/>
      <w:b/>
      <w:kern w:val="18"/>
      <w:lang w:val="x-none"/>
    </w:rPr>
  </w:style>
  <w:style w:type="character" w:customStyle="1" w:styleId="SubttuloCar">
    <w:name w:val="Subtítulo Car"/>
    <w:basedOn w:val="Fuentedeprrafopredeter"/>
    <w:link w:val="Subttulo"/>
    <w:rsid w:val="00D81800"/>
    <w:rPr>
      <w:rFonts w:ascii="Bookman Old Style" w:eastAsia="Times New Roman" w:hAnsi="Bookman Old Style" w:cs="Times New Roman"/>
      <w:b/>
      <w:kern w:val="18"/>
      <w:sz w:val="24"/>
      <w:szCs w:val="24"/>
      <w:lang w:val="x-none" w:eastAsia="es-ES"/>
    </w:rPr>
  </w:style>
  <w:style w:type="character" w:customStyle="1" w:styleId="Ttulo2Car">
    <w:name w:val="Título 2 Car"/>
    <w:basedOn w:val="Fuentedeprrafopredeter"/>
    <w:link w:val="Ttulo2"/>
    <w:rsid w:val="00D81800"/>
    <w:rPr>
      <w:rFonts w:ascii="Arial" w:eastAsia="Times New Roman" w:hAnsi="Arial" w:cs="Times New Roman"/>
      <w:b/>
      <w:kern w:val="18"/>
      <w:sz w:val="24"/>
      <w:szCs w:val="24"/>
      <w:lang w:val="x-none"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427"/>
    <w:pPr>
      <w:spacing w:after="0" w:line="240" w:lineRule="auto"/>
    </w:pPr>
    <w:rPr>
      <w:rFonts w:ascii="Arial" w:eastAsia="Times New Roman" w:hAnsi="Arial" w:cs="Times New Roman"/>
      <w:sz w:val="24"/>
      <w:szCs w:val="24"/>
      <w:lang w:eastAsia="es-ES"/>
    </w:rPr>
  </w:style>
  <w:style w:type="paragraph" w:styleId="Ttulo2">
    <w:name w:val="heading 2"/>
    <w:basedOn w:val="Normal"/>
    <w:next w:val="Textoindependiente"/>
    <w:link w:val="Ttulo2Car"/>
    <w:qFormat/>
    <w:rsid w:val="00D81800"/>
    <w:pPr>
      <w:spacing w:after="170" w:line="360" w:lineRule="auto"/>
      <w:outlineLvl w:val="1"/>
    </w:pPr>
    <w:rPr>
      <w:b/>
      <w:kern w:val="1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A0427"/>
  </w:style>
  <w:style w:type="paragraph" w:styleId="Piedepgina">
    <w:name w:val="footer"/>
    <w:basedOn w:val="Normal"/>
    <w:link w:val="PiedepginaCar"/>
    <w:rsid w:val="001A0427"/>
    <w:pPr>
      <w:tabs>
        <w:tab w:val="center" w:pos="4419"/>
        <w:tab w:val="right" w:pos="8838"/>
      </w:tabs>
      <w:spacing w:line="360" w:lineRule="auto"/>
      <w:jc w:val="both"/>
    </w:pPr>
    <w:rPr>
      <w:kern w:val="18"/>
      <w:lang w:val="es-ES_tradnl"/>
    </w:rPr>
  </w:style>
  <w:style w:type="character" w:customStyle="1" w:styleId="PiedepginaCar">
    <w:name w:val="Pie de página Car"/>
    <w:basedOn w:val="Fuentedeprrafopredeter"/>
    <w:link w:val="Piedepgina"/>
    <w:rsid w:val="001A0427"/>
    <w:rPr>
      <w:rFonts w:ascii="Arial" w:eastAsia="Times New Roman" w:hAnsi="Arial" w:cs="Times New Roman"/>
      <w:kern w:val="18"/>
      <w:sz w:val="24"/>
      <w:szCs w:val="24"/>
      <w:lang w:val="es-ES_tradnl" w:eastAsia="es-ES"/>
    </w:rPr>
  </w:style>
  <w:style w:type="paragraph" w:styleId="Prrafodelista">
    <w:name w:val="List Paragraph"/>
    <w:basedOn w:val="Normal"/>
    <w:uiPriority w:val="34"/>
    <w:qFormat/>
    <w:rsid w:val="00561B16"/>
    <w:pPr>
      <w:ind w:left="720"/>
      <w:contextualSpacing/>
    </w:pPr>
  </w:style>
  <w:style w:type="paragraph" w:styleId="Textoindependiente">
    <w:name w:val="Body Text"/>
    <w:basedOn w:val="Normal"/>
    <w:link w:val="TextoindependienteCar"/>
    <w:autoRedefine/>
    <w:rsid w:val="00D81800"/>
    <w:pPr>
      <w:spacing w:line="360" w:lineRule="auto"/>
      <w:jc w:val="both"/>
    </w:pPr>
    <w:rPr>
      <w:bCs/>
      <w:lang w:val="es-ES_tradnl" w:eastAsia="x-none"/>
    </w:rPr>
  </w:style>
  <w:style w:type="character" w:customStyle="1" w:styleId="TextoindependienteCar">
    <w:name w:val="Texto independiente Car"/>
    <w:basedOn w:val="Fuentedeprrafopredeter"/>
    <w:link w:val="Textoindependiente"/>
    <w:rsid w:val="00D81800"/>
    <w:rPr>
      <w:rFonts w:ascii="Arial" w:eastAsia="Times New Roman" w:hAnsi="Arial" w:cs="Times New Roman"/>
      <w:bCs/>
      <w:sz w:val="24"/>
      <w:szCs w:val="24"/>
      <w:lang w:val="es-ES_tradnl" w:eastAsia="x-none"/>
    </w:rPr>
  </w:style>
  <w:style w:type="paragraph" w:styleId="Subttulo">
    <w:name w:val="Subtitle"/>
    <w:basedOn w:val="Normal"/>
    <w:link w:val="SubttuloCar"/>
    <w:qFormat/>
    <w:rsid w:val="00D81800"/>
    <w:pPr>
      <w:spacing w:line="360" w:lineRule="auto"/>
      <w:jc w:val="both"/>
    </w:pPr>
    <w:rPr>
      <w:rFonts w:ascii="Bookman Old Style" w:hAnsi="Bookman Old Style"/>
      <w:b/>
      <w:kern w:val="18"/>
      <w:lang w:val="x-none"/>
    </w:rPr>
  </w:style>
  <w:style w:type="character" w:customStyle="1" w:styleId="SubttuloCar">
    <w:name w:val="Subtítulo Car"/>
    <w:basedOn w:val="Fuentedeprrafopredeter"/>
    <w:link w:val="Subttulo"/>
    <w:rsid w:val="00D81800"/>
    <w:rPr>
      <w:rFonts w:ascii="Bookman Old Style" w:eastAsia="Times New Roman" w:hAnsi="Bookman Old Style" w:cs="Times New Roman"/>
      <w:b/>
      <w:kern w:val="18"/>
      <w:sz w:val="24"/>
      <w:szCs w:val="24"/>
      <w:lang w:val="x-none" w:eastAsia="es-ES"/>
    </w:rPr>
  </w:style>
  <w:style w:type="character" w:customStyle="1" w:styleId="Ttulo2Car">
    <w:name w:val="Título 2 Car"/>
    <w:basedOn w:val="Fuentedeprrafopredeter"/>
    <w:link w:val="Ttulo2"/>
    <w:rsid w:val="00D81800"/>
    <w:rPr>
      <w:rFonts w:ascii="Arial" w:eastAsia="Times New Roman" w:hAnsi="Arial" w:cs="Times New Roman"/>
      <w:b/>
      <w:kern w:val="18"/>
      <w:sz w:val="24"/>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0E8CD-E79C-4A52-BEFB-A6CDE4DF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3050</Words>
  <Characters>16778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2019-02-19T17:51:00Z</cp:lastPrinted>
  <dcterms:created xsi:type="dcterms:W3CDTF">2019-02-19T17:54:00Z</dcterms:created>
  <dcterms:modified xsi:type="dcterms:W3CDTF">2019-03-11T20:35:00Z</dcterms:modified>
</cp:coreProperties>
</file>