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12" w:rsidRDefault="00A94D12" w:rsidP="00A94D12">
      <w:pPr>
        <w:tabs>
          <w:tab w:val="center" w:pos="4253"/>
        </w:tabs>
        <w:suppressAutoHyphens/>
        <w:spacing w:line="360" w:lineRule="auto"/>
        <w:jc w:val="right"/>
        <w:rPr>
          <w:rFonts w:cs="Arial"/>
          <w:b/>
          <w:sz w:val="28"/>
          <w:szCs w:val="28"/>
          <w:lang w:val="es-ES_tradnl"/>
        </w:rPr>
      </w:pPr>
      <w:bookmarkStart w:id="0" w:name="_GoBack"/>
      <w:bookmarkEnd w:id="0"/>
      <w:r>
        <w:rPr>
          <w:rFonts w:cs="Arial"/>
          <w:b/>
          <w:sz w:val="28"/>
          <w:szCs w:val="28"/>
          <w:lang w:val="es-ES_tradnl"/>
        </w:rPr>
        <w:t>RES. 432/19</w:t>
      </w:r>
    </w:p>
    <w:p w:rsidR="00A94D12" w:rsidRDefault="00A94D12" w:rsidP="00A94D12">
      <w:pPr>
        <w:tabs>
          <w:tab w:val="center" w:pos="4253"/>
        </w:tabs>
        <w:suppressAutoHyphens/>
        <w:spacing w:line="480" w:lineRule="auto"/>
        <w:jc w:val="center"/>
        <w:rPr>
          <w:rFonts w:cs="Arial"/>
          <w:b/>
          <w:lang w:val="es-ES_tradnl"/>
        </w:rPr>
      </w:pPr>
      <w:r>
        <w:rPr>
          <w:rFonts w:cs="Arial"/>
          <w:b/>
          <w:lang w:val="es-ES_tradnl"/>
        </w:rPr>
        <w:t>RESOLUCION ADOPTADA POR EL</w:t>
      </w:r>
    </w:p>
    <w:p w:rsidR="00A94D12" w:rsidRDefault="00A94D12" w:rsidP="00A94D12">
      <w:pPr>
        <w:tabs>
          <w:tab w:val="center" w:pos="4253"/>
        </w:tabs>
        <w:suppressAutoHyphens/>
        <w:spacing w:line="480" w:lineRule="auto"/>
        <w:jc w:val="center"/>
        <w:rPr>
          <w:rFonts w:cs="Arial"/>
          <w:b/>
          <w:lang w:val="es-ES_tradnl"/>
        </w:rPr>
      </w:pPr>
      <w:r>
        <w:rPr>
          <w:rFonts w:cs="Arial"/>
          <w:b/>
          <w:lang w:val="es-ES_tradnl"/>
        </w:rPr>
        <w:t>TRIBUNAL DE CUENTAS</w:t>
      </w:r>
    </w:p>
    <w:p w:rsidR="00A94D12" w:rsidRDefault="00A94D12" w:rsidP="00A94D12">
      <w:pPr>
        <w:tabs>
          <w:tab w:val="center" w:pos="4253"/>
        </w:tabs>
        <w:suppressAutoHyphens/>
        <w:spacing w:line="480" w:lineRule="auto"/>
        <w:jc w:val="center"/>
        <w:rPr>
          <w:rFonts w:cs="Arial"/>
          <w:b/>
          <w:lang w:val="es-ES_tradnl"/>
        </w:rPr>
      </w:pPr>
      <w:r>
        <w:rPr>
          <w:rFonts w:cs="Arial"/>
          <w:b/>
          <w:lang w:val="es-ES_tradnl"/>
        </w:rPr>
        <w:t>EN SESION DE FECHA 13 DE FEBRERO DE 2019</w:t>
      </w:r>
    </w:p>
    <w:p w:rsidR="00A94D12" w:rsidRDefault="00A94D12" w:rsidP="00A94D12">
      <w:pPr>
        <w:tabs>
          <w:tab w:val="center" w:pos="4253"/>
        </w:tabs>
        <w:suppressAutoHyphens/>
        <w:spacing w:line="360" w:lineRule="auto"/>
        <w:jc w:val="center"/>
        <w:rPr>
          <w:rFonts w:cs="Arial"/>
          <w:b/>
        </w:rPr>
      </w:pPr>
      <w:r>
        <w:rPr>
          <w:rFonts w:cs="Arial"/>
          <w:b/>
        </w:rPr>
        <w:t xml:space="preserve">(E. E. Nº 2018-17-1-0004862, </w:t>
      </w:r>
      <w:proofErr w:type="spellStart"/>
      <w:r>
        <w:rPr>
          <w:rFonts w:cs="Arial"/>
          <w:b/>
        </w:rPr>
        <w:t>Ent</w:t>
      </w:r>
      <w:proofErr w:type="spellEnd"/>
      <w:r>
        <w:rPr>
          <w:rFonts w:cs="Arial"/>
          <w:b/>
        </w:rPr>
        <w:t>. N° 3793/18)</w:t>
      </w:r>
    </w:p>
    <w:p w:rsidR="00A94D12" w:rsidRDefault="00A94D12" w:rsidP="00A94D12">
      <w:pPr>
        <w:tabs>
          <w:tab w:val="center" w:pos="4253"/>
        </w:tabs>
        <w:suppressAutoHyphens/>
        <w:spacing w:line="360" w:lineRule="auto"/>
        <w:jc w:val="center"/>
        <w:rPr>
          <w:rFonts w:cs="Arial"/>
          <w:b/>
          <w:lang w:val="es-UY"/>
        </w:rPr>
      </w:pPr>
    </w:p>
    <w:p w:rsidR="007007B7" w:rsidRDefault="007007B7" w:rsidP="00A94D12">
      <w:pPr>
        <w:spacing w:line="360" w:lineRule="auto"/>
        <w:ind w:firstLine="851"/>
        <w:jc w:val="both"/>
      </w:pPr>
      <w:r>
        <w:rPr>
          <w:b/>
        </w:rPr>
        <w:t>VISTO:</w:t>
      </w:r>
      <w:r>
        <w:t xml:space="preserve"> la Rendición de Cuentas y Balance de Ejecución Presupuestal de la Intendencia de Durazno correspondiente al ejercicio 2017;</w:t>
      </w:r>
    </w:p>
    <w:p w:rsidR="007007B7" w:rsidRDefault="007007B7" w:rsidP="00A94D12">
      <w:pPr>
        <w:spacing w:line="360" w:lineRule="auto"/>
        <w:ind w:firstLine="851"/>
        <w:jc w:val="both"/>
      </w:pPr>
      <w:r>
        <w:rPr>
          <w:b/>
        </w:rPr>
        <w:t xml:space="preserve">RESULTANDO: </w:t>
      </w:r>
      <w: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7007B7" w:rsidRDefault="007007B7" w:rsidP="00A94D12">
      <w:pPr>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7007B7" w:rsidRDefault="007007B7" w:rsidP="00A94D12">
      <w:pPr>
        <w:spacing w:line="360" w:lineRule="auto"/>
        <w:ind w:firstLine="851"/>
        <w:jc w:val="both"/>
      </w:pPr>
      <w:r>
        <w:rPr>
          <w:b/>
        </w:rPr>
        <w:t xml:space="preserve">ATENTO: </w:t>
      </w:r>
      <w:r>
        <w:t>a lo dispuesto por el Artículo 211 Literal C) de la Constitución de la República;</w:t>
      </w:r>
    </w:p>
    <w:p w:rsidR="007007B7" w:rsidRDefault="007007B7" w:rsidP="00A94D12">
      <w:pPr>
        <w:spacing w:line="360" w:lineRule="auto"/>
        <w:jc w:val="center"/>
        <w:rPr>
          <w:b/>
        </w:rPr>
      </w:pPr>
      <w:r>
        <w:rPr>
          <w:b/>
        </w:rPr>
        <w:t>EL TRIBUNAL ACUERDA</w:t>
      </w:r>
    </w:p>
    <w:p w:rsidR="007007B7" w:rsidRDefault="00A94D12" w:rsidP="00A94D12">
      <w:pPr>
        <w:spacing w:line="360" w:lineRule="auto"/>
        <w:jc w:val="both"/>
      </w:pPr>
      <w:r w:rsidRPr="00A94D12">
        <w:rPr>
          <w:b/>
        </w:rPr>
        <w:t>1)</w:t>
      </w:r>
      <w:r>
        <w:t xml:space="preserve"> </w:t>
      </w:r>
      <w:r w:rsidR="007007B7">
        <w:t>Expedirse en los términos del Info</w:t>
      </w:r>
      <w:r>
        <w:t>rme de Auditoría que se adjunta;</w:t>
      </w:r>
    </w:p>
    <w:p w:rsidR="007007B7" w:rsidRDefault="00A94D12" w:rsidP="00A94D12">
      <w:pPr>
        <w:spacing w:line="360" w:lineRule="auto"/>
        <w:jc w:val="both"/>
      </w:pPr>
      <w:r w:rsidRPr="00A94D12">
        <w:rPr>
          <w:b/>
        </w:rPr>
        <w:t>2)</w:t>
      </w:r>
      <w:r>
        <w:t xml:space="preserve"> </w:t>
      </w:r>
      <w:r w:rsidR="007007B7">
        <w:t>Comunicar</w:t>
      </w:r>
      <w:r>
        <w:t xml:space="preserve"> </w:t>
      </w:r>
      <w:r w:rsidR="007007B7">
        <w:t>la</w:t>
      </w:r>
      <w:r>
        <w:t xml:space="preserve"> </w:t>
      </w:r>
      <w:r w:rsidR="007007B7">
        <w:t>presente</w:t>
      </w:r>
      <w:r>
        <w:t xml:space="preserve"> </w:t>
      </w:r>
      <w:r w:rsidR="007007B7">
        <w:t>Resolución</w:t>
      </w:r>
      <w:r>
        <w:t xml:space="preserve"> </w:t>
      </w:r>
      <w:r w:rsidR="007007B7">
        <w:t>a</w:t>
      </w:r>
      <w:r>
        <w:t xml:space="preserve"> </w:t>
      </w:r>
      <w:r w:rsidR="007007B7">
        <w:t>la Intendencia</w:t>
      </w:r>
      <w:r>
        <w:t xml:space="preserve"> </w:t>
      </w:r>
      <w:r w:rsidR="007007B7">
        <w:t>y a</w:t>
      </w:r>
      <w:r>
        <w:t xml:space="preserve"> </w:t>
      </w:r>
      <w:r w:rsidR="007007B7">
        <w:t xml:space="preserve">la </w:t>
      </w:r>
      <w:r>
        <w:t>Junta Departamental de Durazno;</w:t>
      </w:r>
    </w:p>
    <w:p w:rsidR="007007B7" w:rsidRDefault="00A94D12" w:rsidP="00A94D12">
      <w:pPr>
        <w:spacing w:line="360" w:lineRule="auto"/>
        <w:jc w:val="both"/>
      </w:pPr>
      <w:r w:rsidRPr="00A94D12">
        <w:rPr>
          <w:b/>
        </w:rPr>
        <w:t>3)</w:t>
      </w:r>
      <w:r>
        <w:t xml:space="preserve"> </w:t>
      </w:r>
      <w:r w:rsidR="007007B7">
        <w:t>Dar cuenta a la Asamblea General.</w:t>
      </w:r>
    </w:p>
    <w:p w:rsidR="007007B7" w:rsidRDefault="007007B7" w:rsidP="00A94D12">
      <w:pPr>
        <w:spacing w:line="360" w:lineRule="auto"/>
        <w:jc w:val="both"/>
      </w:pPr>
    </w:p>
    <w:p w:rsidR="007007B7" w:rsidRDefault="007007B7" w:rsidP="00A94D12">
      <w:pPr>
        <w:spacing w:line="360" w:lineRule="auto"/>
        <w:jc w:val="both"/>
      </w:pPr>
    </w:p>
    <w:p w:rsidR="007007B7" w:rsidRDefault="00A94D12" w:rsidP="00A94D12">
      <w:pPr>
        <w:spacing w:line="360" w:lineRule="auto"/>
        <w:jc w:val="both"/>
      </w:pPr>
      <w:proofErr w:type="gramStart"/>
      <w:r>
        <w:t>lm</w:t>
      </w:r>
      <w:proofErr w:type="gramEnd"/>
    </w:p>
    <w:p w:rsidR="00386860" w:rsidRDefault="00386860" w:rsidP="00A94D12">
      <w:pPr>
        <w:spacing w:line="360" w:lineRule="auto"/>
      </w:pPr>
    </w:p>
    <w:p w:rsidR="00153B4D" w:rsidRPr="002C4059" w:rsidRDefault="00153B4D" w:rsidP="002C4059">
      <w:pPr>
        <w:pStyle w:val="Ttulo1"/>
        <w:rPr>
          <w:szCs w:val="24"/>
        </w:rPr>
      </w:pPr>
      <w:r w:rsidRPr="002C4059">
        <w:rPr>
          <w:szCs w:val="24"/>
        </w:rPr>
        <w:lastRenderedPageBreak/>
        <w:t>D</w:t>
      </w:r>
      <w:r>
        <w:rPr>
          <w:szCs w:val="24"/>
        </w:rPr>
        <w:t>ICTAMEN</w:t>
      </w:r>
    </w:p>
    <w:p w:rsidR="00153B4D" w:rsidRDefault="00153B4D" w:rsidP="002C4059">
      <w:pPr>
        <w:spacing w:line="360" w:lineRule="auto"/>
        <w:jc w:val="both"/>
        <w:rPr>
          <w:rFonts w:cs="Arial"/>
          <w:b/>
        </w:rPr>
      </w:pPr>
    </w:p>
    <w:p w:rsidR="00153B4D" w:rsidRPr="002C4059" w:rsidRDefault="00153B4D" w:rsidP="002C4059">
      <w:pPr>
        <w:spacing w:line="360" w:lineRule="auto"/>
        <w:jc w:val="both"/>
        <w:rPr>
          <w:rFonts w:cs="Arial"/>
          <w:b/>
        </w:rPr>
      </w:pPr>
      <w:r w:rsidRPr="002C4059">
        <w:rPr>
          <w:rFonts w:cs="Arial"/>
          <w:b/>
        </w:rPr>
        <w:t>Opinión sin salvedades</w:t>
      </w:r>
    </w:p>
    <w:p w:rsidR="00153B4D" w:rsidRPr="002C4059" w:rsidRDefault="00153B4D" w:rsidP="002C4059">
      <w:pPr>
        <w:pStyle w:val="Subttulo"/>
        <w:tabs>
          <w:tab w:val="left" w:pos="0"/>
        </w:tabs>
        <w:rPr>
          <w:rFonts w:ascii="Arial" w:hAnsi="Arial" w:cs="Arial"/>
          <w:b w:val="0"/>
          <w:szCs w:val="24"/>
        </w:rPr>
      </w:pPr>
      <w:r w:rsidRPr="002C4059">
        <w:rPr>
          <w:rFonts w:ascii="Arial" w:hAnsi="Arial" w:cs="Arial"/>
          <w:b w:val="0"/>
          <w:szCs w:val="24"/>
        </w:rPr>
        <w:t>El Tribunal de Cuentas ha auditado la Rendición de Cuentas y el Balance de Ejecución Presupuestal de la Intendencia de Durazno que comprende los Estados de Ejecución Presupuestal con relación a los Recursos y a los Créditos, Resultado del Ejercicio, Resultado Acumulado, y otros estados complementarios correspondientes al ejercicio finalizado el 31/12/2017.</w:t>
      </w:r>
    </w:p>
    <w:p w:rsidR="00153B4D" w:rsidRPr="002C4059" w:rsidRDefault="00153B4D" w:rsidP="002C4059">
      <w:pPr>
        <w:pStyle w:val="Subttulo"/>
        <w:tabs>
          <w:tab w:val="left" w:pos="0"/>
        </w:tabs>
        <w:rPr>
          <w:rFonts w:ascii="Arial" w:hAnsi="Arial" w:cs="Arial"/>
          <w:b w:val="0"/>
          <w:szCs w:val="24"/>
        </w:rPr>
      </w:pPr>
      <w:r w:rsidRPr="002C4059">
        <w:rPr>
          <w:rFonts w:ascii="Arial" w:hAnsi="Arial" w:cs="Arial"/>
          <w:b w:val="0"/>
          <w:szCs w:val="24"/>
        </w:rPr>
        <w:t>En opinión del Tribunal de Cuentas, los estados mencionados presentan razonablemente, en todos sus aspectos significativos, la ejecución presupuestal en relación a los recursos y a los créditos presupuestales, el resultado del ejercicio y el resultado acumulado de la Intendencia de Durazno  correspondientes al ejercicio finalizado el 31/12/2017, de acuerdo con las normas establecidas en el TOCAF y el instructivo vigente a la fecha de presentación de los mismos.</w:t>
      </w:r>
    </w:p>
    <w:p w:rsidR="00153B4D" w:rsidRPr="002C4059" w:rsidRDefault="00153B4D" w:rsidP="002C4059">
      <w:pPr>
        <w:pStyle w:val="Subttulo"/>
        <w:tabs>
          <w:tab w:val="left" w:pos="0"/>
        </w:tabs>
        <w:rPr>
          <w:rFonts w:ascii="Arial" w:hAnsi="Arial" w:cs="Arial"/>
          <w:szCs w:val="24"/>
        </w:rPr>
      </w:pPr>
      <w:r w:rsidRPr="002C4059">
        <w:rPr>
          <w:rFonts w:ascii="Arial" w:hAnsi="Arial" w:cs="Arial"/>
          <w:szCs w:val="24"/>
        </w:rPr>
        <w:t>Opinión respecto al cumplimiento de la normativa legal aplicable</w:t>
      </w:r>
    </w:p>
    <w:p w:rsidR="00153B4D" w:rsidRPr="002C4059" w:rsidRDefault="00153B4D" w:rsidP="002C4059">
      <w:pPr>
        <w:pStyle w:val="Subttulo"/>
        <w:tabs>
          <w:tab w:val="left" w:pos="0"/>
        </w:tabs>
        <w:rPr>
          <w:rFonts w:ascii="Arial" w:hAnsi="Arial" w:cs="Arial"/>
          <w:b w:val="0"/>
          <w:szCs w:val="24"/>
        </w:rPr>
      </w:pPr>
      <w:r w:rsidRPr="002C4059">
        <w:rPr>
          <w:rFonts w:ascii="Arial" w:hAnsi="Arial" w:cs="Arial"/>
          <w:b w:val="0"/>
          <w:szCs w:val="24"/>
        </w:rPr>
        <w:t xml:space="preserve">En el curso de la auditoría se han constatado </w:t>
      </w:r>
      <w:r w:rsidR="00E87648">
        <w:rPr>
          <w:rFonts w:ascii="Arial" w:hAnsi="Arial" w:cs="Arial"/>
          <w:b w:val="0"/>
          <w:szCs w:val="24"/>
        </w:rPr>
        <w:t>los siguientes incumplimientos:</w:t>
      </w:r>
    </w:p>
    <w:p w:rsidR="00153B4D" w:rsidRPr="002C4059" w:rsidRDefault="00153B4D" w:rsidP="002C4059">
      <w:pPr>
        <w:tabs>
          <w:tab w:val="left" w:pos="1212"/>
        </w:tabs>
        <w:spacing w:line="360" w:lineRule="auto"/>
        <w:jc w:val="both"/>
        <w:rPr>
          <w:rFonts w:cs="Arial"/>
          <w:b/>
        </w:rPr>
      </w:pPr>
      <w:r w:rsidRPr="002C4059">
        <w:rPr>
          <w:rFonts w:cs="Arial"/>
          <w:bCs/>
        </w:rPr>
        <w:t xml:space="preserve">Artículo 86 de la Constitución de la República, Artículo 297 Numeral 1 de la Constitución de la República, Decreto N° 2363 Presupuesto Quinquenal </w:t>
      </w:r>
      <w:r>
        <w:rPr>
          <w:rFonts w:cs="Arial"/>
          <w:bCs/>
        </w:rPr>
        <w:t xml:space="preserve">    2016 -2020, </w:t>
      </w:r>
      <w:r w:rsidRPr="002C4059">
        <w:rPr>
          <w:rFonts w:cs="Arial"/>
          <w:lang w:eastAsia="zh-CN"/>
        </w:rPr>
        <w:t xml:space="preserve">Artículo 42 de la Ley 19.210, </w:t>
      </w:r>
      <w:r w:rsidRPr="002C4059">
        <w:rPr>
          <w:rFonts w:eastAsia="Lucida Sans Unicode" w:cs="Arial"/>
          <w:kern w:val="1"/>
          <w:lang w:eastAsia="zh-CN"/>
        </w:rPr>
        <w:t xml:space="preserve">Artículo 7 Lit. C de la Ley 16.713, </w:t>
      </w:r>
      <w:r w:rsidRPr="002C4059">
        <w:rPr>
          <w:rFonts w:cs="Arial"/>
          <w:lang w:eastAsia="zh-CN"/>
        </w:rPr>
        <w:t xml:space="preserve">Artículos 64, </w:t>
      </w:r>
      <w:r w:rsidRPr="002C4059">
        <w:rPr>
          <w:rFonts w:cs="Arial"/>
          <w:bCs/>
        </w:rPr>
        <w:t xml:space="preserve">89, 90, </w:t>
      </w:r>
      <w:r w:rsidRPr="002C4059">
        <w:rPr>
          <w:rFonts w:cs="Arial"/>
          <w:bCs/>
          <w:kern w:val="1"/>
        </w:rPr>
        <w:t xml:space="preserve">94 del TOCAF, Ordenanza N° 89 y Resolución del Tribunal de Cuentas de 28/01//2004 </w:t>
      </w:r>
      <w:r w:rsidRPr="002C4059">
        <w:rPr>
          <w:rFonts w:eastAsia="Arial" w:cs="Arial"/>
          <w:bCs/>
          <w:lang w:val="es-ES_tradnl" w:eastAsia="zh-CN"/>
        </w:rPr>
        <w:t>e</w:t>
      </w:r>
      <w:r w:rsidRPr="002C4059">
        <w:rPr>
          <w:rFonts w:cs="Arial"/>
          <w:bCs/>
          <w:lang w:eastAsia="zh-CN"/>
        </w:rPr>
        <w:t xml:space="preserve"> Incumplimiento de Convenios (Cláusulas 4 y 5).</w:t>
      </w:r>
    </w:p>
    <w:p w:rsidR="00153B4D" w:rsidRPr="002C4059" w:rsidRDefault="00153B4D" w:rsidP="002C4059">
      <w:pPr>
        <w:pStyle w:val="Subttulo"/>
        <w:tabs>
          <w:tab w:val="left" w:pos="0"/>
        </w:tabs>
        <w:rPr>
          <w:rFonts w:ascii="Arial" w:hAnsi="Arial" w:cs="Arial"/>
          <w:szCs w:val="24"/>
        </w:rPr>
      </w:pPr>
      <w:r w:rsidRPr="002C4059">
        <w:rPr>
          <w:rFonts w:ascii="Arial" w:hAnsi="Arial" w:cs="Arial"/>
          <w:szCs w:val="24"/>
        </w:rPr>
        <w:t xml:space="preserve">Bases </w:t>
      </w:r>
      <w:r w:rsidR="00E87648">
        <w:rPr>
          <w:rFonts w:ascii="Arial" w:hAnsi="Arial" w:cs="Arial"/>
          <w:szCs w:val="24"/>
        </w:rPr>
        <w:t>para la Opinión sin salvedades</w:t>
      </w:r>
    </w:p>
    <w:p w:rsidR="00153B4D" w:rsidRPr="002C4059" w:rsidRDefault="00153B4D" w:rsidP="002C4059">
      <w:pPr>
        <w:spacing w:line="360" w:lineRule="auto"/>
        <w:jc w:val="both"/>
        <w:rPr>
          <w:rFonts w:cs="Arial"/>
          <w:bCs/>
        </w:rPr>
      </w:pPr>
      <w:r w:rsidRPr="002C4059">
        <w:rPr>
          <w:rFonts w:cs="Arial"/>
          <w:bCs/>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Intendencia de </w:t>
      </w:r>
      <w:r w:rsidRPr="002C4059">
        <w:rPr>
          <w:rFonts w:cs="Arial"/>
        </w:rPr>
        <w:t>Durazno</w:t>
      </w:r>
      <w:r w:rsidRPr="002C4059">
        <w:rPr>
          <w:rFonts w:cs="Arial"/>
          <w:b/>
        </w:rPr>
        <w:t xml:space="preserve"> </w:t>
      </w:r>
      <w:r w:rsidRPr="002C4059">
        <w:rPr>
          <w:rFonts w:cs="Arial"/>
          <w:bCs/>
        </w:rPr>
        <w:t>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153B4D" w:rsidRPr="002C4059" w:rsidRDefault="00153B4D" w:rsidP="002C4059">
      <w:pPr>
        <w:spacing w:line="360" w:lineRule="auto"/>
        <w:jc w:val="both"/>
        <w:rPr>
          <w:rFonts w:cs="Arial"/>
          <w:b/>
        </w:rPr>
      </w:pPr>
      <w:r w:rsidRPr="002C4059">
        <w:rPr>
          <w:rFonts w:cs="Arial"/>
          <w:b/>
        </w:rPr>
        <w:t>Responsabilidad de la Intendencia en relación con la Rendición de Cuentas y Balance de Ejecución Presupuestal</w:t>
      </w:r>
    </w:p>
    <w:p w:rsidR="00153B4D" w:rsidRPr="002C4059" w:rsidRDefault="00153B4D" w:rsidP="002C4059">
      <w:pPr>
        <w:widowControl w:val="0"/>
        <w:spacing w:line="360" w:lineRule="auto"/>
        <w:jc w:val="both"/>
        <w:rPr>
          <w:rFonts w:cs="Arial"/>
          <w:bCs/>
          <w:kern w:val="18"/>
        </w:rPr>
      </w:pPr>
      <w:r w:rsidRPr="002C4059">
        <w:rPr>
          <w:rFonts w:cs="Arial"/>
        </w:rPr>
        <w:t xml:space="preserve">La Intendencia de Treinta y Tres </w:t>
      </w:r>
      <w:r w:rsidRPr="002C4059">
        <w:rPr>
          <w:rFonts w:cs="Arial"/>
          <w:bCs/>
          <w:kern w:val="18"/>
        </w:rPr>
        <w:t>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153B4D" w:rsidRPr="002C4059" w:rsidRDefault="00153B4D" w:rsidP="002C4059">
      <w:pPr>
        <w:pStyle w:val="Subttulo"/>
        <w:rPr>
          <w:rFonts w:ascii="Arial" w:hAnsi="Arial" w:cs="Arial"/>
          <w:bCs/>
          <w:szCs w:val="24"/>
        </w:rPr>
      </w:pPr>
      <w:r w:rsidRPr="002C4059">
        <w:rPr>
          <w:rFonts w:ascii="Arial" w:hAnsi="Arial" w:cs="Arial"/>
          <w:bCs/>
          <w:szCs w:val="24"/>
        </w:rPr>
        <w:t>Responsabilidad del Tribunal de Cuentas por la auditoría de los estados financieros</w:t>
      </w:r>
    </w:p>
    <w:p w:rsidR="00153B4D" w:rsidRPr="002C4059" w:rsidRDefault="00153B4D" w:rsidP="002C4059">
      <w:pPr>
        <w:spacing w:line="360" w:lineRule="auto"/>
        <w:jc w:val="both"/>
        <w:rPr>
          <w:rFonts w:cs="Arial"/>
          <w:bCs/>
        </w:rPr>
      </w:pPr>
      <w:r w:rsidRPr="002C4059">
        <w:rPr>
          <w:rFonts w:cs="Arial"/>
          <w:bCs/>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153B4D" w:rsidRPr="002C4059" w:rsidRDefault="00153B4D" w:rsidP="002C4059">
      <w:pPr>
        <w:spacing w:line="360" w:lineRule="auto"/>
        <w:jc w:val="both"/>
        <w:rPr>
          <w:rFonts w:cs="Arial"/>
          <w:bCs/>
        </w:rPr>
      </w:pPr>
      <w:r w:rsidRPr="002C4059">
        <w:rPr>
          <w:rFonts w:cs="Arial"/>
          <w:bCs/>
        </w:rPr>
        <w:t>Como parte de una auditoría de acuerdo con las ISSAI referidas en la sección Bases para la Opinión, el Tribunal de Cuentas aplica su juicio profesional y mantiene el escepticismo profesional durante el proceso de auditoría. Asimismo:</w:t>
      </w:r>
    </w:p>
    <w:p w:rsidR="00153B4D" w:rsidRPr="002C4059" w:rsidRDefault="00153B4D" w:rsidP="002C4059">
      <w:pPr>
        <w:pStyle w:val="Prrafodelista"/>
        <w:numPr>
          <w:ilvl w:val="0"/>
          <w:numId w:val="1"/>
        </w:numPr>
        <w:spacing w:line="360" w:lineRule="auto"/>
        <w:ind w:left="0" w:firstLine="360"/>
        <w:contextualSpacing w:val="0"/>
        <w:jc w:val="both"/>
        <w:rPr>
          <w:bCs/>
        </w:rPr>
      </w:pPr>
      <w:r w:rsidRPr="002C4059">
        <w:rPr>
          <w:bCs/>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153B4D" w:rsidRPr="002C4059" w:rsidRDefault="00153B4D" w:rsidP="002C4059">
      <w:pPr>
        <w:pStyle w:val="Prrafodelista"/>
        <w:numPr>
          <w:ilvl w:val="0"/>
          <w:numId w:val="1"/>
        </w:numPr>
        <w:spacing w:line="360" w:lineRule="auto"/>
        <w:ind w:left="0" w:firstLine="360"/>
        <w:contextualSpacing w:val="0"/>
        <w:jc w:val="both"/>
        <w:rPr>
          <w:bCs/>
        </w:rPr>
      </w:pPr>
      <w:r w:rsidRPr="002C4059">
        <w:rPr>
          <w:bCs/>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153B4D" w:rsidRPr="002C4059" w:rsidRDefault="00153B4D" w:rsidP="002C4059">
      <w:pPr>
        <w:pStyle w:val="Prrafodelista"/>
        <w:numPr>
          <w:ilvl w:val="0"/>
          <w:numId w:val="1"/>
        </w:numPr>
        <w:spacing w:line="360" w:lineRule="auto"/>
        <w:ind w:left="0" w:firstLine="360"/>
        <w:contextualSpacing w:val="0"/>
        <w:jc w:val="both"/>
        <w:rPr>
          <w:bCs/>
        </w:rPr>
      </w:pPr>
      <w:r w:rsidRPr="002C4059">
        <w:rPr>
          <w:bCs/>
        </w:rPr>
        <w:t>Evalúa la presentación general, la estructura y contenido de los estados, incluyendo las revelaciones y si los estados representan las transacciones y eventos subyacentes de un modo que se logre una representación fiel de los mismos.</w:t>
      </w:r>
    </w:p>
    <w:p w:rsidR="00153B4D" w:rsidRPr="002C4059" w:rsidRDefault="00153B4D" w:rsidP="002C4059">
      <w:pPr>
        <w:spacing w:line="360" w:lineRule="auto"/>
        <w:jc w:val="both"/>
        <w:rPr>
          <w:rFonts w:cs="Arial"/>
        </w:rPr>
      </w:pPr>
      <w:r w:rsidRPr="002C4059">
        <w:rPr>
          <w:rFonts w:cs="Arial"/>
        </w:rPr>
        <w:t>El Tribunal de Cuentas se comunicó con la Intendencia,  en relación al alcance y la oportunidad de los procedimientos de auditoría, y a los hallazgos significativos de auditoría incluidos.</w:t>
      </w:r>
    </w:p>
    <w:p w:rsidR="00153B4D" w:rsidRPr="002C4059" w:rsidRDefault="00153B4D" w:rsidP="002C4059">
      <w:pPr>
        <w:spacing w:line="360" w:lineRule="auto"/>
        <w:jc w:val="both"/>
        <w:rPr>
          <w:rFonts w:cs="Arial"/>
          <w:b/>
          <w:bCs/>
        </w:rPr>
      </w:pPr>
      <w:r w:rsidRPr="002C4059">
        <w:rPr>
          <w:rFonts w:cs="Arial"/>
          <w:b/>
          <w:bCs/>
        </w:rPr>
        <w:t>Informe de cumplimiento de la normativa vigente</w:t>
      </w:r>
    </w:p>
    <w:p w:rsidR="00153B4D" w:rsidRPr="002C4059" w:rsidRDefault="00153B4D" w:rsidP="002C4059">
      <w:pPr>
        <w:spacing w:line="360" w:lineRule="auto"/>
        <w:jc w:val="both"/>
        <w:rPr>
          <w:rFonts w:cs="Arial"/>
          <w:bCs/>
        </w:rPr>
      </w:pPr>
      <w:r w:rsidRPr="002C4059">
        <w:rPr>
          <w:rFonts w:cs="Arial"/>
          <w:bCs/>
        </w:rPr>
        <w:t>Respecto a los incumplimientos mencionados en el párrafo “Opinión respecto al cumplimiento de la normativa legal aplicable”, corresponde señalar lo siguiente:</w:t>
      </w:r>
    </w:p>
    <w:p w:rsidR="00153B4D" w:rsidRPr="002C4059" w:rsidRDefault="00153B4D" w:rsidP="002C4059">
      <w:pPr>
        <w:pStyle w:val="Sangradetextonormal"/>
        <w:suppressAutoHyphens w:val="0"/>
        <w:spacing w:after="0" w:line="360" w:lineRule="auto"/>
        <w:ind w:left="0"/>
        <w:jc w:val="both"/>
        <w:rPr>
          <w:rFonts w:ascii="Arial" w:hAnsi="Arial" w:cs="Arial"/>
          <w:b/>
          <w:bCs/>
          <w:sz w:val="24"/>
          <w:szCs w:val="24"/>
          <w:lang w:val="es-ES"/>
        </w:rPr>
      </w:pPr>
      <w:r w:rsidRPr="002C4059">
        <w:rPr>
          <w:rFonts w:ascii="Arial" w:hAnsi="Arial" w:cs="Arial"/>
          <w:b/>
          <w:bCs/>
          <w:sz w:val="24"/>
          <w:szCs w:val="24"/>
          <w:lang w:val="es-ES"/>
        </w:rPr>
        <w:t>1.1 Artículo 86 de la Constitución de la República y Decreto No. 2363 Presupuesto Quinquenal 2016-2020.</w:t>
      </w:r>
    </w:p>
    <w:p w:rsidR="00153B4D" w:rsidRPr="002C4059" w:rsidRDefault="00153B4D" w:rsidP="002C4059">
      <w:pPr>
        <w:pStyle w:val="Sangradetextonormal"/>
        <w:suppressAutoHyphens w:val="0"/>
        <w:spacing w:after="0" w:line="360" w:lineRule="auto"/>
        <w:ind w:left="0"/>
        <w:jc w:val="both"/>
        <w:rPr>
          <w:rFonts w:ascii="Arial" w:hAnsi="Arial" w:cs="Arial"/>
          <w:sz w:val="24"/>
          <w:szCs w:val="24"/>
          <w:lang w:val="es-ES"/>
        </w:rPr>
      </w:pPr>
      <w:r w:rsidRPr="002C4059">
        <w:rPr>
          <w:rFonts w:ascii="Arial" w:hAnsi="Arial" w:cs="Arial"/>
          <w:bCs/>
          <w:sz w:val="24"/>
          <w:szCs w:val="24"/>
          <w:lang w:val="es-ES_tradnl"/>
        </w:rPr>
        <w:t>Se contrató personal por encima de la previsión presupuestal.</w:t>
      </w:r>
    </w:p>
    <w:p w:rsidR="00153B4D" w:rsidRDefault="00153B4D" w:rsidP="002C4059">
      <w:pPr>
        <w:pStyle w:val="Sangradetextonormal"/>
        <w:suppressAutoHyphens w:val="0"/>
        <w:spacing w:after="0" w:line="360" w:lineRule="auto"/>
        <w:ind w:left="0"/>
        <w:jc w:val="both"/>
        <w:rPr>
          <w:rFonts w:ascii="Arial" w:hAnsi="Arial" w:cs="Arial"/>
          <w:b/>
          <w:bCs/>
          <w:sz w:val="24"/>
          <w:szCs w:val="24"/>
          <w:lang w:val="es-ES"/>
        </w:rPr>
      </w:pPr>
    </w:p>
    <w:p w:rsidR="00153B4D" w:rsidRDefault="00153B4D" w:rsidP="002C4059">
      <w:pPr>
        <w:pStyle w:val="Sangradetextonormal"/>
        <w:suppressAutoHyphens w:val="0"/>
        <w:spacing w:after="0" w:line="360" w:lineRule="auto"/>
        <w:ind w:left="0"/>
        <w:jc w:val="both"/>
        <w:rPr>
          <w:rFonts w:ascii="Arial" w:hAnsi="Arial" w:cs="Arial"/>
          <w:b/>
          <w:bCs/>
          <w:sz w:val="24"/>
          <w:szCs w:val="24"/>
          <w:lang w:val="es-ES"/>
        </w:rPr>
      </w:pPr>
      <w:r w:rsidRPr="002C4059">
        <w:rPr>
          <w:rFonts w:ascii="Arial" w:hAnsi="Arial" w:cs="Arial"/>
          <w:b/>
          <w:bCs/>
          <w:sz w:val="24"/>
          <w:szCs w:val="24"/>
          <w:lang w:val="es-ES"/>
        </w:rPr>
        <w:t xml:space="preserve">1.2 Artículo 297 Numeral 1° de </w:t>
      </w:r>
      <w:r w:rsidR="00E87648">
        <w:rPr>
          <w:rFonts w:ascii="Arial" w:hAnsi="Arial" w:cs="Arial"/>
          <w:b/>
          <w:bCs/>
          <w:sz w:val="24"/>
          <w:szCs w:val="24"/>
          <w:lang w:val="es-ES"/>
        </w:rPr>
        <w:t>la Constitución de la República</w:t>
      </w:r>
    </w:p>
    <w:p w:rsidR="00153B4D" w:rsidRPr="002C4059" w:rsidRDefault="00153B4D" w:rsidP="002C4059">
      <w:pPr>
        <w:pStyle w:val="Sangradetextonormal"/>
        <w:suppressAutoHyphens w:val="0"/>
        <w:spacing w:after="0" w:line="360" w:lineRule="auto"/>
        <w:ind w:left="0"/>
        <w:jc w:val="both"/>
        <w:rPr>
          <w:rFonts w:ascii="Arial" w:hAnsi="Arial" w:cs="Arial"/>
          <w:sz w:val="24"/>
          <w:szCs w:val="24"/>
          <w:lang w:val="es-ES"/>
        </w:rPr>
      </w:pPr>
      <w:r w:rsidRPr="002C4059">
        <w:rPr>
          <w:rFonts w:ascii="Arial" w:hAnsi="Arial" w:cs="Arial"/>
          <w:sz w:val="24"/>
          <w:szCs w:val="24"/>
          <w:lang w:val="es-ES"/>
        </w:rPr>
        <w:t>Los descuentos y bonificaciones en la contribución inmobiliaria rural exceden la potestad tributaria del Gobierno Departamental por cuanto el citado impuesto tiene origen legal de regulación nacional.</w:t>
      </w:r>
    </w:p>
    <w:p w:rsidR="00153B4D" w:rsidRPr="002C4059" w:rsidRDefault="00153B4D" w:rsidP="002C4059">
      <w:pPr>
        <w:tabs>
          <w:tab w:val="left" w:pos="1212"/>
        </w:tabs>
        <w:spacing w:line="360" w:lineRule="auto"/>
        <w:jc w:val="both"/>
        <w:rPr>
          <w:rFonts w:eastAsia="Lucida Sans Unicode" w:cs="Arial"/>
          <w:kern w:val="1"/>
          <w:lang w:eastAsia="zh-CN"/>
        </w:rPr>
      </w:pPr>
      <w:r w:rsidRPr="002C4059">
        <w:rPr>
          <w:rFonts w:cs="Arial"/>
          <w:b/>
          <w:lang w:eastAsia="zh-CN"/>
        </w:rPr>
        <w:t>1.3 Artículo 42 de la Ley 19.210</w:t>
      </w:r>
    </w:p>
    <w:p w:rsidR="00153B4D" w:rsidRPr="002C4059" w:rsidRDefault="00153B4D" w:rsidP="002C4059">
      <w:pPr>
        <w:pStyle w:val="Sangradetextonormal"/>
        <w:tabs>
          <w:tab w:val="left" w:pos="0"/>
        </w:tabs>
        <w:suppressAutoHyphens w:val="0"/>
        <w:spacing w:after="0" w:line="360" w:lineRule="auto"/>
        <w:ind w:left="0"/>
        <w:jc w:val="both"/>
        <w:rPr>
          <w:rFonts w:ascii="Arial" w:eastAsia="Lucida Sans Unicode" w:hAnsi="Arial" w:cs="Arial"/>
          <w:kern w:val="1"/>
          <w:sz w:val="24"/>
          <w:szCs w:val="24"/>
          <w:lang w:eastAsia="zh-CN"/>
        </w:rPr>
      </w:pPr>
      <w:r w:rsidRPr="002C4059">
        <w:rPr>
          <w:rFonts w:ascii="Arial" w:eastAsia="Lucida Sans Unicode" w:hAnsi="Arial" w:cs="Arial"/>
          <w:kern w:val="1"/>
          <w:sz w:val="24"/>
          <w:szCs w:val="24"/>
          <w:lang w:eastAsia="zh-CN"/>
        </w:rPr>
        <w:t>Se han constatado pagos a proveedores de bienes y servicios de la Intendencia sin la debida acreditación en cuentas de instituciones de intermediación financiera, pese a superar cada pago, el monto establecido en la mencionada norma.</w:t>
      </w:r>
    </w:p>
    <w:p w:rsidR="00153B4D" w:rsidRPr="002C4059" w:rsidRDefault="00153B4D" w:rsidP="002C4059">
      <w:pPr>
        <w:pStyle w:val="Sangradetextonormal"/>
        <w:tabs>
          <w:tab w:val="left" w:pos="0"/>
        </w:tabs>
        <w:suppressAutoHyphens w:val="0"/>
        <w:spacing w:after="0" w:line="360" w:lineRule="auto"/>
        <w:ind w:left="0"/>
        <w:jc w:val="both"/>
        <w:rPr>
          <w:rFonts w:ascii="Arial" w:eastAsia="Lucida Sans Unicode" w:hAnsi="Arial" w:cs="Arial"/>
          <w:b/>
          <w:kern w:val="1"/>
          <w:sz w:val="24"/>
          <w:szCs w:val="24"/>
          <w:lang w:eastAsia="zh-CN"/>
        </w:rPr>
      </w:pPr>
      <w:r w:rsidRPr="002C4059">
        <w:rPr>
          <w:rFonts w:ascii="Arial" w:eastAsia="Lucida Sans Unicode" w:hAnsi="Arial" w:cs="Arial"/>
          <w:b/>
          <w:kern w:val="1"/>
          <w:sz w:val="24"/>
          <w:szCs w:val="24"/>
          <w:lang w:eastAsia="zh-CN"/>
        </w:rPr>
        <w:t>1.4 Artículo 7 Lit. C de la Ley 16.713</w:t>
      </w:r>
    </w:p>
    <w:p w:rsidR="00153B4D" w:rsidRPr="002C4059" w:rsidRDefault="00153B4D" w:rsidP="002C4059">
      <w:pPr>
        <w:pStyle w:val="Sangradetextonormal"/>
        <w:tabs>
          <w:tab w:val="left" w:pos="0"/>
        </w:tabs>
        <w:suppressAutoHyphens w:val="0"/>
        <w:spacing w:after="0" w:line="360" w:lineRule="auto"/>
        <w:ind w:left="0"/>
        <w:jc w:val="both"/>
        <w:rPr>
          <w:rFonts w:ascii="Arial" w:eastAsia="Lucida Sans Unicode" w:hAnsi="Arial" w:cs="Arial"/>
          <w:kern w:val="1"/>
          <w:sz w:val="24"/>
          <w:szCs w:val="24"/>
          <w:lang w:eastAsia="zh-CN"/>
        </w:rPr>
      </w:pPr>
      <w:r w:rsidRPr="002C4059">
        <w:rPr>
          <w:rFonts w:ascii="Arial" w:eastAsia="Lucida Sans Unicode" w:hAnsi="Arial" w:cs="Arial"/>
          <w:kern w:val="1"/>
          <w:sz w:val="24"/>
          <w:szCs w:val="24"/>
          <w:lang w:eastAsia="zh-CN"/>
        </w:rPr>
        <w:t>En las liquidaciones de sueldos no se actualizaron los topes de AFAP, descontándose por concepto de Montepío montos superiores a los</w:t>
      </w:r>
      <w:r w:rsidR="00E87648">
        <w:rPr>
          <w:rFonts w:ascii="Arial" w:eastAsia="Lucida Sans Unicode" w:hAnsi="Arial" w:cs="Arial"/>
          <w:kern w:val="1"/>
          <w:sz w:val="24"/>
          <w:szCs w:val="24"/>
          <w:lang w:eastAsia="zh-CN"/>
        </w:rPr>
        <w:t xml:space="preserve"> que correspondió pagar al BPS.</w:t>
      </w:r>
    </w:p>
    <w:p w:rsidR="00153B4D" w:rsidRPr="002C4059" w:rsidRDefault="00153B4D" w:rsidP="002C4059">
      <w:pPr>
        <w:spacing w:line="360" w:lineRule="auto"/>
        <w:jc w:val="both"/>
        <w:rPr>
          <w:rFonts w:cs="Arial"/>
          <w:b/>
          <w:lang w:eastAsia="zh-CN"/>
        </w:rPr>
      </w:pPr>
      <w:r w:rsidRPr="002C4059">
        <w:rPr>
          <w:rFonts w:cs="Arial"/>
          <w:b/>
          <w:lang w:eastAsia="zh-CN"/>
        </w:rPr>
        <w:t>1.5 Articulo 64 del TOCAF</w:t>
      </w:r>
    </w:p>
    <w:p w:rsidR="00153B4D" w:rsidRPr="002C4059" w:rsidRDefault="00153B4D" w:rsidP="002C4059">
      <w:pPr>
        <w:spacing w:line="360" w:lineRule="auto"/>
        <w:jc w:val="both"/>
        <w:rPr>
          <w:rFonts w:cs="Arial"/>
          <w:lang w:eastAsia="zh-CN"/>
        </w:rPr>
      </w:pPr>
      <w:r w:rsidRPr="002C4059">
        <w:rPr>
          <w:rFonts w:cs="Arial"/>
          <w:lang w:eastAsia="zh-CN"/>
        </w:rPr>
        <w:t>Se verificó que no se cumplió con la normativa que establece que cuando no corresponda retener garantías, las mismas deberán ser devueltas en el menor plazo posible, sea de oficio o a</w:t>
      </w:r>
      <w:r w:rsidR="00E87648">
        <w:rPr>
          <w:rFonts w:cs="Arial"/>
          <w:lang w:eastAsia="zh-CN"/>
        </w:rPr>
        <w:t xml:space="preserve"> pedido de la parte interesada.</w:t>
      </w:r>
    </w:p>
    <w:p w:rsidR="00153B4D" w:rsidRPr="002C4059" w:rsidRDefault="00153B4D" w:rsidP="002C4059">
      <w:pPr>
        <w:pStyle w:val="Sangradetextonormal"/>
        <w:tabs>
          <w:tab w:val="left" w:pos="0"/>
        </w:tabs>
        <w:suppressAutoHyphens w:val="0"/>
        <w:spacing w:after="0" w:line="360" w:lineRule="auto"/>
        <w:ind w:left="0"/>
        <w:jc w:val="both"/>
        <w:rPr>
          <w:rFonts w:ascii="Arial" w:hAnsi="Arial" w:cs="Arial"/>
          <w:b/>
          <w:bCs/>
          <w:sz w:val="24"/>
          <w:szCs w:val="24"/>
          <w:lang w:val="es-ES"/>
        </w:rPr>
      </w:pPr>
      <w:r w:rsidRPr="002C4059">
        <w:rPr>
          <w:rFonts w:ascii="Arial" w:hAnsi="Arial" w:cs="Arial"/>
          <w:b/>
          <w:sz w:val="24"/>
          <w:szCs w:val="24"/>
          <w:lang w:val="es-ES" w:eastAsia="zh-CN"/>
        </w:rPr>
        <w:t>1.6</w:t>
      </w:r>
      <w:r w:rsidRPr="002C4059">
        <w:rPr>
          <w:rFonts w:ascii="Arial" w:hAnsi="Arial" w:cs="Arial"/>
          <w:kern w:val="1"/>
          <w:sz w:val="24"/>
          <w:szCs w:val="24"/>
          <w:lang w:val="es-ES"/>
        </w:rPr>
        <w:t xml:space="preserve"> </w:t>
      </w:r>
      <w:r w:rsidRPr="002C4059">
        <w:rPr>
          <w:rFonts w:ascii="Arial" w:hAnsi="Arial" w:cs="Arial"/>
          <w:b/>
          <w:bCs/>
          <w:sz w:val="24"/>
          <w:szCs w:val="24"/>
          <w:lang w:val="es-ES"/>
        </w:rPr>
        <w:t>Artículos 89 y 90 del TOCAF</w:t>
      </w:r>
    </w:p>
    <w:p w:rsidR="00153B4D" w:rsidRPr="002C4059" w:rsidRDefault="00153B4D" w:rsidP="002C4059">
      <w:pPr>
        <w:pStyle w:val="Sangradetextonormal"/>
        <w:tabs>
          <w:tab w:val="left" w:pos="0"/>
        </w:tabs>
        <w:suppressAutoHyphens w:val="0"/>
        <w:spacing w:after="0" w:line="360" w:lineRule="auto"/>
        <w:ind w:left="0"/>
        <w:jc w:val="both"/>
        <w:rPr>
          <w:rFonts w:ascii="Arial" w:hAnsi="Arial" w:cs="Arial"/>
          <w:bCs/>
          <w:color w:val="FF0000"/>
          <w:sz w:val="24"/>
          <w:szCs w:val="24"/>
          <w:lang w:val="es-ES"/>
        </w:rPr>
      </w:pPr>
      <w:r w:rsidRPr="002C4059">
        <w:rPr>
          <w:rFonts w:ascii="Arial" w:hAnsi="Arial" w:cs="Arial"/>
          <w:bCs/>
          <w:sz w:val="24"/>
          <w:szCs w:val="24"/>
          <w:lang w:val="es-ES"/>
        </w:rPr>
        <w:t>La Intendencia abonó viáticos sin rendición de cuentas con cargo al fondo permanente incumpliendo con la referida norma</w:t>
      </w:r>
      <w:r w:rsidR="00E2622A">
        <w:rPr>
          <w:rFonts w:ascii="Arial" w:hAnsi="Arial" w:cs="Arial"/>
          <w:bCs/>
          <w:sz w:val="24"/>
          <w:szCs w:val="24"/>
          <w:lang w:val="es-ES"/>
        </w:rPr>
        <w:t>.</w:t>
      </w:r>
    </w:p>
    <w:p w:rsidR="00153B4D" w:rsidRPr="002C4059" w:rsidRDefault="00153B4D" w:rsidP="002C4059">
      <w:pPr>
        <w:pStyle w:val="Sangradetextonormal"/>
        <w:suppressAutoHyphens w:val="0"/>
        <w:spacing w:after="0" w:line="360" w:lineRule="auto"/>
        <w:ind w:left="0"/>
        <w:jc w:val="both"/>
        <w:rPr>
          <w:rFonts w:ascii="Arial" w:hAnsi="Arial" w:cs="Arial"/>
          <w:b/>
          <w:bCs/>
          <w:kern w:val="1"/>
          <w:sz w:val="24"/>
          <w:szCs w:val="24"/>
          <w:lang w:val="es-ES"/>
        </w:rPr>
      </w:pPr>
      <w:r w:rsidRPr="002C4059">
        <w:rPr>
          <w:rFonts w:ascii="Arial" w:hAnsi="Arial" w:cs="Arial"/>
          <w:b/>
          <w:bCs/>
          <w:sz w:val="24"/>
          <w:szCs w:val="24"/>
          <w:lang w:val="es-ES"/>
        </w:rPr>
        <w:t xml:space="preserve">1.7 </w:t>
      </w:r>
      <w:r w:rsidRPr="002C4059">
        <w:rPr>
          <w:rFonts w:ascii="Arial" w:hAnsi="Arial" w:cs="Arial"/>
          <w:b/>
          <w:bCs/>
          <w:kern w:val="1"/>
          <w:sz w:val="24"/>
          <w:szCs w:val="24"/>
          <w:lang w:val="es-ES"/>
        </w:rPr>
        <w:t>Artículo 94 del TOCAF y Ordenanza No. 89 de este Tribunal</w:t>
      </w:r>
    </w:p>
    <w:p w:rsidR="00153B4D" w:rsidRPr="002C4059" w:rsidRDefault="00153B4D" w:rsidP="002C4059">
      <w:pPr>
        <w:pStyle w:val="Sangradetextonormal"/>
        <w:suppressAutoHyphens w:val="0"/>
        <w:spacing w:after="0" w:line="360" w:lineRule="auto"/>
        <w:ind w:left="0"/>
        <w:jc w:val="both"/>
        <w:rPr>
          <w:rFonts w:ascii="Arial" w:hAnsi="Arial" w:cs="Arial"/>
          <w:sz w:val="24"/>
          <w:szCs w:val="24"/>
          <w:lang w:val="es-ES"/>
        </w:rPr>
      </w:pPr>
      <w:r w:rsidRPr="002C4059">
        <w:rPr>
          <w:rFonts w:ascii="Arial" w:hAnsi="Arial" w:cs="Arial"/>
          <w:sz w:val="24"/>
          <w:szCs w:val="24"/>
          <w:lang w:val="es-ES"/>
        </w:rPr>
        <w:t>No se ha implementado totalmente en la Intendencia un sistema de contabilidad patrimonial que permita cumplir con lo establecido en estas normas.</w:t>
      </w:r>
    </w:p>
    <w:p w:rsidR="00153B4D" w:rsidRPr="002C4059" w:rsidRDefault="00153B4D" w:rsidP="002C4059">
      <w:pPr>
        <w:spacing w:line="360" w:lineRule="auto"/>
        <w:jc w:val="both"/>
        <w:rPr>
          <w:rFonts w:cs="Arial"/>
          <w:b/>
        </w:rPr>
      </w:pPr>
      <w:r w:rsidRPr="002C4059">
        <w:rPr>
          <w:rFonts w:cs="Arial"/>
          <w:b/>
        </w:rPr>
        <w:t>1.8 Resolución del Tribunal de Cuentas de fecha 28/01/2004</w:t>
      </w:r>
    </w:p>
    <w:p w:rsidR="00153B4D" w:rsidRPr="002C4059" w:rsidRDefault="00153B4D" w:rsidP="004F4DBE">
      <w:pPr>
        <w:pStyle w:val="Sangradetextonormal"/>
        <w:tabs>
          <w:tab w:val="left" w:pos="0"/>
        </w:tabs>
        <w:spacing w:after="0" w:line="360" w:lineRule="auto"/>
        <w:ind w:left="0"/>
        <w:jc w:val="both"/>
        <w:rPr>
          <w:rFonts w:ascii="Arial" w:hAnsi="Arial" w:cs="Arial"/>
          <w:bCs/>
          <w:sz w:val="24"/>
          <w:szCs w:val="24"/>
          <w:lang w:val="es-ES" w:eastAsia="zh-CN"/>
        </w:rPr>
      </w:pPr>
      <w:r w:rsidRPr="002C4059">
        <w:rPr>
          <w:rFonts w:ascii="Arial" w:hAnsi="Arial" w:cs="Arial"/>
          <w:bCs/>
          <w:sz w:val="24"/>
          <w:szCs w:val="24"/>
          <w:lang w:val="es-ES" w:eastAsia="zh-CN"/>
        </w:rPr>
        <w:t>No se incluyó el Estado 3.3.5 de los Compromisos de Inversión no Ejecutados al cierre, detallando el programa, objeto, concepto e importe del total de compr</w:t>
      </w:r>
      <w:r w:rsidR="00E87648">
        <w:rPr>
          <w:rFonts w:ascii="Arial" w:hAnsi="Arial" w:cs="Arial"/>
          <w:bCs/>
          <w:sz w:val="24"/>
          <w:szCs w:val="24"/>
          <w:lang w:val="es-ES" w:eastAsia="zh-CN"/>
        </w:rPr>
        <w:t>omisos pendientes de ejecución.</w:t>
      </w:r>
    </w:p>
    <w:p w:rsidR="00153B4D" w:rsidRDefault="00153B4D" w:rsidP="002C4059">
      <w:pPr>
        <w:spacing w:line="360" w:lineRule="auto"/>
        <w:jc w:val="both"/>
        <w:rPr>
          <w:rFonts w:cs="Arial"/>
          <w:b/>
          <w:bCs/>
          <w:lang w:eastAsia="zh-CN"/>
        </w:rPr>
      </w:pPr>
    </w:p>
    <w:p w:rsidR="00153B4D" w:rsidRPr="002C4059" w:rsidRDefault="00153B4D" w:rsidP="002C4059">
      <w:pPr>
        <w:spacing w:line="360" w:lineRule="auto"/>
        <w:jc w:val="both"/>
        <w:rPr>
          <w:rFonts w:cs="Arial"/>
          <w:b/>
          <w:bCs/>
          <w:lang w:eastAsia="zh-CN"/>
        </w:rPr>
      </w:pPr>
      <w:r w:rsidRPr="002C4059">
        <w:rPr>
          <w:rFonts w:cs="Arial"/>
          <w:b/>
          <w:bCs/>
          <w:lang w:eastAsia="zh-CN"/>
        </w:rPr>
        <w:t>1.9  Incumplimiento de Convenios (Cláusulas 4 y 5)</w:t>
      </w:r>
    </w:p>
    <w:p w:rsidR="00153B4D" w:rsidRPr="002C4059" w:rsidRDefault="00153B4D" w:rsidP="002C4059">
      <w:pPr>
        <w:spacing w:line="360" w:lineRule="auto"/>
        <w:jc w:val="both"/>
        <w:rPr>
          <w:rFonts w:cs="Arial"/>
          <w:b/>
        </w:rPr>
      </w:pPr>
      <w:r w:rsidRPr="002C4059">
        <w:rPr>
          <w:rFonts w:cs="Arial"/>
          <w:bCs/>
          <w:lang w:eastAsia="zh-CN"/>
        </w:rPr>
        <w:t>No se cumple con las referidas cláusulas que establecen que el incumplimiento de</w:t>
      </w:r>
      <w:r w:rsidRPr="002C4059">
        <w:rPr>
          <w:rFonts w:eastAsia="Lucida Sans Unicode" w:cs="Arial"/>
          <w:kern w:val="1"/>
          <w:lang w:eastAsia="zh-CN"/>
        </w:rPr>
        <w:t xml:space="preserve"> tres cuotas consecutivas</w:t>
      </w:r>
      <w:r w:rsidRPr="002C4059">
        <w:rPr>
          <w:rFonts w:cs="Arial"/>
          <w:bCs/>
          <w:lang w:eastAsia="zh-CN"/>
        </w:rPr>
        <w:t xml:space="preserve"> deja sin efecto el convenio.</w:t>
      </w:r>
    </w:p>
    <w:p w:rsidR="00153B4D" w:rsidRDefault="00153B4D" w:rsidP="002C4059">
      <w:pPr>
        <w:tabs>
          <w:tab w:val="left" w:pos="0"/>
        </w:tabs>
        <w:spacing w:line="360" w:lineRule="auto"/>
        <w:jc w:val="both"/>
        <w:rPr>
          <w:rFonts w:cs="Arial"/>
        </w:rPr>
      </w:pPr>
      <w:r w:rsidRPr="002C4059">
        <w:rPr>
          <w:rFonts w:cs="Arial"/>
        </w:rPr>
        <w:t xml:space="preserve">                                                                       </w:t>
      </w:r>
      <w:bookmarkStart w:id="1" w:name="_Toc310000923"/>
      <w:bookmarkStart w:id="2" w:name="_Toc344371117"/>
      <w:r w:rsidR="00E87648">
        <w:rPr>
          <w:rFonts w:cs="Arial"/>
        </w:rPr>
        <w:t>Montevideo, 31 de enero de 2019</w:t>
      </w:r>
    </w:p>
    <w:p w:rsidR="00153B4D" w:rsidRDefault="00153B4D" w:rsidP="002C4059">
      <w:pPr>
        <w:tabs>
          <w:tab w:val="left" w:pos="0"/>
        </w:tabs>
        <w:spacing w:line="360" w:lineRule="auto"/>
        <w:jc w:val="both"/>
        <w:rPr>
          <w:rFonts w:cs="Arial"/>
        </w:rPr>
      </w:pPr>
    </w:p>
    <w:p w:rsidR="00153B4D" w:rsidRPr="002C4059" w:rsidRDefault="00153B4D" w:rsidP="002C4059">
      <w:pPr>
        <w:tabs>
          <w:tab w:val="left" w:pos="0"/>
        </w:tabs>
        <w:spacing w:line="360" w:lineRule="auto"/>
        <w:jc w:val="both"/>
        <w:rPr>
          <w:rFonts w:cs="Arial"/>
        </w:rPr>
      </w:pPr>
      <w:r>
        <w:rPr>
          <w:rFonts w:cs="Arial"/>
        </w:rPr>
        <w:t>lm</w:t>
      </w:r>
    </w:p>
    <w:bookmarkEnd w:id="1"/>
    <w:bookmarkEnd w:id="2"/>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A94D12">
      <w:pPr>
        <w:spacing w:line="360" w:lineRule="auto"/>
      </w:pPr>
    </w:p>
    <w:p w:rsidR="00153B4D" w:rsidRDefault="00153B4D" w:rsidP="004C77D8">
      <w:pPr>
        <w:pStyle w:val="Ttulo1"/>
      </w:pPr>
      <w:r w:rsidRPr="006256C4">
        <w:t>INFORME A LA ADMINISTRACIÓN</w:t>
      </w:r>
    </w:p>
    <w:p w:rsidR="00153B4D" w:rsidRPr="004C77D8" w:rsidRDefault="00153B4D" w:rsidP="004C77D8"/>
    <w:p w:rsidR="00153B4D" w:rsidRPr="00A60821" w:rsidRDefault="00153B4D" w:rsidP="004C77D8">
      <w:pPr>
        <w:pStyle w:val="Textoindependiente"/>
        <w:spacing w:after="0" w:line="360" w:lineRule="auto"/>
        <w:jc w:val="both"/>
      </w:pPr>
      <w:r w:rsidRPr="00A60821">
        <w:rPr>
          <w:rFonts w:cs="Arial"/>
        </w:rPr>
        <w:t xml:space="preserve">El Tribunal de Cuentas ha examinado la </w:t>
      </w:r>
      <w:r w:rsidRPr="00A60821">
        <w:t xml:space="preserve">Rendición de Cuentas y Balance de Ejecución Presupuestal de la </w:t>
      </w:r>
      <w:r>
        <w:t>Intendencia de</w:t>
      </w:r>
      <w:r w:rsidRPr="00A60821">
        <w:t xml:space="preserve"> </w:t>
      </w:r>
      <w:r>
        <w:t>Durazno</w:t>
      </w:r>
      <w:r w:rsidRPr="00A60821">
        <w:t xml:space="preserve"> por el ejercicio finalizado al 31/12/2017 y ha emitido su correspondiente Dictamen.</w:t>
      </w:r>
    </w:p>
    <w:p w:rsidR="00153B4D" w:rsidRPr="00A60821" w:rsidRDefault="00153B4D" w:rsidP="004C77D8">
      <w:pPr>
        <w:spacing w:line="360" w:lineRule="auto"/>
        <w:jc w:val="both"/>
        <w:rPr>
          <w:rFonts w:cs="Arial"/>
          <w:kern w:val="18"/>
          <w:lang w:val="es-ES_tradnl"/>
        </w:rPr>
      </w:pPr>
      <w:r w:rsidRPr="00A60821">
        <w:rPr>
          <w:rFonts w:cs="Arial"/>
          <w:kern w:val="18"/>
          <w:lang w:val="es-ES_tradnl"/>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153B4D" w:rsidRDefault="00153B4D" w:rsidP="004C77D8">
      <w:pPr>
        <w:spacing w:line="360" w:lineRule="auto"/>
        <w:jc w:val="both"/>
        <w:rPr>
          <w:rFonts w:cs="Arial"/>
          <w:kern w:val="18"/>
          <w:lang w:val="es-ES_tradnl"/>
        </w:rPr>
      </w:pPr>
      <w:r w:rsidRPr="00A60821">
        <w:rPr>
          <w:rFonts w:cs="Arial"/>
          <w:kern w:val="18"/>
          <w:lang w:val="es-ES_tradnl"/>
        </w:rPr>
        <w:t xml:space="preserve">También se agregan las principales recomendaciones que </w:t>
      </w:r>
      <w:proofErr w:type="gramStart"/>
      <w:r w:rsidRPr="00A60821">
        <w:rPr>
          <w:rFonts w:cs="Arial"/>
          <w:kern w:val="18"/>
          <w:lang w:val="es-ES_tradnl"/>
        </w:rPr>
        <w:t>deberá</w:t>
      </w:r>
      <w:proofErr w:type="gramEnd"/>
      <w:r w:rsidRPr="00A60821">
        <w:rPr>
          <w:rFonts w:cs="Arial"/>
          <w:kern w:val="18"/>
          <w:lang w:val="es-ES_tradnl"/>
        </w:rPr>
        <w:t xml:space="preserve"> atender el Organismo y una evaluación del cumplimiento de las recomendaciones presentadas en el informe de auditoría del ejercicio anterior.</w:t>
      </w:r>
    </w:p>
    <w:p w:rsidR="00E87648" w:rsidRPr="00A60821" w:rsidRDefault="00E87648" w:rsidP="004C77D8">
      <w:pPr>
        <w:spacing w:line="360" w:lineRule="auto"/>
        <w:jc w:val="both"/>
        <w:rPr>
          <w:rFonts w:cs="Arial"/>
          <w:kern w:val="18"/>
          <w:lang w:val="es-ES_tradnl"/>
        </w:rPr>
      </w:pPr>
    </w:p>
    <w:p w:rsidR="00153B4D" w:rsidRPr="00C901C4" w:rsidRDefault="00153B4D" w:rsidP="004C77D8">
      <w:pPr>
        <w:pStyle w:val="Ttulo2"/>
        <w:spacing w:before="0" w:line="360" w:lineRule="auto"/>
        <w:jc w:val="both"/>
        <w:rPr>
          <w:rFonts w:ascii="Arial" w:hAnsi="Arial" w:cs="Arial"/>
          <w:bCs w:val="0"/>
          <w:color w:val="auto"/>
          <w:sz w:val="24"/>
          <w:szCs w:val="24"/>
        </w:rPr>
      </w:pPr>
      <w:r w:rsidRPr="00C901C4">
        <w:rPr>
          <w:rFonts w:ascii="Arial" w:hAnsi="Arial" w:cs="Arial"/>
          <w:bCs w:val="0"/>
          <w:color w:val="auto"/>
          <w:sz w:val="24"/>
          <w:szCs w:val="24"/>
        </w:rPr>
        <w:t>1. Presentación de los Estados</w:t>
      </w:r>
    </w:p>
    <w:p w:rsidR="00153B4D" w:rsidRDefault="00153B4D" w:rsidP="004C77D8">
      <w:pPr>
        <w:pStyle w:val="Textoindependiente"/>
        <w:spacing w:after="0" w:line="360" w:lineRule="auto"/>
        <w:jc w:val="both"/>
      </w:pPr>
      <w:r>
        <w:t>La Rendición de Cuentas y Balance de Ejecución Presupuestal de la Intendencia de Durazno, correspondientes al ejercicio finalizado el 31/12/2017, fueron remitidos a este Tribunal para su examen por Oficio Nº 201/2018 del 25/07/2018 del citado organismo.</w:t>
      </w:r>
    </w:p>
    <w:p w:rsidR="00153B4D" w:rsidRDefault="00153B4D" w:rsidP="004C77D8">
      <w:pPr>
        <w:pStyle w:val="Textoindependiente"/>
        <w:spacing w:after="0" w:line="360" w:lineRule="auto"/>
        <w:jc w:val="both"/>
      </w:pPr>
      <w:r>
        <w:t>Dichos estados se presentan de acuerdo al instructivo vigente a la fecha de su presentación.</w:t>
      </w:r>
    </w:p>
    <w:p w:rsidR="00E87648" w:rsidRDefault="00E87648" w:rsidP="004C77D8">
      <w:pPr>
        <w:pStyle w:val="Textoindependiente"/>
        <w:spacing w:after="0" w:line="360" w:lineRule="auto"/>
        <w:jc w:val="both"/>
      </w:pPr>
    </w:p>
    <w:p w:rsidR="00153B4D" w:rsidRDefault="00153B4D" w:rsidP="004C77D8">
      <w:pPr>
        <w:pStyle w:val="Textoindependiente"/>
        <w:spacing w:after="0" w:line="360" w:lineRule="auto"/>
        <w:rPr>
          <w:b/>
        </w:rPr>
      </w:pPr>
      <w:r>
        <w:rPr>
          <w:b/>
        </w:rPr>
        <w:t>2. C</w:t>
      </w:r>
      <w:r w:rsidRPr="00B7341F">
        <w:rPr>
          <w:b/>
        </w:rPr>
        <w:t>onstataciones</w:t>
      </w:r>
      <w:r>
        <w:rPr>
          <w:b/>
        </w:rPr>
        <w:t xml:space="preserve"> que no afectan la opinión respecto a los estados</w:t>
      </w:r>
    </w:p>
    <w:p w:rsidR="00153B4D" w:rsidRPr="00B072F4" w:rsidRDefault="00153B4D" w:rsidP="004C77D8">
      <w:pPr>
        <w:pStyle w:val="Textoindependiente21"/>
        <w:widowControl w:val="0"/>
        <w:spacing w:after="0" w:line="360" w:lineRule="auto"/>
        <w:rPr>
          <w:b/>
        </w:rPr>
      </w:pPr>
      <w:r>
        <w:rPr>
          <w:rFonts w:cs="Arial"/>
          <w:b/>
          <w:bCs/>
          <w:szCs w:val="24"/>
          <w:lang w:val="es-ES" w:eastAsia="zh-CN"/>
        </w:rPr>
        <w:t xml:space="preserve">   </w:t>
      </w:r>
      <w:r w:rsidRPr="003F1FF7">
        <w:rPr>
          <w:rFonts w:cs="Arial"/>
          <w:b/>
          <w:bCs/>
          <w:szCs w:val="24"/>
          <w:lang w:val="es-ES" w:eastAsia="zh-CN"/>
        </w:rPr>
        <w:t>Disponibilidades</w:t>
      </w:r>
    </w:p>
    <w:p w:rsidR="00153B4D" w:rsidRDefault="00153B4D" w:rsidP="004C77D8">
      <w:pPr>
        <w:spacing w:line="360" w:lineRule="auto"/>
        <w:jc w:val="both"/>
        <w:rPr>
          <w:b/>
        </w:rPr>
      </w:pPr>
      <w:r>
        <w:rPr>
          <w:rFonts w:cs="Arial"/>
          <w:kern w:val="1"/>
        </w:rPr>
        <w:t xml:space="preserve">-  </w:t>
      </w:r>
      <w:r w:rsidRPr="00AC2D84">
        <w:rPr>
          <w:rFonts w:cs="Arial"/>
          <w:kern w:val="1"/>
        </w:rPr>
        <w:t>Analizadas las Actas al 31/12/201</w:t>
      </w:r>
      <w:r>
        <w:rPr>
          <w:rFonts w:cs="Arial"/>
          <w:kern w:val="1"/>
        </w:rPr>
        <w:t>7</w:t>
      </w:r>
      <w:r w:rsidRPr="00AC2D84">
        <w:rPr>
          <w:rFonts w:cs="Arial"/>
          <w:kern w:val="1"/>
        </w:rPr>
        <w:t xml:space="preserve">, se constató que en el Arqueo realizado a la Tesorería de la Intendencia se </w:t>
      </w:r>
      <w:r>
        <w:rPr>
          <w:rFonts w:cs="Arial"/>
          <w:kern w:val="1"/>
        </w:rPr>
        <w:t>present</w:t>
      </w:r>
      <w:r w:rsidRPr="00AC2D84">
        <w:rPr>
          <w:rFonts w:cs="Arial"/>
          <w:kern w:val="1"/>
        </w:rPr>
        <w:t xml:space="preserve">a efectivo de fondo fijo por un monto de $ 800.000, mientras que en el Anexo 1 se </w:t>
      </w:r>
      <w:r>
        <w:rPr>
          <w:rFonts w:cs="Arial"/>
          <w:kern w:val="1"/>
        </w:rPr>
        <w:t>present</w:t>
      </w:r>
      <w:r w:rsidRPr="00AC2D84">
        <w:rPr>
          <w:rFonts w:cs="Arial"/>
          <w:kern w:val="1"/>
        </w:rPr>
        <w:t>a documentación pendiente de contabilizar por $ 596.593.</w:t>
      </w:r>
      <w:r>
        <w:rPr>
          <w:rFonts w:cs="Arial"/>
          <w:kern w:val="1"/>
        </w:rPr>
        <w:t xml:space="preserve"> No obstante lo expresado, en el Estado 6.2 Descomposición del Saldo de Caja y Bancos, se incluye el fondo permanente por $ 203.407, </w:t>
      </w:r>
      <w:r w:rsidRPr="00817FC9">
        <w:rPr>
          <w:rFonts w:cs="Arial"/>
          <w:kern w:val="1"/>
        </w:rPr>
        <w:t>en lugar de expresarse por $ 800.000</w:t>
      </w:r>
      <w:r>
        <w:rPr>
          <w:rFonts w:cs="Arial"/>
          <w:kern w:val="1"/>
        </w:rPr>
        <w:t>.</w:t>
      </w:r>
    </w:p>
    <w:p w:rsidR="00153B4D" w:rsidRDefault="00153B4D" w:rsidP="004C77D8">
      <w:pPr>
        <w:pStyle w:val="Textoindependiente"/>
        <w:spacing w:after="0" w:line="360" w:lineRule="auto"/>
        <w:rPr>
          <w:b/>
        </w:rPr>
      </w:pPr>
      <w:r w:rsidRPr="00352DC0">
        <w:rPr>
          <w:b/>
        </w:rPr>
        <w:t>3.  Debilidades de Control Interno</w:t>
      </w:r>
    </w:p>
    <w:p w:rsidR="00153B4D" w:rsidRPr="004C77D8" w:rsidRDefault="00153B4D" w:rsidP="004C77D8">
      <w:pPr>
        <w:pStyle w:val="Textoindependiente"/>
        <w:spacing w:after="0" w:line="360" w:lineRule="auto"/>
        <w:rPr>
          <w:b/>
          <w:bCs/>
        </w:rPr>
      </w:pPr>
      <w:r w:rsidRPr="004C77D8">
        <w:rPr>
          <w:b/>
        </w:rPr>
        <w:t>3.1 Respecto a recursos o manejo de fondos</w:t>
      </w:r>
    </w:p>
    <w:p w:rsidR="00153B4D" w:rsidRPr="00245B2A" w:rsidRDefault="00153B4D" w:rsidP="004C77D8">
      <w:pPr>
        <w:numPr>
          <w:ilvl w:val="0"/>
          <w:numId w:val="2"/>
        </w:numPr>
        <w:suppressAutoHyphens/>
        <w:spacing w:line="360" w:lineRule="auto"/>
        <w:jc w:val="both"/>
        <w:rPr>
          <w:rFonts w:cs="Arial"/>
        </w:rPr>
      </w:pPr>
      <w:r w:rsidRPr="00245B2A">
        <w:rPr>
          <w:rFonts w:cs="Arial"/>
        </w:rPr>
        <w:t>No hay políticas de contraseñas en los sistemas de recaudación y en algún caso no  se actualizó el perfil de usuario a nivel operativo.</w:t>
      </w:r>
    </w:p>
    <w:p w:rsidR="00153B4D" w:rsidRDefault="00153B4D" w:rsidP="004C77D8">
      <w:pPr>
        <w:numPr>
          <w:ilvl w:val="0"/>
          <w:numId w:val="2"/>
        </w:numPr>
        <w:suppressAutoHyphens/>
        <w:spacing w:line="360" w:lineRule="auto"/>
        <w:jc w:val="both"/>
        <w:rPr>
          <w:rFonts w:cs="Arial"/>
          <w:lang w:val="es-MX"/>
        </w:rPr>
      </w:pPr>
      <w:r w:rsidRPr="00245B2A">
        <w:rPr>
          <w:rFonts w:cs="Arial"/>
          <w:lang w:val="es-MX"/>
        </w:rPr>
        <w:t>El sistema de recaudación no está programado de forma tal que se dé de baja en forma automática a los convenios que incumplen facilidades tributarias previamente otorgadas.</w:t>
      </w:r>
    </w:p>
    <w:p w:rsidR="00153B4D" w:rsidRPr="00AE5774" w:rsidRDefault="00153B4D" w:rsidP="004C77D8">
      <w:pPr>
        <w:numPr>
          <w:ilvl w:val="0"/>
          <w:numId w:val="2"/>
        </w:numPr>
        <w:suppressAutoHyphens/>
        <w:spacing w:line="360" w:lineRule="auto"/>
        <w:jc w:val="both"/>
        <w:rPr>
          <w:rFonts w:cs="Arial"/>
          <w:lang w:val="es-MX"/>
        </w:rPr>
      </w:pPr>
      <w:r>
        <w:rPr>
          <w:rFonts w:cs="Arial"/>
          <w:lang w:val="es-MX"/>
        </w:rPr>
        <w:t xml:space="preserve">En la Tesorería de la Intendencia no se utilizan comprobantes internos en </w:t>
      </w:r>
      <w:r w:rsidRPr="00245B2A">
        <w:rPr>
          <w:rFonts w:cs="Arial"/>
          <w:bCs/>
          <w:lang w:eastAsia="zh-CN"/>
        </w:rPr>
        <w:t>oportunidad de entrega de cambio a los cajeros.</w:t>
      </w:r>
    </w:p>
    <w:p w:rsidR="00153B4D" w:rsidRPr="00A562E8" w:rsidRDefault="00153B4D" w:rsidP="004C77D8">
      <w:pPr>
        <w:pStyle w:val="Ttulo2"/>
        <w:widowControl w:val="0"/>
        <w:numPr>
          <w:ilvl w:val="1"/>
          <w:numId w:val="0"/>
        </w:numPr>
        <w:tabs>
          <w:tab w:val="num" w:pos="0"/>
        </w:tabs>
        <w:spacing w:before="0" w:line="360" w:lineRule="auto"/>
        <w:ind w:left="576" w:hanging="576"/>
        <w:jc w:val="both"/>
        <w:textAlignment w:val="baseline"/>
        <w:rPr>
          <w:rFonts w:ascii="Arial" w:eastAsia="Times New Roman" w:hAnsi="Arial" w:cs="Times New Roman"/>
          <w:bCs w:val="0"/>
          <w:color w:val="auto"/>
          <w:sz w:val="24"/>
          <w:szCs w:val="24"/>
        </w:rPr>
      </w:pPr>
      <w:r w:rsidRPr="00A562E8">
        <w:rPr>
          <w:rFonts w:ascii="Arial" w:eastAsia="Times New Roman" w:hAnsi="Arial" w:cs="Times New Roman"/>
          <w:bCs w:val="0"/>
          <w:color w:val="auto"/>
          <w:sz w:val="24"/>
          <w:szCs w:val="24"/>
        </w:rPr>
        <w:t>3.2  Respecto a retribuciones personales</w:t>
      </w:r>
    </w:p>
    <w:p w:rsidR="00153B4D" w:rsidRPr="00245B2A" w:rsidRDefault="00153B4D" w:rsidP="004C77D8">
      <w:pPr>
        <w:pStyle w:val="Textbody"/>
        <w:numPr>
          <w:ilvl w:val="0"/>
          <w:numId w:val="2"/>
        </w:numPr>
        <w:spacing w:after="0" w:line="360" w:lineRule="auto"/>
        <w:jc w:val="both"/>
        <w:rPr>
          <w:rFonts w:cs="Arial"/>
          <w:bCs/>
          <w:sz w:val="24"/>
          <w:szCs w:val="24"/>
        </w:rPr>
      </w:pPr>
      <w:r w:rsidRPr="00245B2A">
        <w:rPr>
          <w:rFonts w:cs="Arial"/>
          <w:bCs/>
          <w:sz w:val="24"/>
          <w:szCs w:val="24"/>
        </w:rPr>
        <w:t>Los legajos en formato electrónico no se encuentran actualizados debido a que no tienen, en algunos casos, la información</w:t>
      </w:r>
      <w:r w:rsidR="00E87648">
        <w:rPr>
          <w:rFonts w:cs="Arial"/>
          <w:bCs/>
          <w:sz w:val="24"/>
          <w:szCs w:val="24"/>
        </w:rPr>
        <w:t xml:space="preserve"> académica de los funcionarios.</w:t>
      </w:r>
    </w:p>
    <w:p w:rsidR="00153B4D" w:rsidRPr="00245B2A" w:rsidRDefault="00153B4D" w:rsidP="004C77D8">
      <w:pPr>
        <w:pStyle w:val="Sangradetextonormal"/>
        <w:numPr>
          <w:ilvl w:val="0"/>
          <w:numId w:val="2"/>
        </w:numPr>
        <w:spacing w:after="0" w:line="360" w:lineRule="auto"/>
        <w:jc w:val="both"/>
        <w:rPr>
          <w:rFonts w:ascii="Arial" w:hAnsi="Arial" w:cs="Arial"/>
          <w:bCs/>
          <w:color w:val="000000"/>
          <w:kern w:val="1"/>
          <w:sz w:val="24"/>
          <w:szCs w:val="24"/>
          <w:lang w:val="es-ES"/>
        </w:rPr>
      </w:pPr>
      <w:r w:rsidRPr="00245B2A">
        <w:rPr>
          <w:rFonts w:ascii="Arial" w:hAnsi="Arial" w:cs="Arial"/>
          <w:bCs/>
          <w:color w:val="000000"/>
          <w:kern w:val="1"/>
          <w:sz w:val="24"/>
          <w:szCs w:val="24"/>
          <w:lang w:val="es-ES"/>
        </w:rPr>
        <w:t>No se deja constancia en los recibos de sueldos de las partidas por subrogaciones de los funcionarios.</w:t>
      </w:r>
    </w:p>
    <w:p w:rsidR="00153B4D" w:rsidRPr="00245B2A" w:rsidRDefault="00153B4D" w:rsidP="004C77D8">
      <w:pPr>
        <w:pStyle w:val="Ttulo3"/>
        <w:keepLines/>
        <w:numPr>
          <w:ilvl w:val="2"/>
          <w:numId w:val="0"/>
        </w:numPr>
        <w:tabs>
          <w:tab w:val="num" w:pos="0"/>
        </w:tabs>
        <w:suppressAutoHyphens/>
        <w:spacing w:before="0" w:after="0" w:line="360" w:lineRule="auto"/>
        <w:ind w:left="40" w:right="-5"/>
        <w:jc w:val="both"/>
        <w:rPr>
          <w:color w:val="000000"/>
          <w:sz w:val="24"/>
          <w:szCs w:val="24"/>
        </w:rPr>
      </w:pPr>
      <w:r w:rsidRPr="00245B2A">
        <w:rPr>
          <w:color w:val="000000"/>
          <w:sz w:val="24"/>
          <w:szCs w:val="24"/>
        </w:rPr>
        <w:t>3.3  Respecto al sistema de compras</w:t>
      </w:r>
    </w:p>
    <w:p w:rsidR="00153B4D" w:rsidRPr="00245B2A" w:rsidRDefault="00153B4D" w:rsidP="004C77D8">
      <w:pPr>
        <w:pStyle w:val="Sangradetextonormal"/>
        <w:numPr>
          <w:ilvl w:val="0"/>
          <w:numId w:val="3"/>
        </w:numPr>
        <w:tabs>
          <w:tab w:val="left" w:pos="0"/>
        </w:tabs>
        <w:suppressAutoHyphens w:val="0"/>
        <w:spacing w:after="0" w:line="360" w:lineRule="auto"/>
        <w:jc w:val="both"/>
        <w:rPr>
          <w:rFonts w:ascii="Arial" w:eastAsia="Lucida Sans Unicode" w:hAnsi="Arial" w:cs="Arial"/>
          <w:kern w:val="1"/>
          <w:sz w:val="24"/>
          <w:szCs w:val="24"/>
          <w:lang w:eastAsia="zh-CN"/>
        </w:rPr>
      </w:pPr>
      <w:r w:rsidRPr="00245B2A">
        <w:rPr>
          <w:rFonts w:ascii="Arial" w:eastAsia="Lucida Sans Unicode" w:hAnsi="Arial" w:cs="Arial"/>
          <w:kern w:val="1"/>
          <w:sz w:val="24"/>
          <w:szCs w:val="24"/>
          <w:lang w:eastAsia="zh-CN"/>
        </w:rPr>
        <w:t>El sistema informático</w:t>
      </w:r>
      <w:r w:rsidRPr="00245B2A">
        <w:rPr>
          <w:rFonts w:ascii="Arial" w:eastAsia="Lucida Sans Unicode" w:hAnsi="Arial" w:cs="Arial"/>
          <w:color w:val="FF0000"/>
          <w:kern w:val="1"/>
          <w:sz w:val="24"/>
          <w:szCs w:val="24"/>
          <w:lang w:eastAsia="zh-CN"/>
        </w:rPr>
        <w:t xml:space="preserve"> </w:t>
      </w:r>
      <w:r w:rsidRPr="00245B2A">
        <w:rPr>
          <w:rFonts w:ascii="Arial" w:eastAsia="Lucida Sans Unicode" w:hAnsi="Arial" w:cs="Arial"/>
          <w:kern w:val="1"/>
          <w:sz w:val="24"/>
          <w:szCs w:val="24"/>
          <w:lang w:eastAsia="zh-CN"/>
        </w:rPr>
        <w:t>utilizado en la Intendencia no ofrece información respecto a fraccionamiento en oportunidad de intervenir gastos. Además, dicho programa solo permite observar gastos por un único concepto, no admitiendo más de un motivo de observación.</w:t>
      </w:r>
    </w:p>
    <w:p w:rsidR="00153B4D" w:rsidRPr="00245B2A" w:rsidRDefault="00153B4D" w:rsidP="004C77D8">
      <w:pPr>
        <w:numPr>
          <w:ilvl w:val="0"/>
          <w:numId w:val="3"/>
        </w:numPr>
        <w:tabs>
          <w:tab w:val="left" w:pos="720"/>
        </w:tabs>
        <w:suppressAutoHyphens/>
        <w:spacing w:line="360" w:lineRule="auto"/>
        <w:jc w:val="both"/>
        <w:rPr>
          <w:rFonts w:cs="Arial"/>
        </w:rPr>
      </w:pPr>
      <w:r w:rsidRPr="00245B2A">
        <w:rPr>
          <w:rFonts w:cs="Arial"/>
        </w:rPr>
        <w:t>No todas las órdenes de pago contienen el número de orden de compra a los efectos de un mejor seg</w:t>
      </w:r>
      <w:r w:rsidR="00E87648">
        <w:rPr>
          <w:rFonts w:cs="Arial"/>
        </w:rPr>
        <w:t>uimiento del proceso del gasto.</w:t>
      </w:r>
    </w:p>
    <w:p w:rsidR="00153B4D" w:rsidRDefault="00153B4D" w:rsidP="004C77D8">
      <w:pPr>
        <w:numPr>
          <w:ilvl w:val="0"/>
          <w:numId w:val="3"/>
        </w:numPr>
        <w:tabs>
          <w:tab w:val="left" w:pos="720"/>
        </w:tabs>
        <w:suppressAutoHyphens/>
        <w:spacing w:line="360" w:lineRule="auto"/>
        <w:jc w:val="both"/>
        <w:rPr>
          <w:rFonts w:cs="Arial"/>
        </w:rPr>
      </w:pPr>
      <w:r w:rsidRPr="00245B2A">
        <w:rPr>
          <w:rFonts w:cs="Arial"/>
        </w:rPr>
        <w:t>No existe un Inventario de pólizas ni avales sea por mantenimiento de oferta o garantía de cumplimiento de contrato; sólo se detallan oportunamente en actas de arqueo según planilla Excel. Además el Estado de Fondos Indisponibles no incluye dicho concepto.</w:t>
      </w:r>
    </w:p>
    <w:p w:rsidR="00E87648" w:rsidRDefault="00E87648" w:rsidP="00E87648">
      <w:pPr>
        <w:tabs>
          <w:tab w:val="left" w:pos="720"/>
        </w:tabs>
        <w:suppressAutoHyphens/>
        <w:spacing w:line="360" w:lineRule="auto"/>
        <w:ind w:left="720"/>
        <w:jc w:val="both"/>
        <w:rPr>
          <w:rFonts w:cs="Arial"/>
        </w:rPr>
      </w:pPr>
    </w:p>
    <w:p w:rsidR="00E87648" w:rsidRDefault="00E87648" w:rsidP="00E87648">
      <w:pPr>
        <w:tabs>
          <w:tab w:val="left" w:pos="720"/>
        </w:tabs>
        <w:suppressAutoHyphens/>
        <w:spacing w:line="360" w:lineRule="auto"/>
        <w:ind w:left="720"/>
        <w:jc w:val="both"/>
        <w:rPr>
          <w:rFonts w:cs="Arial"/>
        </w:rPr>
      </w:pPr>
    </w:p>
    <w:p w:rsidR="00E87648" w:rsidRPr="00245B2A" w:rsidRDefault="00E87648" w:rsidP="00E87648">
      <w:pPr>
        <w:tabs>
          <w:tab w:val="left" w:pos="720"/>
        </w:tabs>
        <w:suppressAutoHyphens/>
        <w:spacing w:line="360" w:lineRule="auto"/>
        <w:ind w:left="720"/>
        <w:jc w:val="both"/>
        <w:rPr>
          <w:rFonts w:cs="Arial"/>
        </w:rPr>
      </w:pPr>
    </w:p>
    <w:p w:rsidR="00153B4D" w:rsidRPr="00205436" w:rsidRDefault="00153B4D" w:rsidP="004C77D8">
      <w:pPr>
        <w:spacing w:line="360" w:lineRule="auto"/>
        <w:jc w:val="both"/>
        <w:rPr>
          <w:rFonts w:cs="Arial"/>
          <w:b/>
        </w:rPr>
      </w:pPr>
      <w:r>
        <w:rPr>
          <w:rFonts w:cs="Arial"/>
          <w:b/>
        </w:rPr>
        <w:t xml:space="preserve">4. </w:t>
      </w:r>
      <w:r w:rsidRPr="00205436">
        <w:rPr>
          <w:rFonts w:cs="Arial"/>
          <w:b/>
        </w:rPr>
        <w:t>Recomendaciones</w:t>
      </w:r>
    </w:p>
    <w:p w:rsidR="00153B4D" w:rsidRPr="00245B2A" w:rsidRDefault="00153B4D" w:rsidP="004C77D8">
      <w:pPr>
        <w:spacing w:line="360" w:lineRule="auto"/>
        <w:jc w:val="both"/>
        <w:rPr>
          <w:rFonts w:cs="Arial"/>
          <w:b/>
          <w:bCs/>
        </w:rPr>
      </w:pPr>
      <w:r w:rsidRPr="00245B2A">
        <w:rPr>
          <w:rFonts w:cs="Arial"/>
          <w:b/>
          <w:bCs/>
        </w:rPr>
        <w:t xml:space="preserve">4.1 Recomendaciones de </w:t>
      </w:r>
      <w:r w:rsidR="00E87648">
        <w:rPr>
          <w:rFonts w:cs="Arial"/>
          <w:b/>
          <w:bCs/>
        </w:rPr>
        <w:t>ejercicios anteriores cumplidas</w:t>
      </w:r>
    </w:p>
    <w:p w:rsidR="00153B4D" w:rsidRPr="00245B2A" w:rsidRDefault="00153B4D" w:rsidP="004C77D8">
      <w:pPr>
        <w:widowControl w:val="0"/>
        <w:suppressAutoHyphens/>
        <w:spacing w:line="360" w:lineRule="auto"/>
        <w:jc w:val="both"/>
        <w:rPr>
          <w:rFonts w:cs="Arial"/>
          <w:b/>
          <w:kern w:val="1"/>
          <w:szCs w:val="20"/>
          <w:lang w:val="es-ES_tradnl" w:eastAsia="hi-IN" w:bidi="hi-IN"/>
        </w:rPr>
      </w:pPr>
      <w:r w:rsidRPr="00245B2A">
        <w:rPr>
          <w:rFonts w:cs="Arial"/>
          <w:b/>
          <w:kern w:val="1"/>
          <w:szCs w:val="20"/>
          <w:lang w:val="es-ES_tradnl" w:eastAsia="hi-IN" w:bidi="hi-IN"/>
        </w:rPr>
        <w:t>Ley de Ordenamiento Territorial</w:t>
      </w:r>
    </w:p>
    <w:p w:rsidR="00153B4D" w:rsidRDefault="00153B4D" w:rsidP="004C77D8">
      <w:pPr>
        <w:widowControl w:val="0"/>
        <w:suppressAutoHyphens/>
        <w:spacing w:line="360" w:lineRule="auto"/>
        <w:jc w:val="both"/>
        <w:rPr>
          <w:rFonts w:cs="Arial"/>
          <w:color w:val="00000A"/>
          <w:kern w:val="1"/>
          <w:szCs w:val="20"/>
          <w:lang w:val="es-ES_tradnl" w:eastAsia="hi-IN" w:bidi="hi-IN"/>
        </w:rPr>
      </w:pPr>
      <w:r w:rsidRPr="00245B2A">
        <w:rPr>
          <w:rFonts w:cs="Arial"/>
          <w:color w:val="00000A"/>
          <w:kern w:val="1"/>
          <w:szCs w:val="20"/>
          <w:lang w:val="es-ES_tradnl" w:eastAsia="hi-IN" w:bidi="hi-IN"/>
        </w:rPr>
        <w:t>La Intendencia dio cumplimiento a la normativa vigente, incorporando todos los padrones rurales que correspondan a sub-urbanos y urbanos como lo indica el Decreto Nº 2181/2011 dando cumplimiento a los cambios que en fo</w:t>
      </w:r>
      <w:r w:rsidR="00E87648">
        <w:rPr>
          <w:rFonts w:cs="Arial"/>
          <w:color w:val="00000A"/>
          <w:kern w:val="1"/>
          <w:szCs w:val="20"/>
          <w:lang w:val="es-ES_tradnl" w:eastAsia="hi-IN" w:bidi="hi-IN"/>
        </w:rPr>
        <w:t>rma taxativa indica el Decreto.</w:t>
      </w:r>
    </w:p>
    <w:p w:rsidR="00153B4D" w:rsidRPr="00245B2A" w:rsidRDefault="00153B4D" w:rsidP="004C77D8">
      <w:pPr>
        <w:spacing w:line="360" w:lineRule="auto"/>
        <w:jc w:val="both"/>
        <w:rPr>
          <w:rFonts w:cs="Arial"/>
          <w:b/>
          <w:bCs/>
        </w:rPr>
      </w:pPr>
      <w:r w:rsidRPr="00245B2A">
        <w:rPr>
          <w:rFonts w:cs="Arial"/>
          <w:b/>
          <w:bCs/>
        </w:rPr>
        <w:t>4.2 Recomendaciones de ejercicios anteriores no cumplidas</w:t>
      </w:r>
    </w:p>
    <w:p w:rsidR="00153B4D" w:rsidRPr="00245B2A" w:rsidRDefault="00153B4D" w:rsidP="004C77D8">
      <w:pPr>
        <w:keepNext/>
        <w:keepLines/>
        <w:suppressAutoHyphens/>
        <w:spacing w:line="360" w:lineRule="auto"/>
        <w:ind w:left="576" w:hanging="576"/>
        <w:jc w:val="both"/>
        <w:outlineLvl w:val="1"/>
        <w:rPr>
          <w:rFonts w:cs="Arial"/>
          <w:b/>
          <w:color w:val="00000A"/>
          <w:kern w:val="1"/>
          <w:szCs w:val="20"/>
          <w:lang w:val="es-ES_tradnl" w:eastAsia="hi-IN" w:bidi="hi-IN"/>
        </w:rPr>
      </w:pPr>
      <w:r w:rsidRPr="00245B2A">
        <w:rPr>
          <w:rFonts w:cs="Arial"/>
          <w:b/>
          <w:color w:val="00000A"/>
          <w:kern w:val="1"/>
          <w:szCs w:val="20"/>
          <w:lang w:val="es-ES_tradnl" w:eastAsia="hi-IN" w:bidi="hi-IN"/>
        </w:rPr>
        <w:t>4.2.1. Artículo 90 del TOCAF</w:t>
      </w:r>
    </w:p>
    <w:p w:rsidR="00153B4D" w:rsidRPr="00245B2A" w:rsidRDefault="00153B4D" w:rsidP="004C77D8">
      <w:pPr>
        <w:autoSpaceDE w:val="0"/>
        <w:autoSpaceDN w:val="0"/>
        <w:adjustRightInd w:val="0"/>
        <w:spacing w:line="360" w:lineRule="auto"/>
        <w:jc w:val="both"/>
        <w:rPr>
          <w:rFonts w:cs="Arial"/>
          <w:color w:val="000000"/>
        </w:rPr>
      </w:pPr>
      <w:r w:rsidRPr="00245B2A">
        <w:rPr>
          <w:rFonts w:eastAsia="Calibri" w:cs="Arial"/>
          <w:kern w:val="1"/>
          <w:szCs w:val="20"/>
          <w:lang w:val="es-ES_tradnl" w:eastAsia="hi-IN" w:bidi="hi-IN"/>
        </w:rPr>
        <w:t>Los fondos de caja chica solamente deberán utilizarse para efectuar gastos de menor cuantía que deban abonarse al contado y en efectivo, para solucionar necesidades momentáneas del servicio, o para adquirir elementos de escaso valor</w:t>
      </w:r>
      <w:r>
        <w:rPr>
          <w:rFonts w:eastAsia="Calibri" w:cs="Arial"/>
          <w:kern w:val="1"/>
          <w:szCs w:val="20"/>
          <w:lang w:val="es-ES_tradnl" w:eastAsia="hi-IN" w:bidi="hi-IN"/>
        </w:rPr>
        <w:t>.</w:t>
      </w:r>
    </w:p>
    <w:p w:rsidR="00153B4D" w:rsidRPr="00245B2A" w:rsidRDefault="00153B4D" w:rsidP="004C77D8">
      <w:pPr>
        <w:keepNext/>
        <w:keepLines/>
        <w:suppressAutoHyphens/>
        <w:spacing w:line="360" w:lineRule="auto"/>
        <w:ind w:left="576" w:hanging="576"/>
        <w:jc w:val="both"/>
        <w:outlineLvl w:val="1"/>
        <w:rPr>
          <w:rFonts w:cs="Arial"/>
          <w:b/>
          <w:color w:val="00000A"/>
          <w:kern w:val="1"/>
          <w:szCs w:val="20"/>
          <w:lang w:val="es-ES_tradnl" w:eastAsia="hi-IN" w:bidi="hi-IN"/>
        </w:rPr>
      </w:pPr>
      <w:r w:rsidRPr="00245B2A">
        <w:rPr>
          <w:rFonts w:cs="Arial"/>
          <w:b/>
          <w:color w:val="00000A"/>
          <w:kern w:val="1"/>
          <w:szCs w:val="20"/>
          <w:lang w:val="es-ES_tradnl" w:eastAsia="hi-IN" w:bidi="hi-IN"/>
        </w:rPr>
        <w:t>4.2.2. Artículo 94 del TOCAF y Ordenanza N° 89</w:t>
      </w:r>
    </w:p>
    <w:p w:rsidR="00153B4D" w:rsidRDefault="00153B4D" w:rsidP="004C77D8">
      <w:pPr>
        <w:suppressAutoHyphens/>
        <w:spacing w:line="360" w:lineRule="auto"/>
        <w:jc w:val="both"/>
        <w:rPr>
          <w:rFonts w:cs="Arial"/>
          <w:kern w:val="1"/>
          <w:szCs w:val="20"/>
          <w:lang w:val="es-ES_tradnl" w:eastAsia="hi-IN" w:bidi="hi-IN"/>
        </w:rPr>
      </w:pPr>
      <w:r w:rsidRPr="00245B2A">
        <w:rPr>
          <w:rFonts w:cs="Arial"/>
          <w:kern w:val="1"/>
          <w:szCs w:val="20"/>
          <w:lang w:val="es-ES_tradnl" w:eastAsia="hi-IN" w:bidi="hi-IN"/>
        </w:rPr>
        <w:t>La Intendencia deberá implementar el sistema de contabilidad patrimonial que proporcione la información prevista en el Artículo 94 del TOCAF, a efectos de cumplir con la emisión de los estados financieros patrimoniales</w:t>
      </w:r>
      <w:r>
        <w:rPr>
          <w:rFonts w:cs="Arial"/>
          <w:kern w:val="1"/>
          <w:szCs w:val="20"/>
          <w:lang w:val="es-ES_tradnl" w:eastAsia="hi-IN" w:bidi="hi-IN"/>
        </w:rPr>
        <w:t>.</w:t>
      </w:r>
    </w:p>
    <w:p w:rsidR="00153B4D" w:rsidRDefault="00153B4D" w:rsidP="004C77D8">
      <w:pPr>
        <w:autoSpaceDE w:val="0"/>
        <w:autoSpaceDN w:val="0"/>
        <w:adjustRightInd w:val="0"/>
        <w:spacing w:line="360" w:lineRule="auto"/>
        <w:jc w:val="both"/>
        <w:rPr>
          <w:b/>
          <w:bCs/>
        </w:rPr>
      </w:pPr>
      <w:r w:rsidRPr="00B71684">
        <w:rPr>
          <w:rFonts w:cs="Arial"/>
          <w:b/>
          <w:bCs/>
        </w:rPr>
        <w:t xml:space="preserve">4.2.3 </w:t>
      </w:r>
      <w:r>
        <w:rPr>
          <w:rFonts w:cs="Arial"/>
          <w:b/>
          <w:bCs/>
        </w:rPr>
        <w:t>Compendio normativo</w:t>
      </w:r>
    </w:p>
    <w:p w:rsidR="00153B4D" w:rsidRDefault="00153B4D" w:rsidP="004C77D8">
      <w:pPr>
        <w:autoSpaceDE w:val="0"/>
        <w:autoSpaceDN w:val="0"/>
        <w:adjustRightInd w:val="0"/>
        <w:spacing w:line="360" w:lineRule="auto"/>
        <w:jc w:val="both"/>
      </w:pPr>
      <w:r w:rsidRPr="00B71684">
        <w:t>No se mantiene un compendio actualizado de todas las normas tributarias aplicadas por la Intendencia</w:t>
      </w:r>
      <w:r>
        <w:t xml:space="preserve"> y de </w:t>
      </w:r>
      <w:r w:rsidRPr="00B71684">
        <w:t>las presupuestales de carácter salarial abonadas.</w:t>
      </w:r>
    </w:p>
    <w:p w:rsidR="00153B4D" w:rsidRPr="00C947F3" w:rsidRDefault="00153B4D" w:rsidP="004C77D8">
      <w:pPr>
        <w:autoSpaceDE w:val="0"/>
        <w:autoSpaceDN w:val="0"/>
        <w:adjustRightInd w:val="0"/>
        <w:spacing w:line="360" w:lineRule="auto"/>
        <w:jc w:val="both"/>
        <w:rPr>
          <w:b/>
        </w:rPr>
      </w:pPr>
      <w:r w:rsidRPr="00C947F3">
        <w:rPr>
          <w:b/>
        </w:rPr>
        <w:t>4.2.4 Manuales de procedimientos</w:t>
      </w:r>
    </w:p>
    <w:p w:rsidR="00153B4D" w:rsidRPr="00B71684" w:rsidRDefault="00153B4D" w:rsidP="004C77D8">
      <w:pPr>
        <w:autoSpaceDE w:val="0"/>
        <w:autoSpaceDN w:val="0"/>
        <w:adjustRightInd w:val="0"/>
        <w:spacing w:line="360" w:lineRule="auto"/>
        <w:jc w:val="both"/>
      </w:pPr>
      <w:r w:rsidRPr="00B71684">
        <w:t xml:space="preserve">No existen manuales de procedimientos ni protocolos </w:t>
      </w:r>
      <w:r>
        <w:t>aplicados por la Intendencia</w:t>
      </w:r>
      <w:r w:rsidRPr="00B71684">
        <w:t>.</w:t>
      </w:r>
    </w:p>
    <w:p w:rsidR="00153B4D" w:rsidRPr="00B71684" w:rsidRDefault="00153B4D" w:rsidP="004C77D8">
      <w:pPr>
        <w:autoSpaceDE w:val="0"/>
        <w:autoSpaceDN w:val="0"/>
        <w:adjustRightInd w:val="0"/>
        <w:spacing w:line="360" w:lineRule="auto"/>
        <w:jc w:val="both"/>
        <w:rPr>
          <w:rFonts w:cs="Arial"/>
          <w:b/>
          <w:bCs/>
        </w:rPr>
      </w:pPr>
      <w:r w:rsidRPr="00B71684">
        <w:rPr>
          <w:rFonts w:cs="Arial"/>
          <w:b/>
          <w:bCs/>
        </w:rPr>
        <w:t>4.2.</w:t>
      </w:r>
      <w:r>
        <w:rPr>
          <w:rFonts w:cs="Arial"/>
          <w:b/>
          <w:bCs/>
        </w:rPr>
        <w:t>5</w:t>
      </w:r>
      <w:r w:rsidRPr="00B71684">
        <w:rPr>
          <w:rFonts w:cs="Arial"/>
          <w:b/>
          <w:bCs/>
        </w:rPr>
        <w:t xml:space="preserve"> Respecto a retribuciones personales</w:t>
      </w:r>
    </w:p>
    <w:p w:rsidR="00153B4D" w:rsidRDefault="00153B4D" w:rsidP="004C77D8">
      <w:pPr>
        <w:autoSpaceDE w:val="0"/>
        <w:autoSpaceDN w:val="0"/>
        <w:adjustRightInd w:val="0"/>
        <w:spacing w:line="360" w:lineRule="auto"/>
        <w:jc w:val="both"/>
        <w:rPr>
          <w:b/>
        </w:rPr>
      </w:pPr>
      <w:r w:rsidRPr="00B71684">
        <w:t>No se solicita la presentación de la Declaración Jurada a empresas unipersonales a los efectos de verificar el cumplimiento del Artículo 32 de la Ley N° 11.923, en relación a la percepción de más de una remuneración con cargo a fondos públicos.</w:t>
      </w:r>
    </w:p>
    <w:p w:rsidR="00153B4D" w:rsidRPr="00205436" w:rsidRDefault="00153B4D" w:rsidP="004C77D8">
      <w:pPr>
        <w:spacing w:line="360" w:lineRule="auto"/>
        <w:jc w:val="both"/>
        <w:rPr>
          <w:rFonts w:cs="Arial"/>
          <w:b/>
          <w:bCs/>
        </w:rPr>
      </w:pPr>
      <w:r>
        <w:rPr>
          <w:rFonts w:cs="Arial"/>
          <w:b/>
          <w:bCs/>
        </w:rPr>
        <w:t xml:space="preserve">4.3 </w:t>
      </w:r>
      <w:r w:rsidRPr="00205436">
        <w:rPr>
          <w:rFonts w:cs="Arial"/>
          <w:b/>
          <w:bCs/>
        </w:rPr>
        <w:t>Recomen</w:t>
      </w:r>
      <w:r w:rsidR="00E87648">
        <w:rPr>
          <w:rFonts w:cs="Arial"/>
          <w:b/>
          <w:bCs/>
        </w:rPr>
        <w:t>daciones del presente ejercicio</w:t>
      </w:r>
    </w:p>
    <w:p w:rsidR="00153B4D" w:rsidRPr="00205436" w:rsidRDefault="00153B4D" w:rsidP="004C77D8">
      <w:pPr>
        <w:tabs>
          <w:tab w:val="num" w:pos="360"/>
        </w:tabs>
        <w:spacing w:line="360" w:lineRule="auto"/>
        <w:ind w:right="-2"/>
        <w:jc w:val="both"/>
        <w:rPr>
          <w:rFonts w:cs="Arial"/>
        </w:rPr>
      </w:pPr>
      <w:r w:rsidRPr="00205436">
        <w:rPr>
          <w:rFonts w:cs="Arial"/>
        </w:rPr>
        <w:t>Se reiteran las recomendaciones no cumplidas de ejercicios anteriores, a la que se agrega la siguiente:</w:t>
      </w:r>
    </w:p>
    <w:p w:rsidR="00153B4D" w:rsidRPr="006256C4" w:rsidRDefault="00153B4D" w:rsidP="004C77D8">
      <w:pPr>
        <w:spacing w:line="360" w:lineRule="auto"/>
        <w:jc w:val="both"/>
        <w:rPr>
          <w:rFonts w:cs="Arial"/>
          <w:lang w:val="es-ES_tradnl"/>
        </w:rPr>
      </w:pPr>
      <w:bookmarkStart w:id="3" w:name="_Toc84082760"/>
      <w:bookmarkStart w:id="4" w:name="_Toc84082769"/>
      <w:r>
        <w:rPr>
          <w:rFonts w:cs="Arial"/>
          <w:lang w:val="es-ES_tradnl"/>
        </w:rPr>
        <w:t>La Intendencia deberá fortalecer el sistema de Control Interno, a efectos de corregir las debilidades expuestas en este informe.</w:t>
      </w:r>
    </w:p>
    <w:p w:rsidR="00153B4D" w:rsidRDefault="00153B4D" w:rsidP="004C77D8">
      <w:pPr>
        <w:spacing w:line="360" w:lineRule="auto"/>
        <w:jc w:val="right"/>
        <w:rPr>
          <w:rFonts w:cs="Arial"/>
        </w:rPr>
      </w:pPr>
      <w:r w:rsidRPr="006256C4">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sidRPr="006256C4">
        <w:rPr>
          <w:rFonts w:cs="Arial"/>
        </w:rPr>
        <w:t xml:space="preserve">Montevideo, </w:t>
      </w:r>
      <w:r>
        <w:rPr>
          <w:rFonts w:cs="Arial"/>
        </w:rPr>
        <w:t>31</w:t>
      </w:r>
      <w:r w:rsidRPr="006256C4">
        <w:rPr>
          <w:rFonts w:cs="Arial"/>
        </w:rPr>
        <w:t xml:space="preserve"> de </w:t>
      </w:r>
      <w:r>
        <w:rPr>
          <w:rFonts w:cs="Arial"/>
        </w:rPr>
        <w:t>enero</w:t>
      </w:r>
      <w:r w:rsidRPr="006256C4">
        <w:rPr>
          <w:rFonts w:cs="Arial"/>
        </w:rPr>
        <w:t xml:space="preserve"> </w:t>
      </w:r>
      <w:r>
        <w:rPr>
          <w:rFonts w:cs="Arial"/>
        </w:rPr>
        <w:t>de 201</w:t>
      </w:r>
      <w:bookmarkEnd w:id="3"/>
      <w:bookmarkEnd w:id="4"/>
      <w:r w:rsidR="00E87648">
        <w:rPr>
          <w:rFonts w:cs="Arial"/>
        </w:rPr>
        <w:t>9</w:t>
      </w:r>
    </w:p>
    <w:p w:rsidR="00E87648" w:rsidRDefault="00E87648" w:rsidP="004C77D8">
      <w:pPr>
        <w:spacing w:line="360" w:lineRule="auto"/>
        <w:jc w:val="right"/>
        <w:rPr>
          <w:rFonts w:cs="Arial"/>
        </w:rPr>
      </w:pPr>
    </w:p>
    <w:p w:rsidR="00153B4D" w:rsidRDefault="00153B4D" w:rsidP="00A94D12">
      <w:pPr>
        <w:spacing w:line="360" w:lineRule="auto"/>
      </w:pPr>
      <w:proofErr w:type="gramStart"/>
      <w:r>
        <w:rPr>
          <w:rFonts w:cs="Arial"/>
        </w:rPr>
        <w:t>lm</w:t>
      </w:r>
      <w:proofErr w:type="gramEnd"/>
    </w:p>
    <w:sectPr w:rsidR="00153B4D" w:rsidSect="008958CF">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CF" w:rsidRDefault="008958CF">
      <w:r>
        <w:separator/>
      </w:r>
    </w:p>
  </w:endnote>
  <w:endnote w:type="continuationSeparator" w:id="0">
    <w:p w:rsidR="008958CF" w:rsidRDefault="0089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CF" w:rsidRDefault="008958CF" w:rsidP="00A94D12">
    <w:pPr>
      <w:pStyle w:val="Piedepgina"/>
    </w:pPr>
  </w:p>
  <w:p w:rsidR="008958CF" w:rsidRDefault="008958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CF" w:rsidRDefault="008958CF">
      <w:r>
        <w:separator/>
      </w:r>
    </w:p>
  </w:footnote>
  <w:footnote w:type="continuationSeparator" w:id="0">
    <w:p w:rsidR="008958CF" w:rsidRDefault="00895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748"/>
    <w:multiLevelType w:val="hybridMultilevel"/>
    <w:tmpl w:val="FA925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FC4CF3"/>
    <w:multiLevelType w:val="hybridMultilevel"/>
    <w:tmpl w:val="A8B82E3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14C27C03"/>
    <w:multiLevelType w:val="hybridMultilevel"/>
    <w:tmpl w:val="9050B0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A137673"/>
    <w:multiLevelType w:val="hybridMultilevel"/>
    <w:tmpl w:val="8EC80856"/>
    <w:lvl w:ilvl="0" w:tplc="749ACFD4">
      <w:start w:val="1"/>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5">
    <w:nsid w:val="36324CC0"/>
    <w:multiLevelType w:val="hybridMultilevel"/>
    <w:tmpl w:val="5E8A3E66"/>
    <w:lvl w:ilvl="0" w:tplc="749ACFD4">
      <w:start w:val="1"/>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5BD66F5B"/>
    <w:multiLevelType w:val="hybridMultilevel"/>
    <w:tmpl w:val="974E01F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96"/>
    <w:rsid w:val="00024A16"/>
    <w:rsid w:val="000A6165"/>
    <w:rsid w:val="00124969"/>
    <w:rsid w:val="00153B4D"/>
    <w:rsid w:val="001B0923"/>
    <w:rsid w:val="001E7DF0"/>
    <w:rsid w:val="00222581"/>
    <w:rsid w:val="00244B05"/>
    <w:rsid w:val="00245B2A"/>
    <w:rsid w:val="002745DC"/>
    <w:rsid w:val="002C65BC"/>
    <w:rsid w:val="002C7258"/>
    <w:rsid w:val="00352DC0"/>
    <w:rsid w:val="00386860"/>
    <w:rsid w:val="003A0321"/>
    <w:rsid w:val="003A417B"/>
    <w:rsid w:val="003D444B"/>
    <w:rsid w:val="00411D5D"/>
    <w:rsid w:val="00430558"/>
    <w:rsid w:val="004C2F42"/>
    <w:rsid w:val="004D1B5F"/>
    <w:rsid w:val="004E3F96"/>
    <w:rsid w:val="004F4DBE"/>
    <w:rsid w:val="00531E2C"/>
    <w:rsid w:val="005728BC"/>
    <w:rsid w:val="005936A5"/>
    <w:rsid w:val="007007B7"/>
    <w:rsid w:val="007B7DE7"/>
    <w:rsid w:val="007D2D43"/>
    <w:rsid w:val="00817FC9"/>
    <w:rsid w:val="008918CB"/>
    <w:rsid w:val="00893C01"/>
    <w:rsid w:val="008958CF"/>
    <w:rsid w:val="008B2700"/>
    <w:rsid w:val="008C6027"/>
    <w:rsid w:val="009404B9"/>
    <w:rsid w:val="0095510A"/>
    <w:rsid w:val="00A30208"/>
    <w:rsid w:val="00A32124"/>
    <w:rsid w:val="00A562E8"/>
    <w:rsid w:val="00A94D12"/>
    <w:rsid w:val="00AE5774"/>
    <w:rsid w:val="00B20375"/>
    <w:rsid w:val="00B53857"/>
    <w:rsid w:val="00B6060B"/>
    <w:rsid w:val="00B655B6"/>
    <w:rsid w:val="00B71684"/>
    <w:rsid w:val="00C07760"/>
    <w:rsid w:val="00C901C4"/>
    <w:rsid w:val="00CA56BA"/>
    <w:rsid w:val="00D34C1C"/>
    <w:rsid w:val="00D36082"/>
    <w:rsid w:val="00DB3E98"/>
    <w:rsid w:val="00E2622A"/>
    <w:rsid w:val="00E340BF"/>
    <w:rsid w:val="00E44B79"/>
    <w:rsid w:val="00E87648"/>
    <w:rsid w:val="00EA55A4"/>
    <w:rsid w:val="00EE124D"/>
    <w:rsid w:val="00F30E8E"/>
    <w:rsid w:val="00F44B92"/>
    <w:rsid w:val="00F566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7B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7007B7"/>
    <w:pPr>
      <w:keepNext/>
      <w:widowControl w:val="0"/>
      <w:spacing w:line="360" w:lineRule="auto"/>
      <w:jc w:val="center"/>
      <w:outlineLvl w:val="0"/>
    </w:pPr>
    <w:rPr>
      <w:rFonts w:cs="Arial"/>
      <w:b/>
      <w:bCs/>
      <w:snapToGrid w:val="0"/>
      <w:szCs w:val="20"/>
    </w:rPr>
  </w:style>
  <w:style w:type="paragraph" w:styleId="Ttulo2">
    <w:name w:val="heading 2"/>
    <w:basedOn w:val="Normal"/>
    <w:next w:val="Normal"/>
    <w:link w:val="Ttulo2Car"/>
    <w:uiPriority w:val="9"/>
    <w:semiHidden/>
    <w:unhideWhenUsed/>
    <w:qFormat/>
    <w:rsid w:val="007007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7007B7"/>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07B7"/>
    <w:rPr>
      <w:rFonts w:ascii="Arial" w:eastAsia="Times New Roman" w:hAnsi="Arial" w:cs="Arial"/>
      <w:b/>
      <w:bCs/>
      <w:snapToGrid w:val="0"/>
      <w:sz w:val="24"/>
      <w:szCs w:val="20"/>
      <w:lang w:val="es-ES" w:eastAsia="es-ES"/>
    </w:rPr>
  </w:style>
  <w:style w:type="paragraph" w:styleId="Subttulo">
    <w:name w:val="Subtitle"/>
    <w:basedOn w:val="Normal"/>
    <w:link w:val="SubttuloCar"/>
    <w:qFormat/>
    <w:rsid w:val="007007B7"/>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7007B7"/>
    <w:rPr>
      <w:rFonts w:ascii="Bookman Old Style" w:eastAsia="Times New Roman" w:hAnsi="Bookman Old Style" w:cs="Times New Roman"/>
      <w:b/>
      <w:kern w:val="18"/>
      <w:sz w:val="24"/>
      <w:szCs w:val="20"/>
      <w:lang w:val="es-ES" w:eastAsia="es-ES"/>
    </w:rPr>
  </w:style>
  <w:style w:type="paragraph" w:styleId="Piedepgina">
    <w:name w:val="footer"/>
    <w:basedOn w:val="Normal"/>
    <w:link w:val="PiedepginaCar"/>
    <w:uiPriority w:val="99"/>
    <w:rsid w:val="007007B7"/>
    <w:pPr>
      <w:tabs>
        <w:tab w:val="center" w:pos="4419"/>
        <w:tab w:val="right" w:pos="8838"/>
      </w:tabs>
      <w:spacing w:line="360" w:lineRule="auto"/>
      <w:jc w:val="both"/>
    </w:pPr>
    <w:rPr>
      <w:kern w:val="18"/>
      <w:szCs w:val="20"/>
      <w:lang w:val="es-ES_tradnl"/>
    </w:rPr>
  </w:style>
  <w:style w:type="character" w:customStyle="1" w:styleId="PiedepginaCar">
    <w:name w:val="Pie de página Car"/>
    <w:basedOn w:val="Fuentedeprrafopredeter"/>
    <w:link w:val="Piedepgina"/>
    <w:uiPriority w:val="99"/>
    <w:rsid w:val="007007B7"/>
    <w:rPr>
      <w:rFonts w:ascii="Arial" w:eastAsia="Times New Roman" w:hAnsi="Arial" w:cs="Times New Roman"/>
      <w:kern w:val="18"/>
      <w:sz w:val="24"/>
      <w:szCs w:val="20"/>
      <w:lang w:val="es-ES_tradnl" w:eastAsia="es-ES"/>
    </w:rPr>
  </w:style>
  <w:style w:type="paragraph" w:styleId="Encabezado">
    <w:name w:val="header"/>
    <w:basedOn w:val="Normal"/>
    <w:link w:val="EncabezadoCar"/>
    <w:semiHidden/>
    <w:rsid w:val="007007B7"/>
    <w:pPr>
      <w:tabs>
        <w:tab w:val="center" w:pos="4252"/>
        <w:tab w:val="right" w:pos="8504"/>
      </w:tabs>
    </w:pPr>
  </w:style>
  <w:style w:type="character" w:customStyle="1" w:styleId="EncabezadoCar">
    <w:name w:val="Encabezado Car"/>
    <w:basedOn w:val="Fuentedeprrafopredeter"/>
    <w:link w:val="Encabezado"/>
    <w:semiHidden/>
    <w:rsid w:val="007007B7"/>
    <w:rPr>
      <w:rFonts w:ascii="Arial" w:eastAsia="Times New Roman" w:hAnsi="Arial" w:cs="Times New Roman"/>
      <w:sz w:val="24"/>
      <w:szCs w:val="24"/>
      <w:lang w:val="es-ES" w:eastAsia="es-ES"/>
    </w:rPr>
  </w:style>
  <w:style w:type="paragraph" w:styleId="Prrafodelista">
    <w:name w:val="List Paragraph"/>
    <w:basedOn w:val="Normal"/>
    <w:uiPriority w:val="34"/>
    <w:qFormat/>
    <w:rsid w:val="007007B7"/>
    <w:pPr>
      <w:suppressAutoHyphens/>
      <w:ind w:left="720"/>
      <w:contextualSpacing/>
    </w:pPr>
    <w:rPr>
      <w:rFonts w:cs="Arial"/>
      <w:lang w:eastAsia="zh-CN"/>
    </w:rPr>
  </w:style>
  <w:style w:type="paragraph" w:styleId="Sangradetextonormal">
    <w:name w:val="Body Text Indent"/>
    <w:basedOn w:val="Normal"/>
    <w:link w:val="SangradetextonormalCar"/>
    <w:rsid w:val="007007B7"/>
    <w:pPr>
      <w:suppressAutoHyphens/>
      <w:spacing w:after="120" w:line="276" w:lineRule="auto"/>
      <w:ind w:left="283"/>
    </w:pPr>
    <w:rPr>
      <w:rFonts w:ascii="Calibri" w:hAnsi="Calibri" w:cs="Calibri"/>
      <w:sz w:val="22"/>
      <w:szCs w:val="22"/>
      <w:lang w:val="es-UY" w:eastAsia="ar-SA"/>
    </w:rPr>
  </w:style>
  <w:style w:type="character" w:customStyle="1" w:styleId="SangradetextonormalCar">
    <w:name w:val="Sangría de texto normal Car"/>
    <w:basedOn w:val="Fuentedeprrafopredeter"/>
    <w:link w:val="Sangradetextonormal"/>
    <w:rsid w:val="007007B7"/>
    <w:rPr>
      <w:rFonts w:ascii="Calibri" w:eastAsia="Times New Roman" w:hAnsi="Calibri" w:cs="Calibri"/>
      <w:lang w:eastAsia="ar-SA"/>
    </w:rPr>
  </w:style>
  <w:style w:type="character" w:customStyle="1" w:styleId="Ttulo2Car">
    <w:name w:val="Título 2 Car"/>
    <w:basedOn w:val="Fuentedeprrafopredeter"/>
    <w:link w:val="Ttulo2"/>
    <w:uiPriority w:val="9"/>
    <w:semiHidden/>
    <w:rsid w:val="007007B7"/>
    <w:rPr>
      <w:rFonts w:asciiTheme="majorHAnsi" w:eastAsiaTheme="majorEastAsia" w:hAnsiTheme="majorHAnsi" w:cstheme="majorBidi"/>
      <w:b/>
      <w:bCs/>
      <w:color w:val="4F81BD" w:themeColor="accent1"/>
      <w:sz w:val="26"/>
      <w:szCs w:val="26"/>
      <w:lang w:val="es-ES" w:eastAsia="es-ES"/>
    </w:rPr>
  </w:style>
  <w:style w:type="paragraph" w:styleId="Textoindependiente">
    <w:name w:val="Body Text"/>
    <w:basedOn w:val="Normal"/>
    <w:link w:val="TextoindependienteCar"/>
    <w:uiPriority w:val="99"/>
    <w:unhideWhenUsed/>
    <w:rsid w:val="007007B7"/>
    <w:pPr>
      <w:spacing w:after="120"/>
    </w:pPr>
  </w:style>
  <w:style w:type="character" w:customStyle="1" w:styleId="TextoindependienteCar">
    <w:name w:val="Texto independiente Car"/>
    <w:basedOn w:val="Fuentedeprrafopredeter"/>
    <w:link w:val="Textoindependiente"/>
    <w:uiPriority w:val="99"/>
    <w:rsid w:val="007007B7"/>
    <w:rPr>
      <w:rFonts w:ascii="Arial" w:eastAsia="Times New Roman" w:hAnsi="Arial" w:cs="Times New Roman"/>
      <w:sz w:val="24"/>
      <w:szCs w:val="24"/>
      <w:lang w:val="es-ES" w:eastAsia="es-ES"/>
    </w:rPr>
  </w:style>
  <w:style w:type="paragraph" w:styleId="Textoindependiente2">
    <w:name w:val="Body Text 2"/>
    <w:basedOn w:val="Normal"/>
    <w:link w:val="Textoindependiente2Car"/>
    <w:uiPriority w:val="99"/>
    <w:semiHidden/>
    <w:unhideWhenUsed/>
    <w:rsid w:val="007007B7"/>
    <w:pPr>
      <w:spacing w:after="120" w:line="480" w:lineRule="auto"/>
    </w:pPr>
  </w:style>
  <w:style w:type="character" w:customStyle="1" w:styleId="Textoindependiente2Car">
    <w:name w:val="Texto independiente 2 Car"/>
    <w:basedOn w:val="Fuentedeprrafopredeter"/>
    <w:link w:val="Textoindependiente2"/>
    <w:uiPriority w:val="99"/>
    <w:semiHidden/>
    <w:rsid w:val="007007B7"/>
    <w:rPr>
      <w:rFonts w:ascii="Arial" w:eastAsia="Times New Roman" w:hAnsi="Arial" w:cs="Times New Roman"/>
      <w:sz w:val="24"/>
      <w:szCs w:val="24"/>
      <w:lang w:val="es-ES" w:eastAsia="es-ES"/>
    </w:rPr>
  </w:style>
  <w:style w:type="character" w:customStyle="1" w:styleId="Ttulo3Car">
    <w:name w:val="Título 3 Car"/>
    <w:basedOn w:val="Fuentedeprrafopredeter"/>
    <w:link w:val="Ttulo3"/>
    <w:rsid w:val="007007B7"/>
    <w:rPr>
      <w:rFonts w:ascii="Arial" w:eastAsia="Times New Roman" w:hAnsi="Arial" w:cs="Arial"/>
      <w:b/>
      <w:bCs/>
      <w:sz w:val="26"/>
      <w:szCs w:val="26"/>
      <w:lang w:val="es-ES" w:eastAsia="es-ES"/>
    </w:rPr>
  </w:style>
  <w:style w:type="paragraph" w:customStyle="1" w:styleId="Textbody">
    <w:name w:val="Text body"/>
    <w:basedOn w:val="Normal"/>
    <w:rsid w:val="007007B7"/>
    <w:pPr>
      <w:suppressAutoHyphens/>
      <w:spacing w:after="120"/>
      <w:textAlignment w:val="baseline"/>
    </w:pPr>
    <w:rPr>
      <w:kern w:val="1"/>
      <w:sz w:val="20"/>
      <w:szCs w:val="20"/>
      <w:lang w:eastAsia="ar-SA"/>
    </w:rPr>
  </w:style>
  <w:style w:type="paragraph" w:customStyle="1" w:styleId="Textoindependiente21">
    <w:name w:val="Texto independiente 21"/>
    <w:basedOn w:val="Normal"/>
    <w:rsid w:val="007007B7"/>
    <w:pPr>
      <w:suppressAutoHyphens/>
      <w:spacing w:after="120" w:line="480" w:lineRule="auto"/>
      <w:jc w:val="both"/>
    </w:pPr>
    <w:rPr>
      <w:rFonts w:cs="Calibri"/>
      <w:szCs w:val="22"/>
      <w:lang w:val="es-UY"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7B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7007B7"/>
    <w:pPr>
      <w:keepNext/>
      <w:widowControl w:val="0"/>
      <w:spacing w:line="360" w:lineRule="auto"/>
      <w:jc w:val="center"/>
      <w:outlineLvl w:val="0"/>
    </w:pPr>
    <w:rPr>
      <w:rFonts w:cs="Arial"/>
      <w:b/>
      <w:bCs/>
      <w:snapToGrid w:val="0"/>
      <w:szCs w:val="20"/>
    </w:rPr>
  </w:style>
  <w:style w:type="paragraph" w:styleId="Ttulo2">
    <w:name w:val="heading 2"/>
    <w:basedOn w:val="Normal"/>
    <w:next w:val="Normal"/>
    <w:link w:val="Ttulo2Car"/>
    <w:uiPriority w:val="9"/>
    <w:semiHidden/>
    <w:unhideWhenUsed/>
    <w:qFormat/>
    <w:rsid w:val="007007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7007B7"/>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07B7"/>
    <w:rPr>
      <w:rFonts w:ascii="Arial" w:eastAsia="Times New Roman" w:hAnsi="Arial" w:cs="Arial"/>
      <w:b/>
      <w:bCs/>
      <w:snapToGrid w:val="0"/>
      <w:sz w:val="24"/>
      <w:szCs w:val="20"/>
      <w:lang w:val="es-ES" w:eastAsia="es-ES"/>
    </w:rPr>
  </w:style>
  <w:style w:type="paragraph" w:styleId="Subttulo">
    <w:name w:val="Subtitle"/>
    <w:basedOn w:val="Normal"/>
    <w:link w:val="SubttuloCar"/>
    <w:qFormat/>
    <w:rsid w:val="007007B7"/>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7007B7"/>
    <w:rPr>
      <w:rFonts w:ascii="Bookman Old Style" w:eastAsia="Times New Roman" w:hAnsi="Bookman Old Style" w:cs="Times New Roman"/>
      <w:b/>
      <w:kern w:val="18"/>
      <w:sz w:val="24"/>
      <w:szCs w:val="20"/>
      <w:lang w:val="es-ES" w:eastAsia="es-ES"/>
    </w:rPr>
  </w:style>
  <w:style w:type="paragraph" w:styleId="Piedepgina">
    <w:name w:val="footer"/>
    <w:basedOn w:val="Normal"/>
    <w:link w:val="PiedepginaCar"/>
    <w:uiPriority w:val="99"/>
    <w:rsid w:val="007007B7"/>
    <w:pPr>
      <w:tabs>
        <w:tab w:val="center" w:pos="4419"/>
        <w:tab w:val="right" w:pos="8838"/>
      </w:tabs>
      <w:spacing w:line="360" w:lineRule="auto"/>
      <w:jc w:val="both"/>
    </w:pPr>
    <w:rPr>
      <w:kern w:val="18"/>
      <w:szCs w:val="20"/>
      <w:lang w:val="es-ES_tradnl"/>
    </w:rPr>
  </w:style>
  <w:style w:type="character" w:customStyle="1" w:styleId="PiedepginaCar">
    <w:name w:val="Pie de página Car"/>
    <w:basedOn w:val="Fuentedeprrafopredeter"/>
    <w:link w:val="Piedepgina"/>
    <w:uiPriority w:val="99"/>
    <w:rsid w:val="007007B7"/>
    <w:rPr>
      <w:rFonts w:ascii="Arial" w:eastAsia="Times New Roman" w:hAnsi="Arial" w:cs="Times New Roman"/>
      <w:kern w:val="18"/>
      <w:sz w:val="24"/>
      <w:szCs w:val="20"/>
      <w:lang w:val="es-ES_tradnl" w:eastAsia="es-ES"/>
    </w:rPr>
  </w:style>
  <w:style w:type="paragraph" w:styleId="Encabezado">
    <w:name w:val="header"/>
    <w:basedOn w:val="Normal"/>
    <w:link w:val="EncabezadoCar"/>
    <w:semiHidden/>
    <w:rsid w:val="007007B7"/>
    <w:pPr>
      <w:tabs>
        <w:tab w:val="center" w:pos="4252"/>
        <w:tab w:val="right" w:pos="8504"/>
      </w:tabs>
    </w:pPr>
  </w:style>
  <w:style w:type="character" w:customStyle="1" w:styleId="EncabezadoCar">
    <w:name w:val="Encabezado Car"/>
    <w:basedOn w:val="Fuentedeprrafopredeter"/>
    <w:link w:val="Encabezado"/>
    <w:semiHidden/>
    <w:rsid w:val="007007B7"/>
    <w:rPr>
      <w:rFonts w:ascii="Arial" w:eastAsia="Times New Roman" w:hAnsi="Arial" w:cs="Times New Roman"/>
      <w:sz w:val="24"/>
      <w:szCs w:val="24"/>
      <w:lang w:val="es-ES" w:eastAsia="es-ES"/>
    </w:rPr>
  </w:style>
  <w:style w:type="paragraph" w:styleId="Prrafodelista">
    <w:name w:val="List Paragraph"/>
    <w:basedOn w:val="Normal"/>
    <w:uiPriority w:val="34"/>
    <w:qFormat/>
    <w:rsid w:val="007007B7"/>
    <w:pPr>
      <w:suppressAutoHyphens/>
      <w:ind w:left="720"/>
      <w:contextualSpacing/>
    </w:pPr>
    <w:rPr>
      <w:rFonts w:cs="Arial"/>
      <w:lang w:eastAsia="zh-CN"/>
    </w:rPr>
  </w:style>
  <w:style w:type="paragraph" w:styleId="Sangradetextonormal">
    <w:name w:val="Body Text Indent"/>
    <w:basedOn w:val="Normal"/>
    <w:link w:val="SangradetextonormalCar"/>
    <w:rsid w:val="007007B7"/>
    <w:pPr>
      <w:suppressAutoHyphens/>
      <w:spacing w:after="120" w:line="276" w:lineRule="auto"/>
      <w:ind w:left="283"/>
    </w:pPr>
    <w:rPr>
      <w:rFonts w:ascii="Calibri" w:hAnsi="Calibri" w:cs="Calibri"/>
      <w:sz w:val="22"/>
      <w:szCs w:val="22"/>
      <w:lang w:val="es-UY" w:eastAsia="ar-SA"/>
    </w:rPr>
  </w:style>
  <w:style w:type="character" w:customStyle="1" w:styleId="SangradetextonormalCar">
    <w:name w:val="Sangría de texto normal Car"/>
    <w:basedOn w:val="Fuentedeprrafopredeter"/>
    <w:link w:val="Sangradetextonormal"/>
    <w:rsid w:val="007007B7"/>
    <w:rPr>
      <w:rFonts w:ascii="Calibri" w:eastAsia="Times New Roman" w:hAnsi="Calibri" w:cs="Calibri"/>
      <w:lang w:eastAsia="ar-SA"/>
    </w:rPr>
  </w:style>
  <w:style w:type="character" w:customStyle="1" w:styleId="Ttulo2Car">
    <w:name w:val="Título 2 Car"/>
    <w:basedOn w:val="Fuentedeprrafopredeter"/>
    <w:link w:val="Ttulo2"/>
    <w:uiPriority w:val="9"/>
    <w:semiHidden/>
    <w:rsid w:val="007007B7"/>
    <w:rPr>
      <w:rFonts w:asciiTheme="majorHAnsi" w:eastAsiaTheme="majorEastAsia" w:hAnsiTheme="majorHAnsi" w:cstheme="majorBidi"/>
      <w:b/>
      <w:bCs/>
      <w:color w:val="4F81BD" w:themeColor="accent1"/>
      <w:sz w:val="26"/>
      <w:szCs w:val="26"/>
      <w:lang w:val="es-ES" w:eastAsia="es-ES"/>
    </w:rPr>
  </w:style>
  <w:style w:type="paragraph" w:styleId="Textoindependiente">
    <w:name w:val="Body Text"/>
    <w:basedOn w:val="Normal"/>
    <w:link w:val="TextoindependienteCar"/>
    <w:uiPriority w:val="99"/>
    <w:unhideWhenUsed/>
    <w:rsid w:val="007007B7"/>
    <w:pPr>
      <w:spacing w:after="120"/>
    </w:pPr>
  </w:style>
  <w:style w:type="character" w:customStyle="1" w:styleId="TextoindependienteCar">
    <w:name w:val="Texto independiente Car"/>
    <w:basedOn w:val="Fuentedeprrafopredeter"/>
    <w:link w:val="Textoindependiente"/>
    <w:uiPriority w:val="99"/>
    <w:rsid w:val="007007B7"/>
    <w:rPr>
      <w:rFonts w:ascii="Arial" w:eastAsia="Times New Roman" w:hAnsi="Arial" w:cs="Times New Roman"/>
      <w:sz w:val="24"/>
      <w:szCs w:val="24"/>
      <w:lang w:val="es-ES" w:eastAsia="es-ES"/>
    </w:rPr>
  </w:style>
  <w:style w:type="paragraph" w:styleId="Textoindependiente2">
    <w:name w:val="Body Text 2"/>
    <w:basedOn w:val="Normal"/>
    <w:link w:val="Textoindependiente2Car"/>
    <w:uiPriority w:val="99"/>
    <w:semiHidden/>
    <w:unhideWhenUsed/>
    <w:rsid w:val="007007B7"/>
    <w:pPr>
      <w:spacing w:after="120" w:line="480" w:lineRule="auto"/>
    </w:pPr>
  </w:style>
  <w:style w:type="character" w:customStyle="1" w:styleId="Textoindependiente2Car">
    <w:name w:val="Texto independiente 2 Car"/>
    <w:basedOn w:val="Fuentedeprrafopredeter"/>
    <w:link w:val="Textoindependiente2"/>
    <w:uiPriority w:val="99"/>
    <w:semiHidden/>
    <w:rsid w:val="007007B7"/>
    <w:rPr>
      <w:rFonts w:ascii="Arial" w:eastAsia="Times New Roman" w:hAnsi="Arial" w:cs="Times New Roman"/>
      <w:sz w:val="24"/>
      <w:szCs w:val="24"/>
      <w:lang w:val="es-ES" w:eastAsia="es-ES"/>
    </w:rPr>
  </w:style>
  <w:style w:type="character" w:customStyle="1" w:styleId="Ttulo3Car">
    <w:name w:val="Título 3 Car"/>
    <w:basedOn w:val="Fuentedeprrafopredeter"/>
    <w:link w:val="Ttulo3"/>
    <w:rsid w:val="007007B7"/>
    <w:rPr>
      <w:rFonts w:ascii="Arial" w:eastAsia="Times New Roman" w:hAnsi="Arial" w:cs="Arial"/>
      <w:b/>
      <w:bCs/>
      <w:sz w:val="26"/>
      <w:szCs w:val="26"/>
      <w:lang w:val="es-ES" w:eastAsia="es-ES"/>
    </w:rPr>
  </w:style>
  <w:style w:type="paragraph" w:customStyle="1" w:styleId="Textbody">
    <w:name w:val="Text body"/>
    <w:basedOn w:val="Normal"/>
    <w:rsid w:val="007007B7"/>
    <w:pPr>
      <w:suppressAutoHyphens/>
      <w:spacing w:after="120"/>
      <w:textAlignment w:val="baseline"/>
    </w:pPr>
    <w:rPr>
      <w:kern w:val="1"/>
      <w:sz w:val="20"/>
      <w:szCs w:val="20"/>
      <w:lang w:eastAsia="ar-SA"/>
    </w:rPr>
  </w:style>
  <w:style w:type="paragraph" w:customStyle="1" w:styleId="Textoindependiente21">
    <w:name w:val="Texto independiente 21"/>
    <w:basedOn w:val="Normal"/>
    <w:rsid w:val="007007B7"/>
    <w:pPr>
      <w:suppressAutoHyphens/>
      <w:spacing w:after="120" w:line="480" w:lineRule="auto"/>
      <w:jc w:val="both"/>
    </w:pPr>
    <w:rPr>
      <w:rFonts w:cs="Calibri"/>
      <w:szCs w:val="22"/>
      <w:lang w:val="es-UY"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60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2059</Words>
  <Characters>11328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Patricio Young</dc:creator>
  <cp:lastModifiedBy>Tribunal1</cp:lastModifiedBy>
  <cp:revision>7</cp:revision>
  <dcterms:created xsi:type="dcterms:W3CDTF">2019-02-14T14:17:00Z</dcterms:created>
  <dcterms:modified xsi:type="dcterms:W3CDTF">2019-03-11T19:21:00Z</dcterms:modified>
</cp:coreProperties>
</file>