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7E" w:rsidRPr="00463B7E" w:rsidRDefault="00463B7E" w:rsidP="00463B7E">
      <w:pPr>
        <w:tabs>
          <w:tab w:val="center" w:pos="4253"/>
        </w:tabs>
        <w:suppressAutoHyphens/>
        <w:jc w:val="right"/>
        <w:rPr>
          <w:rFonts w:cs="Arial"/>
          <w:b/>
          <w:sz w:val="28"/>
          <w:szCs w:val="28"/>
          <w:lang w:val="es-ES_tradnl"/>
        </w:rPr>
      </w:pPr>
      <w:bookmarkStart w:id="0" w:name="_GoBack"/>
      <w:bookmarkEnd w:id="0"/>
      <w:r w:rsidRPr="00463B7E">
        <w:rPr>
          <w:rFonts w:cs="Arial"/>
          <w:b/>
          <w:sz w:val="28"/>
          <w:szCs w:val="28"/>
          <w:lang w:val="es-ES_tradnl"/>
        </w:rPr>
        <w:t xml:space="preserve">RES. </w:t>
      </w:r>
      <w:r>
        <w:rPr>
          <w:rFonts w:cs="Arial"/>
          <w:b/>
          <w:sz w:val="28"/>
          <w:szCs w:val="28"/>
          <w:lang w:val="es-ES_tradnl"/>
        </w:rPr>
        <w:t>424/</w:t>
      </w:r>
      <w:r w:rsidRPr="00463B7E">
        <w:rPr>
          <w:rFonts w:cs="Arial"/>
          <w:b/>
          <w:sz w:val="28"/>
          <w:szCs w:val="28"/>
          <w:lang w:val="es-ES_tradnl"/>
        </w:rPr>
        <w:t>19</w:t>
      </w:r>
    </w:p>
    <w:p w:rsidR="00463B7E" w:rsidRPr="00463B7E" w:rsidRDefault="00463B7E" w:rsidP="00463B7E">
      <w:pPr>
        <w:tabs>
          <w:tab w:val="center" w:pos="4253"/>
        </w:tabs>
        <w:suppressAutoHyphens/>
        <w:jc w:val="right"/>
        <w:rPr>
          <w:rFonts w:cs="Arial"/>
          <w:b/>
          <w:lang w:val="es-ES_tradnl"/>
        </w:rPr>
      </w:pPr>
    </w:p>
    <w:p w:rsidR="00463B7E" w:rsidRPr="00463B7E" w:rsidRDefault="00463B7E" w:rsidP="00463B7E">
      <w:pPr>
        <w:tabs>
          <w:tab w:val="center" w:pos="4253"/>
        </w:tabs>
        <w:suppressAutoHyphens/>
        <w:jc w:val="center"/>
        <w:rPr>
          <w:rFonts w:cs="Arial"/>
          <w:b/>
          <w:lang w:val="es-ES_tradnl"/>
        </w:rPr>
      </w:pPr>
      <w:r w:rsidRPr="00463B7E">
        <w:rPr>
          <w:rFonts w:cs="Arial"/>
          <w:b/>
          <w:lang w:val="es-ES_tradnl"/>
        </w:rPr>
        <w:t>RESOLUCION ADOPTADA POR EL</w:t>
      </w:r>
    </w:p>
    <w:p w:rsidR="00463B7E" w:rsidRPr="00463B7E" w:rsidRDefault="00463B7E" w:rsidP="00463B7E">
      <w:pPr>
        <w:tabs>
          <w:tab w:val="left" w:pos="-720"/>
        </w:tabs>
        <w:suppressAutoHyphens/>
        <w:jc w:val="center"/>
        <w:rPr>
          <w:rFonts w:cs="Arial"/>
          <w:b/>
          <w:lang w:val="es-ES_tradnl"/>
        </w:rPr>
      </w:pPr>
    </w:p>
    <w:p w:rsidR="00463B7E" w:rsidRPr="00463B7E" w:rsidRDefault="00463B7E" w:rsidP="00463B7E">
      <w:pPr>
        <w:tabs>
          <w:tab w:val="center" w:pos="4253"/>
        </w:tabs>
        <w:suppressAutoHyphens/>
        <w:jc w:val="center"/>
        <w:rPr>
          <w:rFonts w:cs="Arial"/>
          <w:b/>
          <w:lang w:val="es-ES_tradnl"/>
        </w:rPr>
      </w:pPr>
      <w:r w:rsidRPr="00463B7E">
        <w:rPr>
          <w:rFonts w:cs="Arial"/>
          <w:b/>
          <w:lang w:val="es-ES_tradnl"/>
        </w:rPr>
        <w:t>TRIBUNAL DE CUENTAS</w:t>
      </w:r>
    </w:p>
    <w:p w:rsidR="00463B7E" w:rsidRPr="00463B7E" w:rsidRDefault="00463B7E" w:rsidP="00463B7E">
      <w:pPr>
        <w:tabs>
          <w:tab w:val="left" w:pos="-720"/>
        </w:tabs>
        <w:suppressAutoHyphens/>
        <w:jc w:val="center"/>
        <w:rPr>
          <w:rFonts w:cs="Arial"/>
          <w:b/>
          <w:lang w:val="es-ES_tradnl"/>
        </w:rPr>
      </w:pPr>
    </w:p>
    <w:p w:rsidR="00463B7E" w:rsidRPr="00463B7E" w:rsidRDefault="00463B7E" w:rsidP="00463B7E">
      <w:pPr>
        <w:tabs>
          <w:tab w:val="center" w:pos="4253"/>
        </w:tabs>
        <w:suppressAutoHyphens/>
        <w:jc w:val="center"/>
        <w:rPr>
          <w:rFonts w:cs="Arial"/>
          <w:b/>
          <w:lang w:val="es-ES_tradnl"/>
        </w:rPr>
      </w:pPr>
      <w:r w:rsidRPr="00463B7E">
        <w:rPr>
          <w:rFonts w:cs="Arial"/>
          <w:b/>
          <w:lang w:val="es-ES_tradnl"/>
        </w:rPr>
        <w:t>EN SESION DE FECHA 13 DE FEBRERO DE 2019</w:t>
      </w:r>
    </w:p>
    <w:p w:rsidR="00463B7E" w:rsidRPr="00463B7E" w:rsidRDefault="00463B7E" w:rsidP="00463B7E">
      <w:pPr>
        <w:tabs>
          <w:tab w:val="center" w:pos="4253"/>
        </w:tabs>
        <w:suppressAutoHyphens/>
        <w:jc w:val="center"/>
        <w:rPr>
          <w:rFonts w:cs="Arial"/>
          <w:b/>
          <w:lang w:val="es-ES_tradnl"/>
        </w:rPr>
      </w:pPr>
    </w:p>
    <w:p w:rsidR="00463B7E" w:rsidRPr="00463B7E" w:rsidRDefault="00463B7E" w:rsidP="00463B7E">
      <w:pPr>
        <w:tabs>
          <w:tab w:val="center" w:pos="4253"/>
        </w:tabs>
        <w:suppressAutoHyphens/>
        <w:jc w:val="center"/>
        <w:rPr>
          <w:rFonts w:cs="Arial"/>
          <w:b/>
          <w:lang w:val="es-UY"/>
        </w:rPr>
      </w:pPr>
      <w:r w:rsidRPr="00463B7E">
        <w:rPr>
          <w:rFonts w:cs="Arial"/>
          <w:b/>
          <w:lang w:val="es-UY"/>
        </w:rPr>
        <w:t>(E. E. Nº 201</w:t>
      </w:r>
      <w:r w:rsidR="00A109A2">
        <w:rPr>
          <w:rFonts w:cs="Arial"/>
          <w:b/>
          <w:lang w:val="es-UY"/>
        </w:rPr>
        <w:t>8</w:t>
      </w:r>
      <w:r w:rsidRPr="00463B7E">
        <w:rPr>
          <w:rFonts w:cs="Arial"/>
          <w:b/>
          <w:lang w:val="es-UY"/>
        </w:rPr>
        <w:t>-17-1-000</w:t>
      </w:r>
      <w:r w:rsidR="00A109A2">
        <w:rPr>
          <w:rFonts w:cs="Arial"/>
          <w:b/>
          <w:lang w:val="es-UY"/>
        </w:rPr>
        <w:t>4450</w:t>
      </w:r>
      <w:r w:rsidRPr="00463B7E">
        <w:rPr>
          <w:rFonts w:cs="Arial"/>
          <w:b/>
          <w:lang w:val="es-UY"/>
        </w:rPr>
        <w:t xml:space="preserve">, </w:t>
      </w:r>
      <w:proofErr w:type="spellStart"/>
      <w:r w:rsidRPr="00463B7E">
        <w:rPr>
          <w:rFonts w:cs="Arial"/>
          <w:b/>
          <w:lang w:val="es-UY"/>
        </w:rPr>
        <w:t>Ent</w:t>
      </w:r>
      <w:proofErr w:type="spellEnd"/>
      <w:r w:rsidRPr="00463B7E">
        <w:rPr>
          <w:rFonts w:cs="Arial"/>
          <w:b/>
          <w:lang w:val="es-UY"/>
        </w:rPr>
        <w:t xml:space="preserve">. </w:t>
      </w:r>
      <w:proofErr w:type="spellStart"/>
      <w:r w:rsidRPr="00463B7E">
        <w:rPr>
          <w:rFonts w:cs="Arial"/>
          <w:b/>
          <w:lang w:val="es-UY"/>
        </w:rPr>
        <w:t>N°</w:t>
      </w:r>
      <w:r w:rsidR="006B149B" w:rsidRPr="006B149B">
        <w:rPr>
          <w:rFonts w:cs="Arial"/>
          <w:b/>
          <w:vertAlign w:val="superscript"/>
          <w:lang w:val="es-UY"/>
        </w:rPr>
        <w:t>s</w:t>
      </w:r>
      <w:proofErr w:type="spellEnd"/>
      <w:r w:rsidR="006B149B" w:rsidRPr="006B149B">
        <w:rPr>
          <w:rFonts w:cs="Arial"/>
          <w:b/>
          <w:vertAlign w:val="superscript"/>
          <w:lang w:val="es-UY"/>
        </w:rPr>
        <w:t>.</w:t>
      </w:r>
      <w:r w:rsidRPr="00463B7E">
        <w:rPr>
          <w:rFonts w:cs="Arial"/>
          <w:b/>
          <w:lang w:val="es-UY"/>
        </w:rPr>
        <w:t xml:space="preserve"> </w:t>
      </w:r>
      <w:r w:rsidR="00A109A2">
        <w:rPr>
          <w:rFonts w:cs="Arial"/>
          <w:b/>
          <w:lang w:val="es-UY"/>
        </w:rPr>
        <w:t>3429</w:t>
      </w:r>
      <w:r w:rsidRPr="00463B7E">
        <w:rPr>
          <w:rFonts w:cs="Arial"/>
          <w:b/>
          <w:lang w:val="es-UY"/>
        </w:rPr>
        <w:t>/</w:t>
      </w:r>
      <w:r w:rsidR="00A109A2">
        <w:rPr>
          <w:rFonts w:cs="Arial"/>
          <w:b/>
          <w:lang w:val="es-UY"/>
        </w:rPr>
        <w:t>18</w:t>
      </w:r>
      <w:r w:rsidR="006B149B">
        <w:rPr>
          <w:rFonts w:cs="Arial"/>
          <w:b/>
          <w:lang w:val="es-UY"/>
        </w:rPr>
        <w:t xml:space="preserve"> y 0109/19</w:t>
      </w:r>
      <w:r w:rsidR="00A109A2">
        <w:rPr>
          <w:rFonts w:cs="Arial"/>
          <w:b/>
          <w:lang w:val="es-UY"/>
        </w:rPr>
        <w:t>)</w:t>
      </w:r>
    </w:p>
    <w:p w:rsidR="00463B7E" w:rsidRPr="00463B7E" w:rsidRDefault="00463B7E" w:rsidP="00AF202B">
      <w:pPr>
        <w:spacing w:line="360" w:lineRule="auto"/>
        <w:ind w:firstLine="851"/>
        <w:jc w:val="both"/>
        <w:rPr>
          <w:rFonts w:cs="Arial"/>
          <w:b/>
        </w:rPr>
      </w:pPr>
    </w:p>
    <w:p w:rsidR="00AF202B" w:rsidRPr="00EE4DBD" w:rsidRDefault="00AF202B" w:rsidP="00AF202B">
      <w:pPr>
        <w:spacing w:line="360" w:lineRule="auto"/>
        <w:ind w:firstLine="851"/>
        <w:jc w:val="both"/>
      </w:pPr>
      <w:r w:rsidRPr="00EE4DBD">
        <w:rPr>
          <w:b/>
        </w:rPr>
        <w:t>VISTO:</w:t>
      </w:r>
      <w:r w:rsidRPr="00EE4DBD">
        <w:t xml:space="preserve"> la Rendición de Cuentas y Balance de Ejecución Presupuestal de la Intendencia de Treinta y Tres correspondiente al Ejercicio 2017;</w:t>
      </w:r>
    </w:p>
    <w:p w:rsidR="00AF202B" w:rsidRPr="00EE4DBD" w:rsidRDefault="00AF202B" w:rsidP="00AF202B">
      <w:pPr>
        <w:spacing w:line="360" w:lineRule="auto"/>
        <w:ind w:firstLine="851"/>
        <w:jc w:val="both"/>
      </w:pPr>
      <w:r w:rsidRPr="00EE4DBD">
        <w:rPr>
          <w:b/>
        </w:rPr>
        <w:t xml:space="preserve">RESULTANDO: </w:t>
      </w:r>
      <w:r w:rsidRPr="00EE4DBD">
        <w:t>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necesarios en las circunstancias;</w:t>
      </w:r>
    </w:p>
    <w:p w:rsidR="00AF202B" w:rsidRPr="00EE4DBD" w:rsidRDefault="00AF202B" w:rsidP="00AF202B">
      <w:pPr>
        <w:spacing w:line="360" w:lineRule="auto"/>
        <w:ind w:firstLine="851"/>
        <w:jc w:val="both"/>
      </w:pPr>
      <w:r w:rsidRPr="00EE4DBD">
        <w:rPr>
          <w:b/>
        </w:rPr>
        <w:t xml:space="preserve">CONSIDERANDO: </w:t>
      </w:r>
      <w:r w:rsidRPr="00EE4DBD">
        <w:t>que las conclusiones y evidencias obtenidas son las que se expresan en el Informe de Auditoría, que incluye Dictamen e Informe a la Administración;</w:t>
      </w:r>
    </w:p>
    <w:p w:rsidR="00AF202B" w:rsidRPr="00EE4DBD" w:rsidRDefault="00AF202B" w:rsidP="00AF202B">
      <w:pPr>
        <w:spacing w:line="360" w:lineRule="auto"/>
        <w:ind w:firstLine="851"/>
        <w:jc w:val="both"/>
      </w:pPr>
      <w:r w:rsidRPr="00EE4DBD">
        <w:rPr>
          <w:b/>
        </w:rPr>
        <w:t xml:space="preserve">ATENTO: </w:t>
      </w:r>
      <w:r w:rsidRPr="00EE4DBD">
        <w:t>a lo dispuesto por el Artículo 211 Literal C) de la Constitución de la República;</w:t>
      </w:r>
    </w:p>
    <w:p w:rsidR="00AF202B" w:rsidRPr="00EE4DBD" w:rsidRDefault="00AF202B" w:rsidP="00AF202B">
      <w:pPr>
        <w:spacing w:line="360" w:lineRule="auto"/>
        <w:jc w:val="center"/>
        <w:rPr>
          <w:b/>
        </w:rPr>
      </w:pPr>
      <w:bookmarkStart w:id="1" w:name="_Toc75256577"/>
      <w:r w:rsidRPr="00EE4DBD">
        <w:rPr>
          <w:b/>
        </w:rPr>
        <w:t>EL TRIBUNAL ACUERDA</w:t>
      </w:r>
      <w:bookmarkEnd w:id="1"/>
    </w:p>
    <w:p w:rsidR="00AF202B" w:rsidRPr="00EE4DBD" w:rsidRDefault="00AF202B" w:rsidP="00AF202B">
      <w:pPr>
        <w:numPr>
          <w:ilvl w:val="0"/>
          <w:numId w:val="1"/>
        </w:numPr>
        <w:spacing w:line="360" w:lineRule="auto"/>
        <w:jc w:val="both"/>
      </w:pPr>
      <w:r w:rsidRPr="00EE4DBD">
        <w:t>Expedirse en los términos del Info</w:t>
      </w:r>
      <w:r w:rsidR="002F3613">
        <w:t>rme de Auditoría que se adjunta;</w:t>
      </w:r>
    </w:p>
    <w:p w:rsidR="00AF202B" w:rsidRPr="00EE4DBD" w:rsidRDefault="00AF202B" w:rsidP="00AF202B">
      <w:pPr>
        <w:numPr>
          <w:ilvl w:val="0"/>
          <w:numId w:val="1"/>
        </w:numPr>
        <w:spacing w:line="360" w:lineRule="auto"/>
        <w:jc w:val="both"/>
      </w:pPr>
      <w:r w:rsidRPr="00EE4DBD">
        <w:t>Comunicar la presente Resolución a la Intendencia y a la Junta Departamental de Treinta y Tres</w:t>
      </w:r>
      <w:r w:rsidR="00463B7E">
        <w:t>; y</w:t>
      </w:r>
    </w:p>
    <w:p w:rsidR="00AF202B" w:rsidRPr="00EE4DBD" w:rsidRDefault="00AF202B" w:rsidP="00AF202B">
      <w:pPr>
        <w:numPr>
          <w:ilvl w:val="0"/>
          <w:numId w:val="1"/>
        </w:numPr>
        <w:spacing w:line="360" w:lineRule="auto"/>
        <w:jc w:val="both"/>
      </w:pPr>
      <w:r w:rsidRPr="00EE4DBD">
        <w:t>Dar cuenta a la Asamblea General.</w:t>
      </w:r>
    </w:p>
    <w:p w:rsidR="00AF202B" w:rsidRPr="00EE4DBD" w:rsidRDefault="00AF202B" w:rsidP="00AF202B">
      <w:pPr>
        <w:spacing w:line="360" w:lineRule="auto"/>
        <w:jc w:val="both"/>
      </w:pPr>
    </w:p>
    <w:p w:rsidR="00AF202B" w:rsidRPr="00EE4DBD" w:rsidRDefault="00AF202B" w:rsidP="00AF202B">
      <w:pPr>
        <w:spacing w:line="360" w:lineRule="auto"/>
        <w:jc w:val="both"/>
      </w:pPr>
    </w:p>
    <w:p w:rsidR="00AF202B" w:rsidRDefault="00463B7E" w:rsidP="00AF202B">
      <w:pPr>
        <w:spacing w:line="360" w:lineRule="auto"/>
        <w:jc w:val="both"/>
      </w:pPr>
      <w:proofErr w:type="spellStart"/>
      <w:proofErr w:type="gramStart"/>
      <w:r>
        <w:t>cr</w:t>
      </w:r>
      <w:proofErr w:type="spellEnd"/>
      <w:proofErr w:type="gramEnd"/>
    </w:p>
    <w:p w:rsidR="009D2417" w:rsidRDefault="009D2417" w:rsidP="00AF202B">
      <w:pPr>
        <w:spacing w:line="360" w:lineRule="auto"/>
        <w:jc w:val="both"/>
      </w:pPr>
    </w:p>
    <w:p w:rsidR="009D2417" w:rsidRPr="00EE4DBD" w:rsidRDefault="009D2417" w:rsidP="00151380">
      <w:pPr>
        <w:pStyle w:val="Ttulo1"/>
      </w:pPr>
      <w:r>
        <w:lastRenderedPageBreak/>
        <w:t>DICTAMEN</w:t>
      </w:r>
    </w:p>
    <w:p w:rsidR="009D2417" w:rsidRPr="00EE4DBD" w:rsidRDefault="009D2417" w:rsidP="00151380"/>
    <w:p w:rsidR="009D2417" w:rsidRPr="00EE4DBD" w:rsidRDefault="009D2417" w:rsidP="00151380"/>
    <w:p w:rsidR="009D2417" w:rsidRPr="00EE4DBD" w:rsidRDefault="009D2417" w:rsidP="00151380">
      <w:pPr>
        <w:spacing w:line="360" w:lineRule="auto"/>
        <w:rPr>
          <w:b/>
        </w:rPr>
      </w:pPr>
      <w:r w:rsidRPr="00EE4DBD">
        <w:rPr>
          <w:b/>
        </w:rPr>
        <w:t>Opinión sin salvedades</w:t>
      </w:r>
    </w:p>
    <w:p w:rsidR="009D2417" w:rsidRPr="00EE4DBD" w:rsidRDefault="009D2417" w:rsidP="00151380"/>
    <w:p w:rsidR="009D2417" w:rsidRPr="00EE4DBD" w:rsidRDefault="009D2417" w:rsidP="00151380">
      <w:pPr>
        <w:pStyle w:val="Subttulo"/>
        <w:tabs>
          <w:tab w:val="left" w:pos="0"/>
        </w:tabs>
        <w:rPr>
          <w:rFonts w:ascii="Arial" w:hAnsi="Arial" w:cs="Arial"/>
          <w:b w:val="0"/>
        </w:rPr>
      </w:pPr>
      <w:r w:rsidRPr="00EE4DBD">
        <w:rPr>
          <w:rFonts w:ascii="Arial" w:hAnsi="Arial" w:cs="Arial"/>
          <w:b w:val="0"/>
        </w:rPr>
        <w:t>El Tribunal de Cuentas ha auditado la Rendición de Cuentas y el Balance de Ejecución Presupuestal de la Intendencia de Treinta</w:t>
      </w:r>
      <w:r w:rsidRPr="00EE4DBD">
        <w:t xml:space="preserve"> </w:t>
      </w:r>
      <w:r w:rsidRPr="00EE4DBD">
        <w:rPr>
          <w:rFonts w:ascii="Arial" w:hAnsi="Arial" w:cs="Arial"/>
          <w:b w:val="0"/>
        </w:rPr>
        <w:t>y Tres  que comprende los estados de ejecución presupuestal con relación a los recursos y a los créditos, resultado del ejercicio, resultado acumulado, y otros estados complementarios correspondientes al ejercicio finalizado el 31/12/2017.</w:t>
      </w:r>
    </w:p>
    <w:p w:rsidR="009D2417" w:rsidRPr="00EE4DBD" w:rsidRDefault="009D2417" w:rsidP="00FA5A3F">
      <w:pPr>
        <w:pStyle w:val="Subttulo"/>
        <w:tabs>
          <w:tab w:val="left" w:pos="0"/>
        </w:tabs>
        <w:jc w:val="left"/>
        <w:rPr>
          <w:rFonts w:ascii="Arial" w:hAnsi="Arial" w:cs="Arial"/>
          <w:b w:val="0"/>
        </w:rPr>
      </w:pPr>
    </w:p>
    <w:p w:rsidR="009D2417" w:rsidRPr="00EE4DBD" w:rsidRDefault="009D2417" w:rsidP="00151380">
      <w:pPr>
        <w:pStyle w:val="Subttulo"/>
        <w:tabs>
          <w:tab w:val="left" w:pos="0"/>
        </w:tabs>
        <w:rPr>
          <w:rFonts w:ascii="Arial" w:hAnsi="Arial" w:cs="Arial"/>
          <w:b w:val="0"/>
        </w:rPr>
      </w:pPr>
      <w:r w:rsidRPr="00EE4DBD">
        <w:rPr>
          <w:rFonts w:ascii="Arial" w:hAnsi="Arial" w:cs="Arial"/>
          <w:b w:val="0"/>
        </w:rPr>
        <w:t>En opinión del Tribunal de Cuentas, los estados mencionados presentan razonablemente, en todos sus aspectos significativos, la ejecución presupuestal en relación a los recursos y a los créditos presupuestales, el resultado del ejercicio y el resultado acumulado de la Intendencia de Treinta</w:t>
      </w:r>
      <w:r w:rsidRPr="00EE4DBD">
        <w:t xml:space="preserve"> </w:t>
      </w:r>
      <w:r w:rsidRPr="00EE4DBD">
        <w:rPr>
          <w:rFonts w:ascii="Arial" w:hAnsi="Arial" w:cs="Arial"/>
          <w:b w:val="0"/>
        </w:rPr>
        <w:t>y Tres correspondientes al ejercicio finalizado el 31/12/2017, de acuerdo con las normas establecidas en el TOCAF y el instructivo vigente a la fecha de presentación de los mismos.</w:t>
      </w:r>
    </w:p>
    <w:p w:rsidR="009D2417" w:rsidRPr="00EE4DBD" w:rsidRDefault="009D2417" w:rsidP="00151380">
      <w:pPr>
        <w:pStyle w:val="Subttulo"/>
        <w:tabs>
          <w:tab w:val="left" w:pos="0"/>
        </w:tabs>
        <w:rPr>
          <w:rFonts w:ascii="Arial" w:hAnsi="Arial" w:cs="Arial"/>
          <w:b w:val="0"/>
        </w:rPr>
      </w:pPr>
    </w:p>
    <w:p w:rsidR="009D2417" w:rsidRPr="00EE4DBD" w:rsidRDefault="009D2417" w:rsidP="00151380">
      <w:pPr>
        <w:pStyle w:val="Subttulo"/>
        <w:tabs>
          <w:tab w:val="left" w:pos="0"/>
        </w:tabs>
        <w:rPr>
          <w:rFonts w:ascii="Arial" w:hAnsi="Arial" w:cs="Arial"/>
        </w:rPr>
      </w:pPr>
      <w:r w:rsidRPr="00EE4DBD">
        <w:rPr>
          <w:rFonts w:ascii="Arial" w:hAnsi="Arial" w:cs="Arial"/>
        </w:rPr>
        <w:t>Opinión respecto al cumplimiento de la normativa legal aplicable</w:t>
      </w:r>
    </w:p>
    <w:p w:rsidR="009D2417" w:rsidRPr="00EE4DBD" w:rsidRDefault="009D2417" w:rsidP="001B0C93">
      <w:pPr>
        <w:spacing w:line="360" w:lineRule="auto"/>
        <w:jc w:val="both"/>
        <w:outlineLvl w:val="1"/>
        <w:rPr>
          <w:rFonts w:cs="Arial"/>
        </w:rPr>
      </w:pPr>
      <w:r w:rsidRPr="00EE4DBD">
        <w:rPr>
          <w:rFonts w:cs="Arial"/>
        </w:rPr>
        <w:t xml:space="preserve">En el curso de la auditoría se han constatado los siguientes incumplimientos: </w:t>
      </w:r>
    </w:p>
    <w:p w:rsidR="009D2417" w:rsidRPr="00EE4DBD" w:rsidRDefault="009D2417" w:rsidP="001B0C93">
      <w:pPr>
        <w:spacing w:line="360" w:lineRule="auto"/>
        <w:jc w:val="both"/>
        <w:outlineLvl w:val="1"/>
        <w:rPr>
          <w:rFonts w:cs="Arial"/>
        </w:rPr>
      </w:pPr>
      <w:r w:rsidRPr="00EE4DBD">
        <w:rPr>
          <w:rFonts w:cs="Arial"/>
          <w:kern w:val="18"/>
          <w:szCs w:val="20"/>
        </w:rPr>
        <w:t xml:space="preserve">Artículos </w:t>
      </w:r>
      <w:r w:rsidRPr="00EE4DBD">
        <w:rPr>
          <w:rFonts w:cs="Arial"/>
          <w:spacing w:val="8"/>
          <w:lang w:eastAsia="zh-CN"/>
        </w:rPr>
        <w:t xml:space="preserve">211 Literal B), 225, 227, 289 y 297 numeral 1 </w:t>
      </w:r>
      <w:r w:rsidRPr="00EE4DBD">
        <w:rPr>
          <w:rFonts w:cs="Arial"/>
          <w:kern w:val="18"/>
          <w:szCs w:val="20"/>
        </w:rPr>
        <w:t xml:space="preserve">de la Constitución de la  República, </w:t>
      </w:r>
      <w:r w:rsidRPr="00EE4DBD">
        <w:rPr>
          <w:rFonts w:cs="Arial"/>
          <w:bCs/>
          <w:lang w:eastAsia="zh-CN"/>
        </w:rPr>
        <w:t xml:space="preserve">Artículo 32 de la Ley Nº 11.923, </w:t>
      </w:r>
      <w:r w:rsidRPr="00EE4DBD">
        <w:rPr>
          <w:rFonts w:cs="Arial"/>
          <w:lang w:eastAsia="zh-CN"/>
        </w:rPr>
        <w:t xml:space="preserve">Artículo 7 de la Ley Nº 13.142, Artículo 416 de la Ley N° 17.930, Artículo 1 del Decreto Ley Nº 14.632 y  Decreto Nº 342/1992 del Poder Ejecutivo, </w:t>
      </w:r>
      <w:r w:rsidRPr="00EE4DBD">
        <w:rPr>
          <w:rFonts w:eastAsia="Arial" w:cs="Arial"/>
          <w:bCs/>
          <w:lang w:eastAsia="zh-CN"/>
        </w:rPr>
        <w:t xml:space="preserve">Artículo 43 y 124 de la Ley 17.738, </w:t>
      </w:r>
      <w:r w:rsidRPr="00EE4DBD">
        <w:rPr>
          <w:rFonts w:cs="Arial"/>
          <w:lang w:eastAsia="zh-CN"/>
        </w:rPr>
        <w:t xml:space="preserve">Artículos 10 y 42 de la Ley 19.210, Decreto 180/15 del Poder Ejecutivo, Artículos 14, 21, </w:t>
      </w:r>
      <w:r w:rsidRPr="00EE4DBD">
        <w:rPr>
          <w:rFonts w:cs="Arial"/>
          <w:spacing w:val="8"/>
          <w:lang w:eastAsia="zh-CN"/>
        </w:rPr>
        <w:t xml:space="preserve">23, </w:t>
      </w:r>
      <w:r w:rsidRPr="00EE4DBD">
        <w:rPr>
          <w:rFonts w:cs="Arial"/>
          <w:lang w:eastAsia="zh-CN"/>
        </w:rPr>
        <w:t>33, 43, 84, 87, 9</w:t>
      </w:r>
      <w:r>
        <w:rPr>
          <w:rFonts w:cs="Arial"/>
          <w:lang w:eastAsia="zh-CN"/>
        </w:rPr>
        <w:t>4</w:t>
      </w:r>
      <w:r w:rsidRPr="00EE4DBD">
        <w:rPr>
          <w:rFonts w:cs="Arial"/>
          <w:lang w:eastAsia="zh-CN"/>
        </w:rPr>
        <w:t>, 9</w:t>
      </w:r>
      <w:r>
        <w:rPr>
          <w:rFonts w:cs="Arial"/>
          <w:lang w:eastAsia="zh-CN"/>
        </w:rPr>
        <w:t>7</w:t>
      </w:r>
      <w:r w:rsidRPr="00EE4DBD">
        <w:rPr>
          <w:rFonts w:cs="Arial"/>
          <w:lang w:eastAsia="zh-CN"/>
        </w:rPr>
        <w:t xml:space="preserve">, </w:t>
      </w:r>
      <w:r w:rsidRPr="00EE4DBD">
        <w:rPr>
          <w:rFonts w:cs="Arial"/>
          <w:bCs/>
          <w:lang w:eastAsia="zh-CN"/>
        </w:rPr>
        <w:t xml:space="preserve">128 Numeral 1), 132, </w:t>
      </w:r>
      <w:r w:rsidRPr="00EE4DBD">
        <w:rPr>
          <w:rFonts w:cs="Arial"/>
          <w:lang w:eastAsia="zh-CN"/>
        </w:rPr>
        <w:t xml:space="preserve">del TOCAF, Ordenanzas </w:t>
      </w:r>
      <w:proofErr w:type="spellStart"/>
      <w:r w:rsidRPr="00EE4DBD">
        <w:rPr>
          <w:rFonts w:cs="Arial"/>
          <w:lang w:eastAsia="zh-CN"/>
        </w:rPr>
        <w:t>N°s</w:t>
      </w:r>
      <w:proofErr w:type="spellEnd"/>
      <w:r w:rsidRPr="00EE4DBD">
        <w:rPr>
          <w:rFonts w:cs="Arial"/>
          <w:lang w:eastAsia="zh-CN"/>
        </w:rPr>
        <w:t xml:space="preserve"> 71 y 89 del Tribunal de Cuentas, </w:t>
      </w:r>
      <w:r w:rsidRPr="00EE4DBD">
        <w:rPr>
          <w:rFonts w:eastAsia="Arial" w:cs="Arial"/>
          <w:bCs/>
          <w:lang w:val="es-ES_tradnl" w:eastAsia="zh-CN"/>
        </w:rPr>
        <w:t xml:space="preserve">Resolución del Tribunal de Cuentas de fecha 28/01/04, </w:t>
      </w:r>
      <w:r w:rsidRPr="00EE4DBD">
        <w:rPr>
          <w:rFonts w:cs="Arial"/>
          <w:lang w:eastAsia="zh-CN"/>
        </w:rPr>
        <w:t xml:space="preserve">Decreto Nº 26/1986 de la Junta Departamental, Estatuto del Funcionario de la Intendencia y </w:t>
      </w:r>
      <w:r w:rsidRPr="00EE4DBD">
        <w:rPr>
          <w:rFonts w:cs="Arial"/>
        </w:rPr>
        <w:t>Convenios con contribuyentes.</w:t>
      </w:r>
    </w:p>
    <w:p w:rsidR="009D2417" w:rsidRPr="00EE4DBD" w:rsidRDefault="009D2417" w:rsidP="00151380">
      <w:pPr>
        <w:pStyle w:val="Subttulo"/>
        <w:tabs>
          <w:tab w:val="left" w:pos="0"/>
        </w:tabs>
        <w:rPr>
          <w:rFonts w:ascii="Arial" w:hAnsi="Arial" w:cs="Arial"/>
        </w:rPr>
      </w:pPr>
      <w:r w:rsidRPr="00EE4DBD">
        <w:rPr>
          <w:rFonts w:ascii="Arial" w:hAnsi="Arial" w:cs="Arial"/>
        </w:rPr>
        <w:t xml:space="preserve">Bases </w:t>
      </w:r>
      <w:r w:rsidR="001B0C93">
        <w:rPr>
          <w:rFonts w:ascii="Arial" w:hAnsi="Arial" w:cs="Arial"/>
        </w:rPr>
        <w:t>para la Opinión sin salvedades</w:t>
      </w:r>
    </w:p>
    <w:p w:rsidR="009D2417" w:rsidRPr="00EE4DBD" w:rsidRDefault="009D2417" w:rsidP="00151380">
      <w:pPr>
        <w:spacing w:line="360" w:lineRule="auto"/>
        <w:jc w:val="both"/>
        <w:rPr>
          <w:bCs/>
        </w:rPr>
      </w:pPr>
      <w:r w:rsidRPr="00EE4DBD">
        <w:rPr>
          <w:bCs/>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 la Intendencia de </w:t>
      </w:r>
      <w:r w:rsidRPr="00EE4DBD">
        <w:rPr>
          <w:rFonts w:cs="Arial"/>
        </w:rPr>
        <w:t>Treinta</w:t>
      </w:r>
      <w:r w:rsidRPr="00EE4DBD">
        <w:t xml:space="preserve"> </w:t>
      </w:r>
      <w:r w:rsidRPr="00EE4DBD">
        <w:rPr>
          <w:rFonts w:cs="Arial"/>
        </w:rPr>
        <w:t>y Tres</w:t>
      </w:r>
      <w:r w:rsidRPr="00EE4DBD">
        <w:rPr>
          <w:rFonts w:cs="Arial"/>
          <w:b/>
        </w:rPr>
        <w:t xml:space="preserve"> </w:t>
      </w:r>
      <w:r w:rsidRPr="00EE4DBD">
        <w:rPr>
          <w:bCs/>
        </w:rPr>
        <w:t>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9D2417" w:rsidRPr="00EE4DBD" w:rsidRDefault="009D2417" w:rsidP="00151380">
      <w:pPr>
        <w:pStyle w:val="Subttulo"/>
        <w:tabs>
          <w:tab w:val="left" w:pos="0"/>
        </w:tabs>
        <w:rPr>
          <w:rFonts w:ascii="Arial" w:hAnsi="Arial" w:cs="Arial"/>
        </w:rPr>
      </w:pPr>
    </w:p>
    <w:p w:rsidR="009D2417" w:rsidRPr="00EE4DBD" w:rsidRDefault="009D2417" w:rsidP="00514E7C">
      <w:pPr>
        <w:spacing w:line="360" w:lineRule="auto"/>
        <w:jc w:val="both"/>
        <w:rPr>
          <w:rFonts w:cs="Arial"/>
          <w:b/>
        </w:rPr>
      </w:pPr>
      <w:r w:rsidRPr="00EE4DBD">
        <w:rPr>
          <w:rFonts w:cs="Arial"/>
          <w:b/>
        </w:rPr>
        <w:t>Responsabilidad de la Intendencia en relación con la Rendición de Cuentas y Balance de Ejecución Presupuestal</w:t>
      </w:r>
    </w:p>
    <w:p w:rsidR="009D2417" w:rsidRPr="00EE4DBD" w:rsidRDefault="009D2417" w:rsidP="00FD5F6D">
      <w:pPr>
        <w:widowControl w:val="0"/>
        <w:spacing w:line="360" w:lineRule="auto"/>
        <w:jc w:val="both"/>
        <w:rPr>
          <w:rFonts w:cs="Arial"/>
          <w:bCs/>
          <w:kern w:val="18"/>
        </w:rPr>
      </w:pPr>
      <w:r w:rsidRPr="00EE4DBD">
        <w:rPr>
          <w:rFonts w:cs="Arial"/>
        </w:rPr>
        <w:t xml:space="preserve">La Intendencia de Treinta y Tres </w:t>
      </w:r>
      <w:r w:rsidRPr="00EE4DBD">
        <w:rPr>
          <w:rFonts w:cs="Arial"/>
          <w:bCs/>
          <w:kern w:val="18"/>
        </w:rPr>
        <w:t>es responsable por la preparación y la razonable presentación de estos estados de ejecución presupuestal de acuerdo con la normativa vigente y con la Resolución de este Tribunal de fecha 28/01/04. Esta responsabilidad incluye diseñar, implementar y mantener un sistema de control interno adecuado para que la preparación y presentación razonable de los estados mencionados esté libre de errores significativos, ya sea debido a fraude o error, seleccionar y aplicar políticas contables apropiadas.</w:t>
      </w:r>
    </w:p>
    <w:p w:rsidR="009D2417" w:rsidRPr="00EE4DBD" w:rsidRDefault="009D2417" w:rsidP="00151380">
      <w:pPr>
        <w:pStyle w:val="Subttulo"/>
        <w:rPr>
          <w:rFonts w:ascii="Arial" w:hAnsi="Arial" w:cs="Arial"/>
          <w:b w:val="0"/>
        </w:rPr>
      </w:pPr>
    </w:p>
    <w:p w:rsidR="009D2417" w:rsidRPr="00EE4DBD" w:rsidRDefault="009D2417" w:rsidP="00151380">
      <w:pPr>
        <w:pStyle w:val="Subttulo"/>
        <w:rPr>
          <w:rFonts w:ascii="Arial" w:hAnsi="Arial" w:cs="Arial"/>
          <w:bCs/>
        </w:rPr>
      </w:pPr>
      <w:r w:rsidRPr="00EE4DBD">
        <w:rPr>
          <w:rFonts w:ascii="Arial" w:hAnsi="Arial" w:cs="Arial"/>
          <w:bCs/>
        </w:rPr>
        <w:t>Responsabilidad del Tribunal de Cuentas por la auditoría de los estados financieros</w:t>
      </w:r>
    </w:p>
    <w:p w:rsidR="009D2417" w:rsidRPr="00EE4DBD" w:rsidRDefault="009D2417" w:rsidP="00151380">
      <w:pPr>
        <w:spacing w:line="360" w:lineRule="auto"/>
        <w:jc w:val="both"/>
        <w:rPr>
          <w:bCs/>
        </w:rPr>
      </w:pPr>
      <w:r w:rsidRPr="00EE4DBD">
        <w:rPr>
          <w:bCs/>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9D2417" w:rsidRPr="00EE4DBD" w:rsidRDefault="009D2417" w:rsidP="00151380">
      <w:pPr>
        <w:spacing w:line="360" w:lineRule="auto"/>
        <w:jc w:val="both"/>
        <w:rPr>
          <w:bCs/>
        </w:rPr>
      </w:pPr>
      <w:r w:rsidRPr="00EE4DBD">
        <w:rPr>
          <w:bCs/>
        </w:rPr>
        <w:t>Como parte de una auditoría de acuerdo con las ISSAI referidas en la sección Bases para la Opinión, el Tribunal de Cuentas aplica su juicio profesional y mantiene el escepticismo profesional durante el proceso de auditoría. Asimismo:</w:t>
      </w:r>
    </w:p>
    <w:p w:rsidR="009D2417" w:rsidRPr="00EE4DBD" w:rsidRDefault="009D2417" w:rsidP="00151380">
      <w:pPr>
        <w:pStyle w:val="Prrafodelista"/>
        <w:numPr>
          <w:ilvl w:val="0"/>
          <w:numId w:val="9"/>
        </w:numPr>
        <w:spacing w:line="360" w:lineRule="auto"/>
        <w:ind w:left="0" w:firstLine="360"/>
        <w:jc w:val="both"/>
        <w:rPr>
          <w:bCs/>
        </w:rPr>
      </w:pPr>
      <w:r w:rsidRPr="00EE4DBD">
        <w:rPr>
          <w:bCs/>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9D2417" w:rsidRPr="00EE4DBD" w:rsidRDefault="009D2417" w:rsidP="00151380">
      <w:pPr>
        <w:pStyle w:val="Prrafodelista"/>
        <w:numPr>
          <w:ilvl w:val="0"/>
          <w:numId w:val="9"/>
        </w:numPr>
        <w:spacing w:line="360" w:lineRule="auto"/>
        <w:ind w:left="0" w:firstLine="360"/>
        <w:jc w:val="both"/>
        <w:rPr>
          <w:bCs/>
        </w:rPr>
      </w:pPr>
      <w:r w:rsidRPr="00EE4DBD">
        <w:rPr>
          <w:bCs/>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9D2417" w:rsidRPr="00EE4DBD" w:rsidRDefault="009D2417" w:rsidP="00151380">
      <w:pPr>
        <w:pStyle w:val="Prrafodelista"/>
        <w:numPr>
          <w:ilvl w:val="0"/>
          <w:numId w:val="9"/>
        </w:numPr>
        <w:spacing w:line="360" w:lineRule="auto"/>
        <w:ind w:left="0" w:firstLine="360"/>
        <w:jc w:val="both"/>
        <w:rPr>
          <w:bCs/>
        </w:rPr>
      </w:pPr>
      <w:r w:rsidRPr="00EE4DBD">
        <w:rPr>
          <w:bCs/>
        </w:rPr>
        <w:t>Evalúa la presentación general, la estructura y contenido de los estados, incluyendo las revelaciones y si los estados representan las transacciones y eventos subyacentes de un modo que se logre una representación fiel de los mismos.</w:t>
      </w:r>
    </w:p>
    <w:p w:rsidR="009D2417" w:rsidRPr="00EE4DBD" w:rsidRDefault="009D2417" w:rsidP="000E13EB">
      <w:pPr>
        <w:spacing w:line="360" w:lineRule="auto"/>
        <w:jc w:val="both"/>
      </w:pPr>
    </w:p>
    <w:p w:rsidR="009D2417" w:rsidRPr="00EE4DBD" w:rsidRDefault="009D2417" w:rsidP="000E13EB">
      <w:pPr>
        <w:spacing w:line="360" w:lineRule="auto"/>
        <w:jc w:val="both"/>
      </w:pPr>
      <w:r w:rsidRPr="00EE4DBD">
        <w:t>El Tribunal de Cuentas se comunicó con la Intendencia,  en relación al alcance y la oportunidad de los procedimientos de auditoría, y a los hallazgos significativos de auditoría incluidos.</w:t>
      </w:r>
    </w:p>
    <w:p w:rsidR="009D2417" w:rsidRPr="00EE4DBD" w:rsidRDefault="009D2417" w:rsidP="00151380">
      <w:pPr>
        <w:spacing w:line="360" w:lineRule="auto"/>
        <w:jc w:val="both"/>
        <w:rPr>
          <w:bCs/>
        </w:rPr>
      </w:pPr>
    </w:p>
    <w:p w:rsidR="009D2417" w:rsidRPr="00EE4DBD" w:rsidRDefault="009D2417" w:rsidP="00151380">
      <w:pPr>
        <w:spacing w:line="360" w:lineRule="auto"/>
        <w:jc w:val="both"/>
        <w:rPr>
          <w:b/>
          <w:bCs/>
        </w:rPr>
      </w:pPr>
      <w:r w:rsidRPr="00EE4DBD">
        <w:rPr>
          <w:b/>
          <w:bCs/>
        </w:rPr>
        <w:t>Informe de cumplimiento de la normativa vigente</w:t>
      </w:r>
    </w:p>
    <w:p w:rsidR="009D2417" w:rsidRPr="00EE4DBD" w:rsidRDefault="009D2417" w:rsidP="008060C0">
      <w:pPr>
        <w:spacing w:line="360" w:lineRule="auto"/>
        <w:jc w:val="both"/>
        <w:rPr>
          <w:b/>
        </w:rPr>
      </w:pPr>
      <w:r w:rsidRPr="00EE4DBD">
        <w:rPr>
          <w:bCs/>
        </w:rPr>
        <w:t>Respecto a los incumplimientos mencionados en el párrafo “Opinión respecto al cumplimiento de la normativa legal aplicable”, corresponde señalar lo siguiente:</w:t>
      </w:r>
    </w:p>
    <w:p w:rsidR="009D2417" w:rsidRPr="00EE4DBD" w:rsidRDefault="009D2417" w:rsidP="000B2534">
      <w:pPr>
        <w:spacing w:line="360" w:lineRule="auto"/>
        <w:jc w:val="both"/>
        <w:outlineLvl w:val="1"/>
        <w:rPr>
          <w:rFonts w:cs="Arial"/>
          <w:color w:val="000000"/>
          <w:lang w:val="es-MX" w:eastAsia="es-UY"/>
        </w:rPr>
      </w:pPr>
      <w:r w:rsidRPr="00EE4DBD">
        <w:rPr>
          <w:rFonts w:cs="Arial"/>
          <w:b/>
          <w:kern w:val="18"/>
          <w:szCs w:val="20"/>
        </w:rPr>
        <w:t xml:space="preserve">1.1 </w:t>
      </w:r>
      <w:r w:rsidRPr="00EE4DBD">
        <w:rPr>
          <w:rFonts w:cs="Arial"/>
          <w:b/>
          <w:spacing w:val="8"/>
          <w:lang w:eastAsia="zh-CN"/>
        </w:rPr>
        <w:t>Artículo 211 Literal B) de la Constitución de la República, Artículos 23 y</w:t>
      </w:r>
      <w:r w:rsidRPr="00EE4DBD">
        <w:rPr>
          <w:rFonts w:cs="Arial"/>
          <w:b/>
          <w:bCs/>
          <w:lang w:eastAsia="zh-CN"/>
        </w:rPr>
        <w:t xml:space="preserve"> 87 del TOCAF.</w:t>
      </w:r>
    </w:p>
    <w:p w:rsidR="009D2417" w:rsidRDefault="009D2417" w:rsidP="00AB260F">
      <w:pPr>
        <w:widowControl w:val="0"/>
        <w:spacing w:line="360" w:lineRule="auto"/>
        <w:ind w:right="-1"/>
        <w:jc w:val="both"/>
        <w:rPr>
          <w:rFonts w:cs="Arial"/>
          <w:b/>
          <w:color w:val="FF0000"/>
          <w:lang w:eastAsia="zh-CN"/>
        </w:rPr>
      </w:pPr>
      <w:r w:rsidRPr="00EE4DBD">
        <w:rPr>
          <w:rFonts w:cs="Arial"/>
          <w:lang w:eastAsia="zh-CN"/>
        </w:rPr>
        <w:t>Se ejecutaron y pagaron gastos sin haber sido intervenidos preventivamente por el Tribunal de Cuentas o el Contador Delegado en su caso.</w:t>
      </w:r>
    </w:p>
    <w:p w:rsidR="009D2417" w:rsidRPr="00EE4DBD" w:rsidRDefault="009D2417" w:rsidP="00AB260F">
      <w:pPr>
        <w:widowControl w:val="0"/>
        <w:spacing w:line="360" w:lineRule="auto"/>
        <w:ind w:right="-1"/>
        <w:jc w:val="both"/>
        <w:rPr>
          <w:rFonts w:cs="Arial"/>
          <w:lang w:eastAsia="zh-CN"/>
        </w:rPr>
      </w:pPr>
    </w:p>
    <w:p w:rsidR="009D2417" w:rsidRPr="00EE4DBD" w:rsidRDefault="009D2417" w:rsidP="008060C0">
      <w:pPr>
        <w:widowControl w:val="0"/>
        <w:suppressAutoHyphens/>
        <w:spacing w:line="360" w:lineRule="auto"/>
        <w:jc w:val="both"/>
        <w:rPr>
          <w:rFonts w:cs="Arial"/>
          <w:b/>
          <w:lang w:eastAsia="zh-CN"/>
        </w:rPr>
      </w:pPr>
      <w:r w:rsidRPr="00EE4DBD">
        <w:rPr>
          <w:rFonts w:cs="Arial"/>
          <w:b/>
          <w:spacing w:val="8"/>
          <w:lang w:eastAsia="zh-CN"/>
        </w:rPr>
        <w:t>1.2 Artículos 225 y 227 de la Constitución de la República y Ordenanza N°</w:t>
      </w:r>
      <w:r w:rsidRPr="00EE4DBD">
        <w:rPr>
          <w:rFonts w:cs="Arial"/>
          <w:b/>
          <w:lang w:eastAsia="zh-CN"/>
        </w:rPr>
        <w:t xml:space="preserve"> 71 del Tribunal de Cuentas.</w:t>
      </w:r>
    </w:p>
    <w:p w:rsidR="009D2417" w:rsidRPr="00EE4DBD" w:rsidRDefault="009D2417" w:rsidP="008060C0">
      <w:pPr>
        <w:widowControl w:val="0"/>
        <w:suppressAutoHyphens/>
        <w:spacing w:line="360" w:lineRule="auto"/>
        <w:jc w:val="both"/>
        <w:rPr>
          <w:rFonts w:cs="Arial"/>
          <w:lang w:eastAsia="zh-CN"/>
        </w:rPr>
      </w:pPr>
      <w:r w:rsidRPr="00EE4DBD">
        <w:rPr>
          <w:rFonts w:cs="Arial"/>
          <w:lang w:eastAsia="zh-CN"/>
        </w:rPr>
        <w:t>No se realizaron los ajustes correspondientes, a efectos de subsanar las observaciones formuladas por este Tribunal a la Modificación Presupuestal 2016-2020 de la Intendencia, que fueron acepta</w:t>
      </w:r>
      <w:r w:rsidR="001B0C93">
        <w:rPr>
          <w:rFonts w:cs="Arial"/>
          <w:lang w:eastAsia="zh-CN"/>
        </w:rPr>
        <w:t>das por la Junta Departamental.</w:t>
      </w:r>
    </w:p>
    <w:p w:rsidR="009D2417" w:rsidRPr="00EE4DBD" w:rsidRDefault="009D2417" w:rsidP="00AB260F">
      <w:pPr>
        <w:widowControl w:val="0"/>
        <w:spacing w:line="360" w:lineRule="auto"/>
        <w:ind w:right="-1"/>
        <w:jc w:val="both"/>
        <w:rPr>
          <w:rFonts w:cs="Arial"/>
          <w:b/>
          <w:spacing w:val="8"/>
          <w:lang w:eastAsia="zh-CN"/>
        </w:rPr>
      </w:pPr>
    </w:p>
    <w:p w:rsidR="009D2417" w:rsidRPr="00EE4DBD" w:rsidRDefault="009D2417" w:rsidP="00AB260F">
      <w:pPr>
        <w:widowControl w:val="0"/>
        <w:spacing w:line="360" w:lineRule="auto"/>
        <w:jc w:val="both"/>
        <w:rPr>
          <w:rFonts w:cs="Arial"/>
          <w:b/>
          <w:lang w:eastAsia="zh-CN"/>
        </w:rPr>
      </w:pPr>
      <w:r w:rsidRPr="00EE4DBD">
        <w:rPr>
          <w:rFonts w:cs="Arial"/>
          <w:b/>
          <w:lang w:eastAsia="zh-CN"/>
        </w:rPr>
        <w:t xml:space="preserve">1.3. </w:t>
      </w:r>
      <w:r w:rsidRPr="00EE4DBD">
        <w:rPr>
          <w:rFonts w:cs="Arial"/>
          <w:b/>
          <w:lang w:val="es-MX" w:eastAsia="zh-CN"/>
        </w:rPr>
        <w:t>Artículo 289 de la Constitución de la República.</w:t>
      </w:r>
    </w:p>
    <w:p w:rsidR="009D2417" w:rsidRPr="00EE4DBD" w:rsidRDefault="009D2417" w:rsidP="00AB260F">
      <w:pPr>
        <w:spacing w:line="360" w:lineRule="auto"/>
        <w:jc w:val="both"/>
        <w:rPr>
          <w:rFonts w:cs="Arial"/>
          <w:b/>
          <w:i/>
          <w:color w:val="00B050"/>
          <w:lang w:eastAsia="zh-CN"/>
        </w:rPr>
      </w:pPr>
      <w:r w:rsidRPr="00EE4DBD">
        <w:rPr>
          <w:rFonts w:cs="Arial"/>
          <w:lang w:val="es-MX" w:eastAsia="zh-CN"/>
        </w:rPr>
        <w:t xml:space="preserve">Debido a las licencias solicitadas por el Intendente, ocupó su lugar temporalmente su primer suplente, quien tenía un cargo reservado en UTE, por lo cual se configuró la incompatibilidad establecida en la referida norma. El referido jerarca, renunció a su cargo en </w:t>
      </w:r>
      <w:r w:rsidR="001B0C93">
        <w:rPr>
          <w:rFonts w:cs="Arial"/>
          <w:lang w:val="es-MX" w:eastAsia="zh-CN"/>
        </w:rPr>
        <w:t>la UTE a partir del 27/07/2017.</w:t>
      </w:r>
    </w:p>
    <w:p w:rsidR="009D2417" w:rsidRPr="00EE4DBD" w:rsidRDefault="009D2417" w:rsidP="00AB260F">
      <w:pPr>
        <w:spacing w:line="360" w:lineRule="auto"/>
        <w:jc w:val="both"/>
        <w:rPr>
          <w:rFonts w:cs="Arial"/>
          <w:b/>
          <w:i/>
          <w:color w:val="00B050"/>
          <w:lang w:eastAsia="zh-CN"/>
        </w:rPr>
      </w:pPr>
      <w:r w:rsidRPr="00EE4DBD">
        <w:rPr>
          <w:rFonts w:cs="Arial"/>
          <w:b/>
          <w:lang w:eastAsia="zh-CN"/>
        </w:rPr>
        <w:t xml:space="preserve">1.4 Artículo 297 numeral 1 de la Constitución de la </w:t>
      </w:r>
      <w:r w:rsidRPr="00EE4DBD">
        <w:rPr>
          <w:rFonts w:cs="Arial"/>
          <w:b/>
          <w:bCs/>
          <w:lang w:eastAsia="zh-CN"/>
        </w:rPr>
        <w:t>República</w:t>
      </w:r>
    </w:p>
    <w:p w:rsidR="009D2417" w:rsidRPr="00EE4DBD" w:rsidRDefault="009D2417" w:rsidP="006F4DB6">
      <w:pPr>
        <w:widowControl w:val="0"/>
        <w:spacing w:line="360" w:lineRule="auto"/>
        <w:ind w:right="-1"/>
        <w:jc w:val="both"/>
        <w:rPr>
          <w:rFonts w:cs="Arial"/>
          <w:lang w:eastAsia="zh-CN"/>
        </w:rPr>
      </w:pPr>
      <w:r w:rsidRPr="00EE4DBD">
        <w:rPr>
          <w:rFonts w:cs="Arial"/>
          <w:lang w:eastAsia="zh-CN"/>
        </w:rPr>
        <w:t>Se aplicaron bonificaciones a la Contribución Inmobiliaria Rural, lo que excedió la potestad tributaria del Gobierno Departamental por cuanto el citado impuesto tiene origen legal y carácter nacional, siendo competencia de la legislación nacional el</w:t>
      </w:r>
      <w:r w:rsidR="001B0C93">
        <w:rPr>
          <w:rFonts w:cs="Arial"/>
          <w:lang w:eastAsia="zh-CN"/>
        </w:rPr>
        <w:t xml:space="preserve"> establecimiento de las mismas.</w:t>
      </w:r>
    </w:p>
    <w:p w:rsidR="009D2417" w:rsidRPr="00EE4DBD" w:rsidRDefault="009D2417" w:rsidP="001B0C93">
      <w:pPr>
        <w:widowControl w:val="0"/>
        <w:tabs>
          <w:tab w:val="left" w:pos="720"/>
        </w:tabs>
        <w:spacing w:line="360" w:lineRule="auto"/>
        <w:jc w:val="both"/>
        <w:rPr>
          <w:rFonts w:eastAsia="Arial" w:cs="Arial"/>
          <w:b/>
          <w:bCs/>
          <w:lang w:eastAsia="zh-CN"/>
        </w:rPr>
      </w:pPr>
      <w:r w:rsidRPr="00EE4DBD">
        <w:rPr>
          <w:rFonts w:eastAsia="Arial" w:cs="Arial"/>
          <w:b/>
          <w:bCs/>
          <w:lang w:eastAsia="zh-CN"/>
        </w:rPr>
        <w:t>1.5</w:t>
      </w:r>
      <w:r w:rsidRPr="00EE4DBD">
        <w:rPr>
          <w:rFonts w:cs="Arial"/>
          <w:b/>
          <w:bCs/>
          <w:lang w:eastAsia="zh-CN"/>
        </w:rPr>
        <w:t xml:space="preserve"> </w:t>
      </w:r>
      <w:r w:rsidR="001B0C93">
        <w:rPr>
          <w:rFonts w:cs="Arial"/>
          <w:b/>
          <w:bCs/>
          <w:lang w:eastAsia="zh-CN"/>
        </w:rPr>
        <w:t>Artículo 32 de la Ley Nº 11.923</w:t>
      </w:r>
    </w:p>
    <w:p w:rsidR="009D2417" w:rsidRPr="00EE4DBD" w:rsidRDefault="009D2417" w:rsidP="006F4DB6">
      <w:pPr>
        <w:widowControl w:val="0"/>
        <w:spacing w:line="360" w:lineRule="auto"/>
        <w:ind w:right="-1"/>
        <w:jc w:val="both"/>
        <w:rPr>
          <w:rFonts w:cs="Arial"/>
          <w:lang w:eastAsia="zh-CN"/>
        </w:rPr>
      </w:pPr>
      <w:r w:rsidRPr="00EE4DBD">
        <w:rPr>
          <w:rFonts w:cs="Arial"/>
          <w:b/>
          <w:bCs/>
          <w:lang w:eastAsia="zh-CN"/>
        </w:rPr>
        <w:t xml:space="preserve"> </w:t>
      </w:r>
      <w:r w:rsidRPr="00EE4DBD">
        <w:rPr>
          <w:rFonts w:cs="Arial"/>
          <w:bCs/>
          <w:lang w:eastAsia="zh-CN"/>
        </w:rPr>
        <w:t>S</w:t>
      </w:r>
      <w:r w:rsidRPr="00EE4DBD">
        <w:rPr>
          <w:rFonts w:cs="Arial"/>
          <w:lang w:eastAsia="zh-CN"/>
        </w:rPr>
        <w:t xml:space="preserve">e incumplió con la normativa que establece que “ninguna persona podrá ocupar a la vez dos empleos públicos rentados, de carácter permanente con cargo a fondos públicos ya dependan de la Administración Nacional, ya de la Municipal, ya de los Entes Autónomos o Servicios Descentralizados, u otros servicios de naturaleza estatal creados por ley, ya de una u otros, quedando en consecuencia prohibida la acumulación de </w:t>
      </w:r>
      <w:r w:rsidR="001B0C93">
        <w:rPr>
          <w:rFonts w:cs="Arial"/>
          <w:lang w:eastAsia="zh-CN"/>
        </w:rPr>
        <w:t>sueldos en una misma persona”.</w:t>
      </w:r>
    </w:p>
    <w:p w:rsidR="009D2417" w:rsidRPr="00EE4DBD" w:rsidRDefault="009D2417" w:rsidP="00EE1BC5">
      <w:pPr>
        <w:widowControl w:val="0"/>
        <w:tabs>
          <w:tab w:val="left" w:pos="720"/>
        </w:tabs>
        <w:spacing w:line="360" w:lineRule="auto"/>
        <w:ind w:hanging="284"/>
        <w:jc w:val="both"/>
        <w:rPr>
          <w:rFonts w:eastAsia="Arial" w:cs="Arial"/>
          <w:b/>
          <w:lang w:val="es-ES_tradnl" w:eastAsia="zh-CN"/>
        </w:rPr>
      </w:pPr>
      <w:r w:rsidRPr="00EE4DBD">
        <w:rPr>
          <w:rFonts w:cs="Arial"/>
          <w:lang w:eastAsia="zh-CN"/>
        </w:rPr>
        <w:t xml:space="preserve"> </w:t>
      </w:r>
      <w:r w:rsidRPr="00EE4DBD">
        <w:rPr>
          <w:rFonts w:eastAsia="Arial" w:cs="Arial"/>
          <w:b/>
          <w:lang w:val="es-ES_tradnl" w:eastAsia="zh-CN"/>
        </w:rPr>
        <w:t xml:space="preserve">     </w:t>
      </w:r>
    </w:p>
    <w:p w:rsidR="009D2417" w:rsidRPr="00EE4DBD" w:rsidRDefault="009D2417" w:rsidP="001B0C93">
      <w:pPr>
        <w:spacing w:line="360" w:lineRule="auto"/>
        <w:jc w:val="both"/>
        <w:rPr>
          <w:rFonts w:eastAsia="Arial" w:cs="Arial"/>
          <w:b/>
          <w:lang w:val="es-ES_tradnl" w:eastAsia="zh-CN"/>
        </w:rPr>
      </w:pPr>
      <w:r w:rsidRPr="00EE4DBD">
        <w:rPr>
          <w:rFonts w:eastAsia="Arial" w:cs="Arial"/>
          <w:b/>
          <w:lang w:eastAsia="zh-CN"/>
        </w:rPr>
        <w:t>1.6</w:t>
      </w:r>
      <w:r w:rsidRPr="00EE4DBD">
        <w:rPr>
          <w:rFonts w:cs="Arial"/>
          <w:b/>
          <w:lang w:eastAsia="zh-CN"/>
        </w:rPr>
        <w:t xml:space="preserve"> Artículo 7 de la Ley Nº 13.142, Artículo 1 del Decreto Ley Nº 14.632 y  Decreto Nº 342/1992 del Poder Ejecutivo</w:t>
      </w:r>
    </w:p>
    <w:p w:rsidR="009D2417" w:rsidRPr="00EE4DBD" w:rsidRDefault="009D2417" w:rsidP="00AB260F">
      <w:pPr>
        <w:spacing w:line="360" w:lineRule="auto"/>
        <w:ind w:hanging="284"/>
        <w:jc w:val="both"/>
        <w:rPr>
          <w:rFonts w:cs="Arial"/>
          <w:lang w:eastAsia="zh-CN"/>
        </w:rPr>
      </w:pPr>
      <w:r w:rsidRPr="00EE4DBD">
        <w:rPr>
          <w:rFonts w:cs="Arial"/>
          <w:b/>
          <w:lang w:eastAsia="zh-CN"/>
        </w:rPr>
        <w:t xml:space="preserve">     </w:t>
      </w:r>
      <w:r w:rsidRPr="00EE4DBD">
        <w:rPr>
          <w:rFonts w:cs="Arial"/>
          <w:lang w:eastAsia="zh-CN"/>
        </w:rPr>
        <w:t xml:space="preserve">En oportunidad de efectuar los pagos a acreedores no se exige, en todos los casos, los certificados que acrediten estar al día con sus obligaciones ante la Dirección General Impositiva </w:t>
      </w:r>
      <w:r w:rsidR="001B0C93">
        <w:rPr>
          <w:rFonts w:cs="Arial"/>
          <w:lang w:eastAsia="zh-CN"/>
        </w:rPr>
        <w:t>y el Banco de Previsión Social.</w:t>
      </w:r>
    </w:p>
    <w:p w:rsidR="009D2417" w:rsidRPr="00EE4DBD" w:rsidRDefault="009D2417" w:rsidP="00571C76">
      <w:pPr>
        <w:widowControl w:val="0"/>
        <w:tabs>
          <w:tab w:val="left" w:pos="720"/>
        </w:tabs>
        <w:spacing w:line="360" w:lineRule="auto"/>
        <w:ind w:hanging="284"/>
        <w:jc w:val="both"/>
        <w:rPr>
          <w:rFonts w:eastAsia="Arial" w:cs="Arial"/>
          <w:b/>
          <w:bCs/>
          <w:lang w:eastAsia="zh-CN"/>
        </w:rPr>
      </w:pPr>
    </w:p>
    <w:p w:rsidR="009D2417" w:rsidRPr="00EE4DBD" w:rsidRDefault="009D2417" w:rsidP="001B0C93">
      <w:pPr>
        <w:widowControl w:val="0"/>
        <w:tabs>
          <w:tab w:val="left" w:pos="720"/>
        </w:tabs>
        <w:spacing w:line="360" w:lineRule="auto"/>
        <w:jc w:val="both"/>
        <w:rPr>
          <w:rFonts w:eastAsia="Arial" w:cs="Arial"/>
          <w:b/>
          <w:bCs/>
          <w:lang w:eastAsia="zh-CN"/>
        </w:rPr>
      </w:pPr>
      <w:r w:rsidRPr="00EE4DBD">
        <w:rPr>
          <w:rFonts w:eastAsia="Arial" w:cs="Arial"/>
          <w:b/>
          <w:bCs/>
          <w:lang w:eastAsia="zh-CN"/>
        </w:rPr>
        <w:t>1.7 Artículos 43 y 124 de la Ley 17.738</w:t>
      </w:r>
    </w:p>
    <w:p w:rsidR="009D2417" w:rsidRPr="005A2669" w:rsidRDefault="009D2417" w:rsidP="00AB260F">
      <w:pPr>
        <w:pStyle w:val="Bodyby"/>
        <w:spacing w:after="120" w:line="360" w:lineRule="auto"/>
        <w:jc w:val="both"/>
        <w:rPr>
          <w:rFonts w:ascii="Arial" w:hAnsi="Arial" w:cs="Arial"/>
          <w:color w:val="FF0000"/>
          <w:sz w:val="24"/>
          <w:szCs w:val="24"/>
        </w:rPr>
      </w:pPr>
      <w:r w:rsidRPr="00EE4DBD">
        <w:rPr>
          <w:rFonts w:ascii="Arial" w:hAnsi="Arial" w:cs="Arial"/>
          <w:sz w:val="24"/>
          <w:szCs w:val="24"/>
        </w:rPr>
        <w:t>Se constató que se abonaron honorarios facturados por un profesional, el cual presenta  declaración ante la Caja de Profesionales Universitarios de “no ejercicio libre”. El certificado presentado habilita al cobro de sueldo pero no habilita al cobro de honorarios. Se verifican pagos al citado prof</w:t>
      </w:r>
      <w:r w:rsidR="001B0C93">
        <w:rPr>
          <w:rFonts w:ascii="Arial" w:hAnsi="Arial" w:cs="Arial"/>
          <w:sz w:val="24"/>
          <w:szCs w:val="24"/>
        </w:rPr>
        <w:t>esional, de marzo a junio 2017.</w:t>
      </w:r>
    </w:p>
    <w:p w:rsidR="009D2417" w:rsidRPr="00EE4DBD" w:rsidRDefault="009D2417" w:rsidP="00AB260F">
      <w:pPr>
        <w:tabs>
          <w:tab w:val="left" w:pos="1212"/>
        </w:tabs>
        <w:spacing w:line="360" w:lineRule="auto"/>
        <w:jc w:val="both"/>
        <w:rPr>
          <w:rFonts w:cs="Arial"/>
          <w:b/>
          <w:lang w:eastAsia="zh-CN"/>
        </w:rPr>
      </w:pPr>
    </w:p>
    <w:p w:rsidR="009D2417" w:rsidRPr="00EE4DBD" w:rsidRDefault="009D2417" w:rsidP="00AB260F">
      <w:pPr>
        <w:tabs>
          <w:tab w:val="left" w:pos="1212"/>
        </w:tabs>
        <w:spacing w:line="360" w:lineRule="auto"/>
        <w:jc w:val="both"/>
        <w:rPr>
          <w:rFonts w:cs="Arial"/>
          <w:snapToGrid w:val="0"/>
          <w:lang w:val="es-MX"/>
        </w:rPr>
      </w:pPr>
      <w:r w:rsidRPr="00EE4DBD">
        <w:rPr>
          <w:rFonts w:cs="Arial"/>
          <w:b/>
          <w:lang w:eastAsia="zh-CN"/>
        </w:rPr>
        <w:t>1.8 Artículos 10 y 42 de la Ley 19.210 y Decreto 180/15 del Poder Ejecutivo</w:t>
      </w:r>
    </w:p>
    <w:p w:rsidR="009D2417" w:rsidRPr="001B0C93" w:rsidRDefault="009D2417" w:rsidP="00AB260F">
      <w:pPr>
        <w:pStyle w:val="HTMLconformatoprevio"/>
        <w:shd w:val="clear" w:color="auto" w:fill="FFFFFF"/>
        <w:spacing w:after="150" w:line="360" w:lineRule="auto"/>
        <w:jc w:val="both"/>
        <w:rPr>
          <w:rFonts w:ascii="Arial" w:hAnsi="Arial" w:cs="Arial"/>
          <w:b/>
          <w:i/>
          <w:color w:val="00B050"/>
          <w:sz w:val="24"/>
          <w:szCs w:val="24"/>
          <w:lang w:val="es-UY" w:eastAsia="zh-CN"/>
        </w:rPr>
      </w:pPr>
      <w:r w:rsidRPr="00EE4DBD">
        <w:rPr>
          <w:rFonts w:ascii="Arial" w:hAnsi="Arial" w:cs="Arial"/>
          <w:sz w:val="24"/>
          <w:szCs w:val="24"/>
          <w:lang w:eastAsia="zh-CN"/>
        </w:rPr>
        <w:t>En la mayoría de los casos no se paga a los proveedores de la Intendencia tanto de bienes como</w:t>
      </w:r>
      <w:r w:rsidRPr="00EE4DBD">
        <w:rPr>
          <w:rFonts w:ascii="Arial" w:hAnsi="Arial" w:cs="Arial"/>
          <w:sz w:val="24"/>
          <w:szCs w:val="24"/>
          <w:lang w:val="es-UY" w:eastAsia="zh-CN"/>
        </w:rPr>
        <w:t xml:space="preserve"> de</w:t>
      </w:r>
      <w:r w:rsidRPr="00EE4DBD">
        <w:rPr>
          <w:rFonts w:ascii="Arial" w:hAnsi="Arial" w:cs="Arial"/>
          <w:sz w:val="24"/>
          <w:szCs w:val="24"/>
          <w:lang w:eastAsia="zh-CN"/>
        </w:rPr>
        <w:t xml:space="preserve"> servicios, mediante acreditación en cuenta en instituciones de intermediación financiera, como lo establecen las citadas normas.</w:t>
      </w:r>
      <w:r w:rsidRPr="00EE4DBD">
        <w:rPr>
          <w:rFonts w:ascii="Arial" w:hAnsi="Arial" w:cs="Arial"/>
          <w:color w:val="FF0000"/>
          <w:sz w:val="24"/>
          <w:szCs w:val="24"/>
          <w:lang w:eastAsia="zh-CN"/>
        </w:rPr>
        <w:t xml:space="preserve"> </w:t>
      </w:r>
      <w:r w:rsidRPr="00EE4DBD">
        <w:rPr>
          <w:rFonts w:ascii="Arial" w:hAnsi="Arial" w:cs="Arial"/>
          <w:sz w:val="24"/>
          <w:szCs w:val="24"/>
          <w:lang w:eastAsia="zh-CN"/>
        </w:rPr>
        <w:t xml:space="preserve">Además no se exige a la totalidad de los proveedores su inscripción en el RUPE (Registro Único de Proveedores del </w:t>
      </w:r>
      <w:r>
        <w:rPr>
          <w:rFonts w:ascii="Arial" w:hAnsi="Arial" w:cs="Arial"/>
          <w:sz w:val="24"/>
          <w:szCs w:val="24"/>
          <w:lang w:val="es-ES" w:eastAsia="zh-CN"/>
        </w:rPr>
        <w:t>E</w:t>
      </w:r>
      <w:proofErr w:type="spellStart"/>
      <w:r w:rsidRPr="00EE4DBD">
        <w:rPr>
          <w:rFonts w:ascii="Arial" w:hAnsi="Arial" w:cs="Arial"/>
          <w:sz w:val="24"/>
          <w:szCs w:val="24"/>
          <w:lang w:eastAsia="zh-CN"/>
        </w:rPr>
        <w:t>stado</w:t>
      </w:r>
      <w:proofErr w:type="spellEnd"/>
      <w:r w:rsidRPr="00EE4DBD">
        <w:rPr>
          <w:rFonts w:ascii="Arial" w:hAnsi="Arial" w:cs="Arial"/>
          <w:sz w:val="24"/>
          <w:szCs w:val="24"/>
          <w:lang w:eastAsia="zh-CN"/>
        </w:rPr>
        <w:t>).</w:t>
      </w:r>
      <w:r w:rsidRPr="00EE4DBD">
        <w:rPr>
          <w:rFonts w:ascii="Arial" w:hAnsi="Arial" w:cs="Arial"/>
          <w:b/>
          <w:sz w:val="24"/>
          <w:szCs w:val="24"/>
          <w:lang w:eastAsia="zh-CN"/>
        </w:rPr>
        <w:t xml:space="preserve"> </w:t>
      </w:r>
      <w:r w:rsidRPr="00EE4DBD">
        <w:rPr>
          <w:rFonts w:ascii="Arial" w:hAnsi="Arial" w:cs="Arial"/>
          <w:sz w:val="24"/>
          <w:szCs w:val="24"/>
          <w:lang w:eastAsia="zh-CN"/>
        </w:rPr>
        <w:t xml:space="preserve">Se abonaron adelantos de sueldos con cheques, incumpliendo lo establecido en el </w:t>
      </w:r>
      <w:r w:rsidR="001B0C93">
        <w:rPr>
          <w:rFonts w:ascii="Arial" w:hAnsi="Arial" w:cs="Arial"/>
          <w:sz w:val="24"/>
          <w:szCs w:val="24"/>
          <w:lang w:eastAsia="zh-CN"/>
        </w:rPr>
        <w:t>Artículo 10 de la referida ley.</w:t>
      </w:r>
    </w:p>
    <w:p w:rsidR="009D2417" w:rsidRPr="00EE4DBD" w:rsidRDefault="009D2417" w:rsidP="001B0C93">
      <w:pPr>
        <w:widowControl w:val="0"/>
        <w:tabs>
          <w:tab w:val="left" w:pos="720"/>
        </w:tabs>
        <w:spacing w:line="360" w:lineRule="auto"/>
        <w:jc w:val="both"/>
        <w:rPr>
          <w:rFonts w:cs="Arial"/>
          <w:color w:val="FF0000"/>
        </w:rPr>
      </w:pPr>
      <w:r w:rsidRPr="00EE4DBD">
        <w:rPr>
          <w:rFonts w:cs="Arial"/>
          <w:b/>
          <w:lang w:eastAsia="zh-CN"/>
        </w:rPr>
        <w:t>1.9</w:t>
      </w:r>
      <w:r w:rsidRPr="00EE4DBD">
        <w:rPr>
          <w:rFonts w:cs="Arial"/>
          <w:lang w:eastAsia="zh-CN"/>
        </w:rPr>
        <w:t xml:space="preserve"> </w:t>
      </w:r>
      <w:r w:rsidRPr="00EE4DBD">
        <w:rPr>
          <w:rFonts w:cs="Arial"/>
          <w:b/>
          <w:lang w:eastAsia="zh-CN"/>
        </w:rPr>
        <w:t>Artículo 14 del TOCAF</w:t>
      </w:r>
    </w:p>
    <w:p w:rsidR="009D2417" w:rsidRPr="00EE4DBD" w:rsidRDefault="009D2417" w:rsidP="00AB260F">
      <w:pPr>
        <w:spacing w:line="360" w:lineRule="auto"/>
        <w:jc w:val="both"/>
        <w:rPr>
          <w:rFonts w:eastAsia="Arial" w:cs="Arial"/>
          <w:b/>
          <w:i/>
          <w:color w:val="00B050"/>
          <w:lang w:eastAsia="zh-CN"/>
        </w:rPr>
      </w:pPr>
      <w:r w:rsidRPr="00EE4DBD">
        <w:rPr>
          <w:rFonts w:cs="Arial"/>
          <w:lang w:eastAsia="zh-CN"/>
        </w:rPr>
        <w:t>Se verificó que se efectuaron adquisiciones de bienes sin contar con la orden de compra y/o acto administrativo correspondiente que autoricen las mismas, constatándose pagos directos, no cumpliendo con el proceso del gasto como lo establece la citada normativa. Analizado el rubro “vales a rendir cuentas”, el mismo presenta en algunos casos, comprobantes autorizados cuya fecha es anterior a la emisió</w:t>
      </w:r>
      <w:r w:rsidR="001B0C93">
        <w:rPr>
          <w:rFonts w:cs="Arial"/>
          <w:lang w:eastAsia="zh-CN"/>
        </w:rPr>
        <w:t>n y otorgamiento de los mismos.</w:t>
      </w:r>
    </w:p>
    <w:p w:rsidR="009D2417" w:rsidRPr="00EE4DBD" w:rsidRDefault="009D2417" w:rsidP="00AB260F">
      <w:pPr>
        <w:widowControl w:val="0"/>
        <w:spacing w:line="360" w:lineRule="auto"/>
        <w:ind w:hanging="426"/>
        <w:jc w:val="both"/>
        <w:rPr>
          <w:rFonts w:eastAsia="Arial" w:cs="Arial"/>
          <w:b/>
          <w:color w:val="FF0000"/>
          <w:lang w:eastAsia="zh-CN"/>
        </w:rPr>
      </w:pPr>
      <w:r w:rsidRPr="00EE4DBD">
        <w:rPr>
          <w:rFonts w:eastAsia="Arial" w:cs="Arial"/>
          <w:b/>
          <w:color w:val="FF0000"/>
          <w:lang w:eastAsia="zh-CN"/>
        </w:rPr>
        <w:t xml:space="preserve">       </w:t>
      </w:r>
    </w:p>
    <w:p w:rsidR="009D2417" w:rsidRPr="00EE4DBD" w:rsidRDefault="009D2417" w:rsidP="00AB260F">
      <w:pPr>
        <w:spacing w:line="360" w:lineRule="auto"/>
        <w:jc w:val="both"/>
        <w:rPr>
          <w:rFonts w:eastAsia="Arial" w:cs="Arial"/>
          <w:lang w:eastAsia="zh-CN"/>
        </w:rPr>
      </w:pPr>
      <w:r w:rsidRPr="00EE4DBD">
        <w:rPr>
          <w:rFonts w:eastAsia="Arial" w:cs="Arial"/>
          <w:b/>
          <w:lang w:eastAsia="zh-CN"/>
        </w:rPr>
        <w:t>1.10</w:t>
      </w:r>
      <w:r w:rsidRPr="00EE4DBD">
        <w:rPr>
          <w:rFonts w:cs="Arial"/>
          <w:b/>
          <w:lang w:eastAsia="zh-CN"/>
        </w:rPr>
        <w:t xml:space="preserve"> Articulo 21 del TOCAF</w:t>
      </w:r>
    </w:p>
    <w:p w:rsidR="009D2417" w:rsidRPr="00EE4DBD" w:rsidRDefault="009D2417" w:rsidP="00AB260F">
      <w:pPr>
        <w:spacing w:line="360" w:lineRule="auto"/>
        <w:jc w:val="both"/>
        <w:rPr>
          <w:rFonts w:cs="Arial"/>
          <w:lang w:eastAsia="zh-CN"/>
        </w:rPr>
      </w:pPr>
      <w:r w:rsidRPr="00EE4DBD">
        <w:rPr>
          <w:rFonts w:cs="Arial"/>
          <w:lang w:eastAsia="zh-CN"/>
        </w:rPr>
        <w:t>Existen profesionales con contratos de arrendamiento de servicios vencidos al 31/12/2017</w:t>
      </w:r>
      <w:r w:rsidRPr="00EE4DBD">
        <w:rPr>
          <w:rFonts w:cs="Arial"/>
          <w:color w:val="FF0000"/>
          <w:lang w:eastAsia="zh-CN"/>
        </w:rPr>
        <w:t xml:space="preserve">, </w:t>
      </w:r>
      <w:r w:rsidRPr="00EE4DBD">
        <w:rPr>
          <w:rFonts w:cs="Arial"/>
          <w:lang w:eastAsia="zh-CN"/>
        </w:rPr>
        <w:t>incumpliendo con la citada norma.</w:t>
      </w:r>
    </w:p>
    <w:p w:rsidR="009D2417" w:rsidRPr="00EE4DBD" w:rsidRDefault="009D2417" w:rsidP="00AB260F">
      <w:pPr>
        <w:widowControl w:val="0"/>
        <w:tabs>
          <w:tab w:val="left" w:pos="720"/>
        </w:tabs>
        <w:spacing w:line="360" w:lineRule="auto"/>
        <w:ind w:hanging="426"/>
        <w:jc w:val="both"/>
        <w:rPr>
          <w:rFonts w:eastAsia="Arial" w:cs="Arial"/>
          <w:lang w:eastAsia="zh-CN"/>
        </w:rPr>
      </w:pPr>
      <w:r w:rsidRPr="00EE4DBD">
        <w:rPr>
          <w:rFonts w:eastAsia="Arial" w:cs="Arial"/>
          <w:lang w:eastAsia="zh-CN"/>
        </w:rPr>
        <w:t xml:space="preserve">      </w:t>
      </w:r>
    </w:p>
    <w:p w:rsidR="009D2417" w:rsidRPr="00EE4DBD" w:rsidRDefault="009D2417" w:rsidP="001B0C93">
      <w:pPr>
        <w:widowControl w:val="0"/>
        <w:tabs>
          <w:tab w:val="left" w:pos="720"/>
        </w:tabs>
        <w:spacing w:line="360" w:lineRule="auto"/>
        <w:jc w:val="both"/>
        <w:rPr>
          <w:rFonts w:eastAsia="Arial" w:cs="Arial"/>
          <w:lang w:eastAsia="zh-CN"/>
        </w:rPr>
      </w:pPr>
      <w:r w:rsidRPr="00EE4DBD">
        <w:rPr>
          <w:rFonts w:cs="Arial"/>
          <w:b/>
          <w:bCs/>
          <w:lang w:eastAsia="zh-CN"/>
        </w:rPr>
        <w:t>1.11 Artículos 33 y 43 del TOCAF</w:t>
      </w:r>
    </w:p>
    <w:p w:rsidR="009D2417" w:rsidRPr="00EE4DBD" w:rsidRDefault="009D2417" w:rsidP="00AB260F">
      <w:pPr>
        <w:tabs>
          <w:tab w:val="left" w:pos="6645"/>
        </w:tabs>
        <w:spacing w:line="360" w:lineRule="auto"/>
        <w:jc w:val="both"/>
        <w:rPr>
          <w:rFonts w:cs="Arial"/>
          <w:bCs/>
        </w:rPr>
      </w:pPr>
      <w:r w:rsidRPr="00EE4DBD">
        <w:rPr>
          <w:rFonts w:cs="Arial"/>
          <w:lang w:eastAsia="zh-CN"/>
        </w:rPr>
        <w:t>La Intendencia ha contratado en forma directa con empresas, no cumpliendo con los procedimientos establecidos en el TOCAF. Asimismo s</w:t>
      </w:r>
      <w:r w:rsidRPr="00EE4DBD">
        <w:rPr>
          <w:rFonts w:cs="Arial"/>
          <w:kern w:val="18"/>
          <w:szCs w:val="20"/>
        </w:rPr>
        <w:t>e realizaron compras de artículos en forma fraccionada sin dejar constancia de sus fundamentos, por lo que no se tuvieron en cuenta las necesidades previstas para todo el ejercicio de ese tipo de artículos</w:t>
      </w:r>
      <w:bookmarkStart w:id="2" w:name="__RefHeading__3_1784722644"/>
      <w:bookmarkEnd w:id="2"/>
      <w:r w:rsidRPr="00EE4DBD">
        <w:rPr>
          <w:rFonts w:cs="Arial"/>
          <w:kern w:val="18"/>
          <w:szCs w:val="20"/>
        </w:rPr>
        <w:t>. A modo de ejemplo se mencionan los rubros de “</w:t>
      </w:r>
      <w:r w:rsidRPr="00EE4DBD">
        <w:rPr>
          <w:rFonts w:cs="Arial"/>
          <w:bCs/>
        </w:rPr>
        <w:t>productos de papel, libros e impresos”, “fletes dentro del país”, “arrendamientos de máquinas y equipos de construcción”, “servicio de mantenimiento automotores” y “servicios d</w:t>
      </w:r>
      <w:r w:rsidR="001B0C93">
        <w:rPr>
          <w:rFonts w:cs="Arial"/>
          <w:bCs/>
        </w:rPr>
        <w:t>e limpieza, aseo y fumigación”.</w:t>
      </w:r>
    </w:p>
    <w:p w:rsidR="009D2417" w:rsidRDefault="009D2417" w:rsidP="00AB260F">
      <w:pPr>
        <w:tabs>
          <w:tab w:val="left" w:pos="6645"/>
        </w:tabs>
        <w:spacing w:line="360" w:lineRule="auto"/>
        <w:jc w:val="both"/>
        <w:rPr>
          <w:rFonts w:cs="Arial"/>
          <w:b/>
        </w:rPr>
      </w:pPr>
    </w:p>
    <w:p w:rsidR="009D2417" w:rsidRPr="00EE4DBD" w:rsidRDefault="009D2417" w:rsidP="00AB260F">
      <w:pPr>
        <w:tabs>
          <w:tab w:val="left" w:pos="6645"/>
        </w:tabs>
        <w:spacing w:line="360" w:lineRule="auto"/>
        <w:jc w:val="both"/>
        <w:rPr>
          <w:rFonts w:cs="Arial"/>
          <w:bCs/>
        </w:rPr>
      </w:pPr>
      <w:r w:rsidRPr="00EE4DBD">
        <w:rPr>
          <w:rFonts w:cs="Arial"/>
          <w:b/>
        </w:rPr>
        <w:t>1.12 Artículos 84 y 97 del TOCAF.</w:t>
      </w:r>
    </w:p>
    <w:p w:rsidR="009D2417" w:rsidRPr="00EE4DBD" w:rsidRDefault="009D2417" w:rsidP="00AB260F">
      <w:pPr>
        <w:tabs>
          <w:tab w:val="left" w:pos="6645"/>
        </w:tabs>
        <w:spacing w:line="360" w:lineRule="auto"/>
        <w:jc w:val="both"/>
        <w:rPr>
          <w:rFonts w:cs="Arial"/>
          <w:kern w:val="18"/>
        </w:rPr>
      </w:pPr>
      <w:r w:rsidRPr="00EE4DBD">
        <w:rPr>
          <w:rFonts w:cs="Arial"/>
          <w:lang w:eastAsia="zh-CN"/>
        </w:rPr>
        <w:t>No están actualizados los inventarios de la totalidad de los bienes de la Intendencia.</w:t>
      </w:r>
    </w:p>
    <w:p w:rsidR="009D2417" w:rsidRPr="00EE4DBD" w:rsidRDefault="009D2417" w:rsidP="00AB260F">
      <w:pPr>
        <w:tabs>
          <w:tab w:val="left" w:pos="6645"/>
        </w:tabs>
        <w:spacing w:line="360" w:lineRule="auto"/>
        <w:jc w:val="both"/>
        <w:rPr>
          <w:rFonts w:cs="Arial"/>
          <w:b/>
        </w:rPr>
      </w:pPr>
    </w:p>
    <w:p w:rsidR="002F3613" w:rsidRDefault="009D2417" w:rsidP="00AB260F">
      <w:pPr>
        <w:tabs>
          <w:tab w:val="left" w:pos="6645"/>
        </w:tabs>
        <w:spacing w:line="360" w:lineRule="auto"/>
        <w:jc w:val="both"/>
        <w:rPr>
          <w:rFonts w:cs="Arial"/>
          <w:b/>
          <w:lang w:eastAsia="zh-CN"/>
        </w:rPr>
      </w:pPr>
      <w:r w:rsidRPr="00EE4DBD">
        <w:rPr>
          <w:rFonts w:cs="Arial"/>
          <w:b/>
          <w:bCs/>
          <w:lang w:eastAsia="zh-CN"/>
        </w:rPr>
        <w:t xml:space="preserve">1.13 </w:t>
      </w:r>
      <w:r w:rsidRPr="00EE4DBD">
        <w:rPr>
          <w:rFonts w:cs="Arial"/>
          <w:b/>
          <w:lang w:eastAsia="zh-CN"/>
        </w:rPr>
        <w:t>Artículo 94 del TOCAF y Ordenanza N° 89 del Tribunal de Cuentas</w:t>
      </w:r>
    </w:p>
    <w:p w:rsidR="009D2417" w:rsidRPr="00EE4DBD" w:rsidRDefault="009D2417" w:rsidP="00AB260F">
      <w:pPr>
        <w:tabs>
          <w:tab w:val="left" w:pos="6645"/>
        </w:tabs>
        <w:spacing w:line="360" w:lineRule="auto"/>
        <w:jc w:val="both"/>
        <w:rPr>
          <w:rFonts w:cs="Arial"/>
          <w:lang w:eastAsia="zh-CN"/>
        </w:rPr>
      </w:pPr>
      <w:r w:rsidRPr="00EE4DBD">
        <w:rPr>
          <w:rFonts w:cs="Arial"/>
          <w:lang w:eastAsia="zh-CN"/>
        </w:rPr>
        <w:t>No se ha implementado por la Intendencia un sistema de contabilidad  patrimonial que permita cumplir con lo establecido por dichas normas.</w:t>
      </w:r>
    </w:p>
    <w:p w:rsidR="009D2417" w:rsidRPr="00EE4DBD" w:rsidRDefault="009D2417" w:rsidP="00AB260F">
      <w:pPr>
        <w:tabs>
          <w:tab w:val="left" w:pos="6645"/>
        </w:tabs>
        <w:spacing w:line="360" w:lineRule="auto"/>
        <w:jc w:val="both"/>
        <w:rPr>
          <w:rFonts w:cs="Arial"/>
          <w:lang w:eastAsia="zh-CN"/>
        </w:rPr>
      </w:pPr>
    </w:p>
    <w:p w:rsidR="009D2417" w:rsidRPr="00EE4DBD" w:rsidRDefault="009D2417" w:rsidP="002F3613">
      <w:pPr>
        <w:widowControl w:val="0"/>
        <w:spacing w:line="360" w:lineRule="auto"/>
        <w:jc w:val="both"/>
        <w:rPr>
          <w:rFonts w:cs="Arial"/>
          <w:b/>
          <w:lang w:eastAsia="zh-CN"/>
        </w:rPr>
      </w:pPr>
      <w:r w:rsidRPr="00EE4DBD">
        <w:rPr>
          <w:rFonts w:cs="Arial"/>
          <w:b/>
          <w:bCs/>
          <w:lang w:eastAsia="zh-CN"/>
        </w:rPr>
        <w:t xml:space="preserve">1.14 Artículo 128 Numeral 1) del TOCAF y </w:t>
      </w:r>
      <w:r w:rsidRPr="00EE4DBD">
        <w:rPr>
          <w:rFonts w:eastAsia="Arial" w:cs="Arial"/>
          <w:b/>
          <w:bCs/>
          <w:lang w:val="es-ES_tradnl" w:eastAsia="zh-CN"/>
        </w:rPr>
        <w:t>Resolución del Tribunal</w:t>
      </w:r>
      <w:r w:rsidR="001B0C93">
        <w:rPr>
          <w:rFonts w:eastAsia="Arial" w:cs="Arial"/>
          <w:b/>
          <w:bCs/>
          <w:lang w:val="es-ES_tradnl" w:eastAsia="zh-CN"/>
        </w:rPr>
        <w:t xml:space="preserve"> de Cuentas de fecha 28/01/2004.</w:t>
      </w:r>
    </w:p>
    <w:p w:rsidR="009D2417" w:rsidRPr="00EE4DBD" w:rsidRDefault="009D2417" w:rsidP="005D07EA">
      <w:pPr>
        <w:spacing w:line="360" w:lineRule="auto"/>
        <w:jc w:val="both"/>
        <w:rPr>
          <w:rFonts w:cs="Arial"/>
          <w:b/>
          <w:bCs/>
        </w:rPr>
      </w:pPr>
      <w:r w:rsidRPr="00EE4DBD">
        <w:rPr>
          <w:rFonts w:eastAsia="Arial" w:cs="Arial"/>
          <w:bCs/>
          <w:lang w:val="es-ES_tradnl" w:eastAsia="zh-CN"/>
        </w:rPr>
        <w:t>El estado de metas y objetivos presentado, no se ajusta totalmente, en su formulación, a las referidas normas ya que s</w:t>
      </w:r>
      <w:r w:rsidRPr="00EE4DBD">
        <w:rPr>
          <w:rFonts w:cs="Arial"/>
          <w:bCs/>
        </w:rPr>
        <w:t>i bien se informan las obras ejecutadas, no se detallan las previstas en el Presupuesto y su costo resultante.</w:t>
      </w:r>
    </w:p>
    <w:p w:rsidR="009D2417" w:rsidRPr="00EE4DBD" w:rsidRDefault="009D2417" w:rsidP="00D723CA">
      <w:pPr>
        <w:widowControl w:val="0"/>
        <w:spacing w:line="360" w:lineRule="auto"/>
        <w:jc w:val="both"/>
        <w:rPr>
          <w:rFonts w:eastAsia="Arial" w:cs="Arial"/>
          <w:bCs/>
          <w:lang w:val="es-ES_tradnl" w:eastAsia="zh-CN"/>
        </w:rPr>
      </w:pPr>
      <w:r w:rsidRPr="00EE4DBD">
        <w:rPr>
          <w:rFonts w:eastAsia="Arial" w:cs="Arial"/>
          <w:bCs/>
          <w:lang w:val="es-ES_tradnl" w:eastAsia="zh-CN"/>
        </w:rPr>
        <w:t xml:space="preserve">No se incluye en la ejecución a nivel de objeto (Estado Nº 3.3.2), la clasificación de los montos ejecutados en pagados e impagos. Esto no permite verificar la exactitud de los egresos presupuestales expuestos en el estado </w:t>
      </w:r>
      <w:r>
        <w:rPr>
          <w:rFonts w:eastAsia="Arial" w:cs="Arial"/>
          <w:bCs/>
          <w:lang w:val="es-ES_tradnl" w:eastAsia="zh-CN"/>
        </w:rPr>
        <w:t xml:space="preserve">   </w:t>
      </w:r>
      <w:r w:rsidRPr="00EE4DBD">
        <w:rPr>
          <w:rFonts w:eastAsia="Arial" w:cs="Arial"/>
          <w:bCs/>
          <w:lang w:val="es-ES_tradnl" w:eastAsia="zh-CN"/>
        </w:rPr>
        <w:t>Nº 3.6.1 Movimientos de Fondos y Valores, ya que los mismos  se obtienen por diferencia.</w:t>
      </w:r>
      <w:r w:rsidRPr="00EE4DBD">
        <w:rPr>
          <w:rFonts w:eastAsia="Arial" w:cs="Arial"/>
          <w:bCs/>
          <w:color w:val="FF0000"/>
          <w:lang w:val="es-ES_tradnl" w:eastAsia="zh-CN"/>
        </w:rPr>
        <w:t xml:space="preserve">  </w:t>
      </w:r>
      <w:r w:rsidRPr="00EE4DBD">
        <w:rPr>
          <w:rFonts w:eastAsia="Arial" w:cs="Arial"/>
          <w:bCs/>
          <w:lang w:val="es-ES_tradnl" w:eastAsia="zh-CN"/>
        </w:rPr>
        <w:t xml:space="preserve">Además, no se presenta el detalle de cheques diferidos de terceros, ni se deja constancia de la existencia o </w:t>
      </w:r>
      <w:proofErr w:type="spellStart"/>
      <w:r w:rsidRPr="00EE4DBD">
        <w:rPr>
          <w:rFonts w:eastAsia="Arial" w:cs="Arial"/>
          <w:bCs/>
          <w:lang w:val="es-ES_tradnl" w:eastAsia="zh-CN"/>
        </w:rPr>
        <w:t>n</w:t>
      </w:r>
      <w:r>
        <w:rPr>
          <w:rFonts w:eastAsia="Arial" w:cs="Arial"/>
          <w:bCs/>
          <w:lang w:val="es-ES_tradnl" w:eastAsia="zh-CN"/>
        </w:rPr>
        <w:t>ó</w:t>
      </w:r>
      <w:proofErr w:type="spellEnd"/>
      <w:r w:rsidR="001B0C93">
        <w:rPr>
          <w:rFonts w:eastAsia="Arial" w:cs="Arial"/>
          <w:bCs/>
          <w:lang w:val="es-ES_tradnl" w:eastAsia="zh-CN"/>
        </w:rPr>
        <w:t xml:space="preserve"> de los mismos.</w:t>
      </w:r>
    </w:p>
    <w:p w:rsidR="009D2417" w:rsidRPr="00EE4DBD" w:rsidRDefault="009D2417" w:rsidP="006F47FA">
      <w:pPr>
        <w:tabs>
          <w:tab w:val="left" w:pos="6645"/>
        </w:tabs>
        <w:spacing w:line="360" w:lineRule="auto"/>
        <w:jc w:val="both"/>
        <w:rPr>
          <w:rFonts w:cs="Arial"/>
          <w:bCs/>
        </w:rPr>
      </w:pPr>
      <w:r w:rsidRPr="00EE4DBD">
        <w:rPr>
          <w:rFonts w:eastAsia="Arial" w:cs="Arial"/>
          <w:bCs/>
          <w:lang w:val="es-ES_tradnl" w:eastAsia="zh-CN"/>
        </w:rPr>
        <w:t xml:space="preserve">No se presenta el Estado N° 5 “Recursos con destino específico”, la copia certificada del Informe de Rendición de Cuentas, el estado 3.3.5 “Compromisos de Inversión no ejecutados al cierre del ejercicio” y el Estado N° 7 “Fondos a rendir cuenta y bienes en custodia”, ni se deja constancia de la existencia o </w:t>
      </w:r>
      <w:proofErr w:type="spellStart"/>
      <w:r w:rsidRPr="00EE4DBD">
        <w:rPr>
          <w:rFonts w:eastAsia="Arial" w:cs="Arial"/>
          <w:bCs/>
          <w:lang w:val="es-ES_tradnl" w:eastAsia="zh-CN"/>
        </w:rPr>
        <w:t>n</w:t>
      </w:r>
      <w:r>
        <w:rPr>
          <w:rFonts w:eastAsia="Arial" w:cs="Arial"/>
          <w:bCs/>
          <w:lang w:val="es-ES_tradnl" w:eastAsia="zh-CN"/>
        </w:rPr>
        <w:t>ó</w:t>
      </w:r>
      <w:proofErr w:type="spellEnd"/>
      <w:r w:rsidR="001B0C93">
        <w:rPr>
          <w:rFonts w:eastAsia="Arial" w:cs="Arial"/>
          <w:bCs/>
          <w:lang w:val="es-ES_tradnl" w:eastAsia="zh-CN"/>
        </w:rPr>
        <w:t xml:space="preserve"> de los mismos.</w:t>
      </w:r>
    </w:p>
    <w:p w:rsidR="009D2417" w:rsidRPr="00EE4DBD" w:rsidRDefault="009D2417" w:rsidP="00D723CA">
      <w:pPr>
        <w:widowControl w:val="0"/>
        <w:spacing w:line="360" w:lineRule="auto"/>
        <w:jc w:val="both"/>
        <w:rPr>
          <w:rFonts w:eastAsia="Arial" w:cs="Arial"/>
          <w:bCs/>
          <w:lang w:val="es-ES_tradnl" w:eastAsia="zh-CN"/>
        </w:rPr>
      </w:pPr>
      <w:r w:rsidRPr="00EE4DBD">
        <w:rPr>
          <w:rFonts w:eastAsia="Arial" w:cs="Arial"/>
          <w:bCs/>
          <w:lang w:val="es-ES_tradnl" w:eastAsia="zh-CN"/>
        </w:rPr>
        <w:t>No se informa además si existe financiamiento de terceros y cambios en los criterios contables.</w:t>
      </w:r>
    </w:p>
    <w:p w:rsidR="009D2417" w:rsidRPr="00EE4DBD" w:rsidRDefault="009D2417" w:rsidP="00F3237D">
      <w:pPr>
        <w:widowControl w:val="0"/>
        <w:spacing w:line="360" w:lineRule="auto"/>
        <w:jc w:val="both"/>
        <w:rPr>
          <w:rFonts w:cs="Arial"/>
          <w:lang w:eastAsia="zh-CN"/>
        </w:rPr>
      </w:pPr>
      <w:r w:rsidRPr="00EE4DBD">
        <w:rPr>
          <w:rFonts w:eastAsia="Arial" w:cs="Arial"/>
          <w:bCs/>
          <w:lang w:val="es-ES_tradnl" w:eastAsia="zh-CN"/>
        </w:rPr>
        <w:t>El estado Nº 8 “Obligaciones Presupuestales Impagas”, no se presenta de acuerdo a la citada Resolución, en la medida que se exponen por separado las obligaciones presupuestales impagas del ejercicio y las de ejercicios anteriores. Además se verifican errores en la formulación de este último estado, en la medida que sólo se exponen los saldos finales, omitiendo los saldos iníciales, déb</w:t>
      </w:r>
      <w:r w:rsidR="001B0C93">
        <w:rPr>
          <w:rFonts w:eastAsia="Arial" w:cs="Arial"/>
          <w:bCs/>
          <w:lang w:val="es-ES_tradnl" w:eastAsia="zh-CN"/>
        </w:rPr>
        <w:t>itos y créditos  del ejercicio.</w:t>
      </w:r>
    </w:p>
    <w:p w:rsidR="009D2417" w:rsidRPr="00EE4DBD" w:rsidRDefault="009D2417" w:rsidP="001B0C93">
      <w:pPr>
        <w:spacing w:line="360" w:lineRule="auto"/>
        <w:jc w:val="both"/>
        <w:rPr>
          <w:rFonts w:cs="Arial"/>
          <w:bCs/>
        </w:rPr>
      </w:pPr>
      <w:r w:rsidRPr="00EE4DBD">
        <w:rPr>
          <w:rFonts w:cs="Arial"/>
          <w:b/>
          <w:lang w:eastAsia="zh-CN"/>
        </w:rPr>
        <w:t>1.15 Artículo 132 del TOCAF y Artículo 416 de la Ley N° 17.930</w:t>
      </w:r>
    </w:p>
    <w:p w:rsidR="009D2417" w:rsidRPr="00EE4DBD" w:rsidRDefault="009D2417" w:rsidP="00AB260F">
      <w:pPr>
        <w:spacing w:line="360" w:lineRule="auto"/>
        <w:jc w:val="both"/>
        <w:rPr>
          <w:rFonts w:cs="Arial"/>
          <w:bCs/>
        </w:rPr>
      </w:pPr>
      <w:r w:rsidRPr="00EE4DBD">
        <w:rPr>
          <w:rFonts w:cs="Arial"/>
          <w:bCs/>
        </w:rPr>
        <w:t xml:space="preserve">Se adelantaron fondos que no fueron rendidos en los plazos establecidos en </w:t>
      </w:r>
      <w:r w:rsidRPr="00EE4DBD">
        <w:rPr>
          <w:rFonts w:cs="Arial"/>
          <w:lang w:eastAsia="zh-CN"/>
        </w:rPr>
        <w:t>Artículo 132</w:t>
      </w:r>
      <w:r w:rsidRPr="00EE4DBD">
        <w:rPr>
          <w:rFonts w:cs="Arial"/>
          <w:b/>
          <w:lang w:eastAsia="zh-CN"/>
        </w:rPr>
        <w:t xml:space="preserve"> </w:t>
      </w:r>
      <w:r w:rsidRPr="00EE4DBD">
        <w:rPr>
          <w:rFonts w:cs="Arial"/>
          <w:lang w:eastAsia="zh-CN"/>
        </w:rPr>
        <w:t>del TOCAF</w:t>
      </w:r>
      <w:r w:rsidRPr="00EE4DBD">
        <w:rPr>
          <w:rFonts w:cs="Arial"/>
          <w:bCs/>
        </w:rPr>
        <w:t>. Además, se constató que se adelantaron fondos a funcionarios que tenían partidas pendientes de rendición.</w:t>
      </w:r>
    </w:p>
    <w:p w:rsidR="009D2417" w:rsidRPr="00EE4DBD" w:rsidRDefault="009D2417" w:rsidP="00AB260F">
      <w:pPr>
        <w:widowControl w:val="0"/>
        <w:spacing w:line="360" w:lineRule="auto"/>
        <w:ind w:hanging="142"/>
        <w:jc w:val="both"/>
        <w:rPr>
          <w:rFonts w:cs="Arial"/>
          <w:lang w:eastAsia="zh-CN"/>
        </w:rPr>
      </w:pPr>
    </w:p>
    <w:p w:rsidR="009D2417" w:rsidRPr="00EE4DBD" w:rsidRDefault="009D2417" w:rsidP="00AB260F">
      <w:pPr>
        <w:spacing w:line="360" w:lineRule="auto"/>
        <w:ind w:hanging="425"/>
        <w:jc w:val="both"/>
        <w:rPr>
          <w:rFonts w:cs="Arial"/>
          <w:lang w:eastAsia="zh-CN"/>
        </w:rPr>
      </w:pPr>
      <w:r w:rsidRPr="00EE4DBD">
        <w:rPr>
          <w:rFonts w:eastAsia="Arial" w:cs="Arial"/>
          <w:b/>
          <w:lang w:eastAsia="zh-CN"/>
        </w:rPr>
        <w:t xml:space="preserve">       </w:t>
      </w:r>
      <w:r w:rsidRPr="00EE4DBD">
        <w:rPr>
          <w:rFonts w:cs="Arial"/>
          <w:b/>
          <w:lang w:eastAsia="zh-CN"/>
        </w:rPr>
        <w:t>1.16 Decreto Nº 26/1986 de la Junta Departamental y Estatuto del Funcionario de la Intendencia</w:t>
      </w:r>
    </w:p>
    <w:p w:rsidR="009D2417" w:rsidRPr="00EE4DBD" w:rsidRDefault="009D2417" w:rsidP="006F47FA">
      <w:pPr>
        <w:tabs>
          <w:tab w:val="left" w:pos="6645"/>
        </w:tabs>
        <w:spacing w:line="360" w:lineRule="auto"/>
        <w:jc w:val="both"/>
        <w:rPr>
          <w:rFonts w:cs="Arial"/>
          <w:bCs/>
        </w:rPr>
      </w:pPr>
      <w:r w:rsidRPr="00EE4DBD">
        <w:rPr>
          <w:rFonts w:cs="Arial"/>
          <w:bCs/>
          <w:lang w:eastAsia="zh-CN"/>
        </w:rPr>
        <w:t>No se ha dado cumplimiento con la citada normativa que establece</w:t>
      </w:r>
      <w:r w:rsidRPr="00EE4DBD">
        <w:rPr>
          <w:rFonts w:cs="Arial"/>
          <w:b/>
          <w:lang w:eastAsia="zh-CN"/>
        </w:rPr>
        <w:t xml:space="preserve"> </w:t>
      </w:r>
      <w:r w:rsidRPr="00EE4DBD">
        <w:rPr>
          <w:rFonts w:cs="Arial"/>
          <w:bCs/>
          <w:lang w:eastAsia="zh-CN"/>
        </w:rPr>
        <w:t>la obligatoriedad de instruir</w:t>
      </w:r>
      <w:r w:rsidRPr="00EE4DBD">
        <w:rPr>
          <w:rFonts w:cs="Arial"/>
          <w:lang w:eastAsia="zh-CN"/>
        </w:rPr>
        <w:t xml:space="preserve"> sumario administrativo a aquellos funcionarios que en un período de 12 meses incurrieron en más de 60 inasistencias por motivos de enfermedad.</w:t>
      </w:r>
    </w:p>
    <w:p w:rsidR="009D2417" w:rsidRPr="00EE4DBD" w:rsidRDefault="009D2417" w:rsidP="00AB260F">
      <w:pPr>
        <w:spacing w:line="360" w:lineRule="auto"/>
        <w:rPr>
          <w:rFonts w:eastAsia="Calibri"/>
          <w:b/>
        </w:rPr>
      </w:pPr>
    </w:p>
    <w:p w:rsidR="009D2417" w:rsidRPr="00EE4DBD" w:rsidRDefault="009D2417" w:rsidP="00AB260F">
      <w:pPr>
        <w:widowControl w:val="0"/>
        <w:spacing w:line="360" w:lineRule="auto"/>
        <w:jc w:val="both"/>
        <w:rPr>
          <w:rFonts w:cs="Arial"/>
          <w:b/>
        </w:rPr>
      </w:pPr>
      <w:r w:rsidRPr="00EE4DBD">
        <w:rPr>
          <w:rFonts w:cs="Arial"/>
          <w:b/>
          <w:lang w:eastAsia="zh-CN"/>
        </w:rPr>
        <w:t xml:space="preserve">1.17 </w:t>
      </w:r>
      <w:r w:rsidRPr="00EE4DBD">
        <w:rPr>
          <w:rFonts w:cs="Arial"/>
          <w:b/>
        </w:rPr>
        <w:t>Convenios con contribuyentes</w:t>
      </w:r>
    </w:p>
    <w:p w:rsidR="009D2417" w:rsidRPr="00EE4DBD" w:rsidRDefault="009D2417" w:rsidP="00AB260F">
      <w:pPr>
        <w:widowControl w:val="0"/>
        <w:spacing w:line="360" w:lineRule="auto"/>
        <w:jc w:val="both"/>
        <w:rPr>
          <w:rFonts w:cs="Arial"/>
          <w:lang w:eastAsia="zh-CN"/>
        </w:rPr>
      </w:pPr>
      <w:r w:rsidRPr="00EE4DBD">
        <w:rPr>
          <w:rFonts w:cs="Arial"/>
        </w:rPr>
        <w:t>No se cumplió con la  cláusula establecida en los convenios, en la medida que se constatan convenios activos con más de 3 cuotas impagas.</w:t>
      </w:r>
    </w:p>
    <w:p w:rsidR="009D2417" w:rsidRPr="00EE4DBD" w:rsidRDefault="009D2417" w:rsidP="001B0C93">
      <w:pPr>
        <w:pStyle w:val="Subttulo"/>
        <w:jc w:val="right"/>
        <w:rPr>
          <w:rFonts w:ascii="Arial" w:hAnsi="Arial" w:cs="Arial"/>
          <w:b w:val="0"/>
        </w:rPr>
      </w:pPr>
      <w:r w:rsidRPr="00EE4DBD">
        <w:rPr>
          <w:rFonts w:ascii="Arial" w:hAnsi="Arial" w:cs="Arial"/>
          <w:b w:val="0"/>
        </w:rPr>
        <w:t xml:space="preserve">Montevideo, </w:t>
      </w:r>
      <w:r>
        <w:rPr>
          <w:rFonts w:ascii="Arial" w:hAnsi="Arial" w:cs="Arial"/>
          <w:b w:val="0"/>
        </w:rPr>
        <w:t>31</w:t>
      </w:r>
      <w:r w:rsidR="001B0C93">
        <w:rPr>
          <w:rFonts w:ascii="Arial" w:hAnsi="Arial" w:cs="Arial"/>
          <w:b w:val="0"/>
        </w:rPr>
        <w:t xml:space="preserve"> de enero de 2019</w:t>
      </w:r>
    </w:p>
    <w:p w:rsidR="009D2417" w:rsidRPr="00EE4DBD" w:rsidRDefault="009D2417" w:rsidP="00AF202B">
      <w:pPr>
        <w:tabs>
          <w:tab w:val="left" w:pos="0"/>
        </w:tabs>
        <w:spacing w:line="360" w:lineRule="auto"/>
        <w:jc w:val="both"/>
      </w:pPr>
      <w:bookmarkStart w:id="3" w:name="_Toc310000923"/>
      <w:bookmarkStart w:id="4" w:name="_Toc344371117"/>
      <w:proofErr w:type="spellStart"/>
      <w:proofErr w:type="gramStart"/>
      <w:r>
        <w:t>cr</w:t>
      </w:r>
      <w:proofErr w:type="spellEnd"/>
      <w:proofErr w:type="gramEnd"/>
    </w:p>
    <w:bookmarkEnd w:id="3"/>
    <w:bookmarkEnd w:id="4"/>
    <w:p w:rsidR="009D2417" w:rsidRDefault="009D2417" w:rsidP="00AF202B">
      <w:pPr>
        <w:spacing w:line="360" w:lineRule="auto"/>
        <w:jc w:val="both"/>
      </w:pPr>
    </w:p>
    <w:p w:rsidR="009D2417" w:rsidRDefault="009D2417" w:rsidP="00AF202B">
      <w:pPr>
        <w:spacing w:line="360" w:lineRule="auto"/>
        <w:jc w:val="both"/>
      </w:pPr>
    </w:p>
    <w:p w:rsidR="009D2417" w:rsidRDefault="009D2417" w:rsidP="00AF202B">
      <w:pPr>
        <w:spacing w:line="360" w:lineRule="auto"/>
        <w:jc w:val="both"/>
      </w:pPr>
    </w:p>
    <w:p w:rsidR="009D2417" w:rsidRDefault="009D2417" w:rsidP="00AF202B">
      <w:pPr>
        <w:spacing w:line="360" w:lineRule="auto"/>
        <w:jc w:val="both"/>
      </w:pPr>
    </w:p>
    <w:p w:rsidR="009D2417" w:rsidRDefault="009D2417" w:rsidP="00AF202B">
      <w:pPr>
        <w:spacing w:line="360" w:lineRule="auto"/>
        <w:jc w:val="both"/>
      </w:pPr>
    </w:p>
    <w:p w:rsidR="009D2417" w:rsidRDefault="009D2417" w:rsidP="00AF202B">
      <w:pPr>
        <w:spacing w:line="360" w:lineRule="auto"/>
        <w:jc w:val="both"/>
      </w:pPr>
    </w:p>
    <w:p w:rsidR="009D2417" w:rsidRDefault="009D2417" w:rsidP="00AF202B">
      <w:pPr>
        <w:spacing w:line="360" w:lineRule="auto"/>
        <w:jc w:val="both"/>
      </w:pPr>
    </w:p>
    <w:p w:rsidR="009D2417" w:rsidRDefault="009D2417" w:rsidP="00AF202B">
      <w:pPr>
        <w:spacing w:line="360" w:lineRule="auto"/>
        <w:jc w:val="both"/>
      </w:pPr>
    </w:p>
    <w:p w:rsidR="009D2417" w:rsidRDefault="009D2417" w:rsidP="00AF202B">
      <w:pPr>
        <w:spacing w:line="360" w:lineRule="auto"/>
        <w:jc w:val="both"/>
      </w:pPr>
    </w:p>
    <w:p w:rsidR="009D2417" w:rsidRDefault="009D2417" w:rsidP="00AF202B">
      <w:pPr>
        <w:spacing w:line="360" w:lineRule="auto"/>
        <w:jc w:val="both"/>
      </w:pPr>
    </w:p>
    <w:p w:rsidR="009D2417" w:rsidRDefault="009D2417" w:rsidP="00AF202B">
      <w:pPr>
        <w:spacing w:line="360" w:lineRule="auto"/>
        <w:jc w:val="both"/>
      </w:pPr>
    </w:p>
    <w:p w:rsidR="009D2417" w:rsidRPr="00EE4DBD" w:rsidRDefault="009D2417" w:rsidP="00AF202B">
      <w:pPr>
        <w:pStyle w:val="Ttulo1"/>
      </w:pPr>
      <w:r w:rsidRPr="00EE4DBD">
        <w:t>INFORME A LA ADMINISTRACIÓN</w:t>
      </w:r>
    </w:p>
    <w:p w:rsidR="009D2417" w:rsidRPr="00EE4DBD" w:rsidRDefault="009D2417" w:rsidP="00AF202B"/>
    <w:p w:rsidR="009D2417" w:rsidRPr="00EE4DBD" w:rsidRDefault="009D2417" w:rsidP="00AF202B"/>
    <w:p w:rsidR="009D2417" w:rsidRPr="00EE4DBD" w:rsidRDefault="009D2417" w:rsidP="00AF202B">
      <w:pPr>
        <w:pStyle w:val="Textoindependiente"/>
        <w:spacing w:after="0" w:line="360" w:lineRule="auto"/>
      </w:pPr>
      <w:r w:rsidRPr="00EE4DBD">
        <w:rPr>
          <w:rFonts w:cs="Arial"/>
        </w:rPr>
        <w:t xml:space="preserve">El Tribunal de Cuentas ha examinado la </w:t>
      </w:r>
      <w:r w:rsidRPr="00EE4DBD">
        <w:t>Rendición de Cuentas y Balance de Ejecución Presupuestal de la Intendencia de Treinta y Tres por el ejercicio finalizado al 31/12/2017 y ha emitido su correspondiente Dictamen.</w:t>
      </w:r>
    </w:p>
    <w:p w:rsidR="009D2417" w:rsidRPr="00EE4DBD" w:rsidRDefault="009D2417" w:rsidP="00AF202B">
      <w:pPr>
        <w:spacing w:line="360" w:lineRule="auto"/>
        <w:jc w:val="both"/>
        <w:rPr>
          <w:rFonts w:cs="Arial"/>
          <w:kern w:val="18"/>
          <w:lang w:val="es-ES_tradnl"/>
        </w:rPr>
      </w:pPr>
      <w:r w:rsidRPr="00EE4DBD">
        <w:rPr>
          <w:rFonts w:cs="Arial"/>
          <w:kern w:val="18"/>
          <w:lang w:val="es-ES_tradnl"/>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9D2417" w:rsidRPr="00EE4DBD" w:rsidRDefault="009D2417" w:rsidP="00AF202B">
      <w:pPr>
        <w:spacing w:line="360" w:lineRule="auto"/>
        <w:jc w:val="both"/>
        <w:rPr>
          <w:rFonts w:cs="Arial"/>
          <w:kern w:val="18"/>
          <w:lang w:val="es-ES_tradnl"/>
        </w:rPr>
      </w:pPr>
      <w:r w:rsidRPr="00EE4DBD">
        <w:rPr>
          <w:rFonts w:cs="Arial"/>
          <w:kern w:val="18"/>
          <w:lang w:val="es-ES_tradnl"/>
        </w:rPr>
        <w:t xml:space="preserve">También se agregan las principales recomendaciones que </w:t>
      </w:r>
      <w:proofErr w:type="gramStart"/>
      <w:r w:rsidRPr="00EE4DBD">
        <w:rPr>
          <w:rFonts w:cs="Arial"/>
          <w:kern w:val="18"/>
          <w:lang w:val="es-ES_tradnl"/>
        </w:rPr>
        <w:t>deberá</w:t>
      </w:r>
      <w:proofErr w:type="gramEnd"/>
      <w:r w:rsidRPr="00EE4DBD">
        <w:rPr>
          <w:rFonts w:cs="Arial"/>
          <w:kern w:val="18"/>
          <w:lang w:val="es-ES_tradnl"/>
        </w:rPr>
        <w:t xml:space="preserve"> atender el Organismo y una evaluación del cumplimiento de las recomendaciones presentadas en el informe de auditoría del ejercicio anterior.</w:t>
      </w:r>
    </w:p>
    <w:p w:rsidR="009D2417" w:rsidRPr="00EE4DBD" w:rsidRDefault="009D2417" w:rsidP="00AF202B">
      <w:pPr>
        <w:pStyle w:val="Textoindependiente2"/>
        <w:jc w:val="both"/>
        <w:rPr>
          <w:rFonts w:ascii="Arial" w:hAnsi="Arial" w:cs="Arial"/>
        </w:rPr>
      </w:pPr>
    </w:p>
    <w:p w:rsidR="009D2417" w:rsidRPr="00EE4DBD" w:rsidRDefault="009D2417" w:rsidP="00AF202B">
      <w:pPr>
        <w:pStyle w:val="Ttulo2"/>
        <w:spacing w:after="0"/>
        <w:jc w:val="both"/>
        <w:rPr>
          <w:rFonts w:cs="Arial"/>
          <w:bCs/>
        </w:rPr>
      </w:pPr>
      <w:r w:rsidRPr="00EE4DBD">
        <w:rPr>
          <w:rFonts w:cs="Arial"/>
          <w:bCs/>
        </w:rPr>
        <w:t>1. Presentación de los Estados</w:t>
      </w:r>
    </w:p>
    <w:p w:rsidR="009D2417" w:rsidRPr="00EE4DBD" w:rsidRDefault="009D2417" w:rsidP="00AF202B">
      <w:pPr>
        <w:pStyle w:val="Textoindependiente"/>
        <w:spacing w:after="0"/>
        <w:rPr>
          <w:lang w:val="es-ES"/>
        </w:rPr>
      </w:pPr>
    </w:p>
    <w:p w:rsidR="009D2417" w:rsidRPr="00EE4DBD" w:rsidRDefault="009D2417" w:rsidP="00AF202B">
      <w:pPr>
        <w:pStyle w:val="Textoindependiente"/>
        <w:spacing w:after="0" w:line="360" w:lineRule="auto"/>
        <w:rPr>
          <w:lang w:val="es-ES"/>
        </w:rPr>
      </w:pPr>
      <w:r w:rsidRPr="00EE4DBD">
        <w:rPr>
          <w:lang w:val="es-ES"/>
        </w:rPr>
        <w:t>La Rendición de Cuentas y Balance de Ejecución Presupuestal de la Intendencia de Treinta y Tres, correspondientes al ejercicio finalizado el 31/12/2017, fueron remitidos por la Intendencia a este Tribunal para su examen por Nota de fecha 29/06/2018.</w:t>
      </w:r>
    </w:p>
    <w:p w:rsidR="009D2417" w:rsidRPr="00EE4DBD" w:rsidRDefault="009D2417" w:rsidP="00AF202B">
      <w:pPr>
        <w:pStyle w:val="Textoindependiente"/>
        <w:spacing w:after="0" w:line="360" w:lineRule="auto"/>
        <w:rPr>
          <w:lang w:val="es-ES"/>
        </w:rPr>
      </w:pPr>
    </w:p>
    <w:p w:rsidR="009D2417" w:rsidRPr="00EE4DBD" w:rsidRDefault="009D2417" w:rsidP="00AF202B">
      <w:pPr>
        <w:pStyle w:val="Textoindependiente"/>
        <w:spacing w:after="0" w:line="360" w:lineRule="auto"/>
        <w:rPr>
          <w:b/>
          <w:lang w:val="es-ES"/>
        </w:rPr>
      </w:pPr>
      <w:r w:rsidRPr="00EE4DBD">
        <w:rPr>
          <w:b/>
          <w:lang w:val="es-ES"/>
        </w:rPr>
        <w:t>2 Constataciones que no afectan la opinión respecto a los estados</w:t>
      </w:r>
    </w:p>
    <w:p w:rsidR="009D2417" w:rsidRPr="00EE4DBD" w:rsidRDefault="00DD1A44" w:rsidP="00AF202B">
      <w:pPr>
        <w:widowControl w:val="0"/>
        <w:numPr>
          <w:ilvl w:val="1"/>
          <w:numId w:val="11"/>
        </w:numPr>
        <w:suppressAutoHyphens/>
        <w:spacing w:line="360" w:lineRule="auto"/>
        <w:jc w:val="both"/>
        <w:rPr>
          <w:rFonts w:cs="Arial"/>
          <w:b/>
          <w:bCs/>
          <w:lang w:eastAsia="zh-CN"/>
        </w:rPr>
      </w:pPr>
      <w:r>
        <w:rPr>
          <w:rFonts w:cs="Arial"/>
          <w:b/>
          <w:bCs/>
          <w:lang w:eastAsia="zh-CN"/>
        </w:rPr>
        <w:t>Disponibilidades</w:t>
      </w:r>
    </w:p>
    <w:p w:rsidR="009D2417" w:rsidRPr="00EE4DBD" w:rsidRDefault="009D2417" w:rsidP="00AF202B">
      <w:pPr>
        <w:widowControl w:val="0"/>
        <w:spacing w:line="360" w:lineRule="auto"/>
        <w:jc w:val="both"/>
        <w:rPr>
          <w:rFonts w:cs="Arial"/>
          <w:b/>
          <w:bCs/>
          <w:lang w:eastAsia="zh-CN"/>
        </w:rPr>
      </w:pPr>
      <w:r w:rsidRPr="00EE4DBD">
        <w:rPr>
          <w:rFonts w:cs="Arial"/>
          <w:lang w:eastAsia="zh-CN"/>
        </w:rPr>
        <w:t>En el Acta de arqueo al 29/12/2017 de</w:t>
      </w:r>
      <w:r w:rsidRPr="00EE4DBD">
        <w:rPr>
          <w:rFonts w:cs="Arial"/>
          <w:bCs/>
          <w:lang w:eastAsia="zh-CN"/>
        </w:rPr>
        <w:t xml:space="preserve"> la</w:t>
      </w:r>
      <w:r w:rsidRPr="00EE4DBD">
        <w:rPr>
          <w:rFonts w:cs="Arial"/>
          <w:color w:val="000000"/>
          <w:lang w:eastAsia="zh-CN"/>
        </w:rPr>
        <w:t xml:space="preserve"> Junta de Cerro Chato, de la comparación de los valores arqueados y del fondo fijo autorizado, resulta un faltante de $ 12.861 originado en ejercicios anteriores. </w:t>
      </w:r>
      <w:r w:rsidRPr="00EE4DBD">
        <w:rPr>
          <w:rFonts w:cs="Arial"/>
          <w:color w:val="000000"/>
        </w:rPr>
        <w:t xml:space="preserve">Según el acta de arqueo de Tesorería, los fondos de la recaudación totalizan $ 187.054, mientras que el saldo contable expuesto en el informe de Rendición de Cuentas es de </w:t>
      </w:r>
      <w:r>
        <w:rPr>
          <w:rFonts w:cs="Arial"/>
          <w:color w:val="000000"/>
        </w:rPr>
        <w:t xml:space="preserve">             </w:t>
      </w:r>
      <w:r w:rsidRPr="00EE4DBD">
        <w:rPr>
          <w:rFonts w:cs="Arial"/>
          <w:color w:val="000000"/>
        </w:rPr>
        <w:t>$ 210.909, resultando una diferencia de $ 23.855.</w:t>
      </w:r>
    </w:p>
    <w:p w:rsidR="009D2417" w:rsidRPr="00EE4DBD" w:rsidRDefault="009D2417" w:rsidP="00AF202B">
      <w:pPr>
        <w:spacing w:line="360" w:lineRule="auto"/>
        <w:outlineLvl w:val="1"/>
        <w:rPr>
          <w:rFonts w:cs="Arial"/>
          <w:b/>
          <w:lang w:eastAsia="zh-CN"/>
        </w:rPr>
      </w:pPr>
      <w:bookmarkStart w:id="5" w:name="__RefHeading__13_1784722644"/>
      <w:bookmarkStart w:id="6" w:name="__RefHeading__15_1784722644"/>
      <w:bookmarkEnd w:id="5"/>
      <w:bookmarkEnd w:id="6"/>
    </w:p>
    <w:p w:rsidR="009D2417" w:rsidRPr="00EE4DBD" w:rsidRDefault="00DD1A44" w:rsidP="00AF202B">
      <w:pPr>
        <w:widowControl w:val="0"/>
        <w:spacing w:line="360" w:lineRule="auto"/>
        <w:jc w:val="both"/>
        <w:rPr>
          <w:rFonts w:cs="Arial"/>
          <w:lang w:eastAsia="zh-CN"/>
        </w:rPr>
      </w:pPr>
      <w:r>
        <w:rPr>
          <w:b/>
          <w:lang w:eastAsia="zh-CN"/>
        </w:rPr>
        <w:t>2.2 Retenciones</w:t>
      </w:r>
    </w:p>
    <w:p w:rsidR="009D2417" w:rsidRPr="00EE4DBD" w:rsidRDefault="009D2417" w:rsidP="00AF202B">
      <w:pPr>
        <w:spacing w:line="360" w:lineRule="auto"/>
        <w:jc w:val="both"/>
        <w:rPr>
          <w:rFonts w:cs="Arial"/>
          <w:lang w:eastAsia="zh-CN"/>
        </w:rPr>
      </w:pPr>
      <w:r w:rsidRPr="00EE4DBD">
        <w:rPr>
          <w:rFonts w:cs="Arial"/>
          <w:lang w:eastAsia="zh-CN"/>
        </w:rPr>
        <w:t>La Intendencia no tiene por práctica conciliar las retenciones que efectúa a sus funcionarios por concepto de aporte jubilatorio personal, IRPF con los pagos realizados al Banco de Previsión Social (B.P.S.), constatándose diferencias en el cálculo de dich</w:t>
      </w:r>
      <w:r>
        <w:rPr>
          <w:rFonts w:cs="Arial"/>
          <w:lang w:eastAsia="zh-CN"/>
        </w:rPr>
        <w:t>as retenciones</w:t>
      </w:r>
      <w:r w:rsidRPr="00EE4DBD">
        <w:rPr>
          <w:rFonts w:cs="Arial"/>
          <w:lang w:eastAsia="zh-CN"/>
        </w:rPr>
        <w:t>. Dentro del Estado Nº 12 “Fondos Indisponibles” se presenta un saldo a pagar de IRPF que asciende a $ 1.407.834, cuando el boleto de pago al BPS (vto. 01/2018) es de $ 1.114.857. Además se expone un saldo a pagar de aportes jubilatorios personales de $ 7.809.535 cuando el boleto de pago al BPS (vto. 01/2018) es de $ 6.928.987.</w:t>
      </w:r>
    </w:p>
    <w:p w:rsidR="009D2417" w:rsidRPr="00EE4DBD" w:rsidRDefault="009D2417" w:rsidP="00AF202B">
      <w:pPr>
        <w:widowControl w:val="0"/>
        <w:spacing w:line="360" w:lineRule="auto"/>
        <w:jc w:val="both"/>
        <w:rPr>
          <w:rFonts w:cs="Arial"/>
          <w:b/>
          <w:lang w:eastAsia="zh-CN"/>
        </w:rPr>
      </w:pPr>
    </w:p>
    <w:p w:rsidR="009D2417" w:rsidRPr="00EE4DBD" w:rsidRDefault="009D2417" w:rsidP="00AF202B">
      <w:pPr>
        <w:widowControl w:val="0"/>
        <w:spacing w:line="360" w:lineRule="auto"/>
        <w:jc w:val="both"/>
        <w:rPr>
          <w:rFonts w:cs="Arial"/>
          <w:b/>
          <w:lang w:eastAsia="zh-CN"/>
        </w:rPr>
      </w:pPr>
      <w:r w:rsidRPr="00EE4DBD">
        <w:rPr>
          <w:rFonts w:cs="Arial"/>
          <w:b/>
          <w:lang w:eastAsia="zh-CN"/>
        </w:rPr>
        <w:t>2.3 Recaudación de tributos departamentales</w:t>
      </w:r>
    </w:p>
    <w:p w:rsidR="009D2417" w:rsidRPr="00EE4DBD" w:rsidRDefault="009D2417" w:rsidP="00AF202B">
      <w:pPr>
        <w:widowControl w:val="0"/>
        <w:spacing w:line="360" w:lineRule="auto"/>
        <w:jc w:val="both"/>
        <w:rPr>
          <w:rFonts w:cs="Arial"/>
          <w:lang w:eastAsia="zh-CN"/>
        </w:rPr>
      </w:pPr>
      <w:r w:rsidRPr="00EE4DBD">
        <w:rPr>
          <w:rFonts w:cs="Arial"/>
          <w:lang w:eastAsia="zh-CN"/>
        </w:rPr>
        <w:t>El importe de la recaudación de los tributos cobrados a través del sistema, según la base de datos proporcionada por la Intendencia, es de $ 330.566.071 mientras que el importe, según documento de Rendición de Cuentas, es de $ 338.079.928 resultando una diferencia en más de $ 7.513.857 representando un 2,04% del total de los ingresos departamentales</w:t>
      </w:r>
      <w:r w:rsidR="00DD1A44">
        <w:rPr>
          <w:rFonts w:cs="Arial"/>
          <w:lang w:eastAsia="zh-CN"/>
        </w:rPr>
        <w:t>.</w:t>
      </w:r>
    </w:p>
    <w:p w:rsidR="009D2417" w:rsidRPr="00EE4DBD" w:rsidRDefault="009D2417" w:rsidP="00AF202B">
      <w:pPr>
        <w:spacing w:line="360" w:lineRule="auto"/>
        <w:jc w:val="both"/>
        <w:rPr>
          <w:rFonts w:cs="Arial"/>
          <w:b/>
          <w:lang w:eastAsia="zh-CN"/>
        </w:rPr>
      </w:pPr>
    </w:p>
    <w:p w:rsidR="009D2417" w:rsidRPr="00EE4DBD" w:rsidRDefault="009D2417" w:rsidP="00AF202B">
      <w:pPr>
        <w:spacing w:line="360" w:lineRule="auto"/>
        <w:jc w:val="both"/>
        <w:rPr>
          <w:rFonts w:cs="Arial"/>
          <w:b/>
          <w:lang w:eastAsia="zh-CN"/>
        </w:rPr>
      </w:pPr>
      <w:r w:rsidRPr="00EE4DBD">
        <w:rPr>
          <w:rFonts w:cs="Arial"/>
          <w:b/>
          <w:lang w:eastAsia="zh-CN"/>
        </w:rPr>
        <w:t>2.4 Retribuciones persona</w:t>
      </w:r>
      <w:r w:rsidR="00DD1A44">
        <w:rPr>
          <w:rFonts w:cs="Arial"/>
          <w:b/>
          <w:lang w:eastAsia="zh-CN"/>
        </w:rPr>
        <w:t>les</w:t>
      </w:r>
    </w:p>
    <w:p w:rsidR="009D2417" w:rsidRPr="00EE4DBD" w:rsidRDefault="009D2417" w:rsidP="00AF202B">
      <w:pPr>
        <w:spacing w:line="360" w:lineRule="auto"/>
        <w:jc w:val="both"/>
        <w:rPr>
          <w:rFonts w:cs="Arial"/>
          <w:b/>
          <w:i/>
          <w:color w:val="00B050"/>
          <w:lang w:eastAsia="zh-CN"/>
        </w:rPr>
      </w:pPr>
      <w:r w:rsidRPr="00EE4DBD">
        <w:rPr>
          <w:rFonts w:cs="Arial"/>
          <w:lang w:eastAsia="zh-CN"/>
        </w:rPr>
        <w:t>El importe de haberes de los funcionarios, según la Rendición de Cuentas, asciende a $ 395.737.575, mientras que el monto total de nóminas enviadas al B.P.S. es de $ 403.163.903. En consecuencia, se verifica una diferencia de $ 7.426.328 en menos. Asimismo, el importe de los aportes patronales según la Rendición de Cuentas asciende a $ 67.138.015, mientras que el que resulta de los boletos de pago al B.P.S. asciende a $ 66.522.044, verificándose una dif</w:t>
      </w:r>
      <w:r w:rsidR="00DD1A44">
        <w:rPr>
          <w:rFonts w:cs="Arial"/>
          <w:lang w:eastAsia="zh-CN"/>
        </w:rPr>
        <w:t>erencia es de $ 615.971 en más.</w:t>
      </w:r>
    </w:p>
    <w:p w:rsidR="009D2417" w:rsidRPr="00EE4DBD" w:rsidRDefault="00DD1A44" w:rsidP="00AF202B">
      <w:pPr>
        <w:spacing w:line="360" w:lineRule="auto"/>
        <w:jc w:val="both"/>
        <w:rPr>
          <w:rFonts w:cs="Arial"/>
          <w:b/>
          <w:lang w:eastAsia="zh-CN"/>
        </w:rPr>
      </w:pPr>
      <w:r>
        <w:rPr>
          <w:rFonts w:cs="Arial"/>
          <w:b/>
          <w:lang w:eastAsia="zh-CN"/>
        </w:rPr>
        <w:t>2.5 Resultado del ejercicio</w:t>
      </w:r>
    </w:p>
    <w:p w:rsidR="009D2417" w:rsidRPr="00EE4DBD" w:rsidRDefault="009D2417" w:rsidP="00AF202B">
      <w:pPr>
        <w:widowControl w:val="0"/>
        <w:spacing w:line="360" w:lineRule="auto"/>
        <w:jc w:val="both"/>
        <w:rPr>
          <w:rFonts w:cs="Arial"/>
          <w:lang w:eastAsia="zh-CN"/>
        </w:rPr>
      </w:pPr>
      <w:r w:rsidRPr="00EE4DBD">
        <w:rPr>
          <w:rFonts w:cs="Arial"/>
          <w:lang w:eastAsia="zh-CN"/>
        </w:rPr>
        <w:t>El resultado del ejercicio 2017 presenta un déficit que asciende a $ 61.623.093. Por lo expresado en el numeral 2.4, dicho resultado debe ajustarse estableciéndose su valor en un déficit de $ 68.433.450.</w:t>
      </w:r>
    </w:p>
    <w:p w:rsidR="009D2417" w:rsidRPr="00EE4DBD" w:rsidRDefault="009D2417" w:rsidP="00AF202B">
      <w:pPr>
        <w:widowControl w:val="0"/>
        <w:spacing w:line="360" w:lineRule="auto"/>
        <w:jc w:val="both"/>
        <w:rPr>
          <w:rFonts w:cs="Arial"/>
          <w:lang w:eastAsia="zh-CN"/>
        </w:rPr>
      </w:pPr>
      <w:r w:rsidRPr="00EE4DBD">
        <w:rPr>
          <w:rFonts w:cs="Arial"/>
          <w:b/>
          <w:lang w:eastAsia="zh-CN"/>
        </w:rPr>
        <w:t>2.6</w:t>
      </w:r>
      <w:r w:rsidRPr="00EE4DBD">
        <w:rPr>
          <w:rFonts w:cs="Arial"/>
          <w:lang w:eastAsia="zh-CN"/>
        </w:rPr>
        <w:t xml:space="preserve"> </w:t>
      </w:r>
      <w:r w:rsidRPr="00EE4DBD">
        <w:rPr>
          <w:rFonts w:cs="Arial"/>
          <w:b/>
          <w:lang w:eastAsia="zh-CN"/>
        </w:rPr>
        <w:t>Déficit Acumulado</w:t>
      </w:r>
    </w:p>
    <w:p w:rsidR="009D2417" w:rsidRPr="00EE4DBD" w:rsidRDefault="009D2417" w:rsidP="00AF202B">
      <w:pPr>
        <w:widowControl w:val="0"/>
        <w:spacing w:line="360" w:lineRule="auto"/>
        <w:jc w:val="both"/>
        <w:rPr>
          <w:rFonts w:cs="Arial"/>
          <w:lang w:eastAsia="zh-CN"/>
        </w:rPr>
      </w:pPr>
      <w:r w:rsidRPr="00EE4DBD">
        <w:rPr>
          <w:rFonts w:cs="Arial"/>
          <w:lang w:eastAsia="zh-CN"/>
        </w:rPr>
        <w:t xml:space="preserve">La Intendencia no consideró los ajustes sugeridos por este Tribunal al déficit acumulado en las Rendiciones de Cuentas auditadas al 31/12/14, 31/12/15 y 31/12/16. Asimismo, realizó un ajuste al déficit al 31/12/17 por $ 1.686.339, sin expresar el debido fundamento, por </w:t>
      </w:r>
      <w:r w:rsidR="00DD1A44">
        <w:rPr>
          <w:rFonts w:cs="Arial"/>
          <w:lang w:eastAsia="zh-CN"/>
        </w:rPr>
        <w:t>lo que no debe ser considerado.</w:t>
      </w:r>
    </w:p>
    <w:p w:rsidR="009D2417" w:rsidRPr="00EE4DBD" w:rsidRDefault="009D2417" w:rsidP="00AF202B">
      <w:pPr>
        <w:widowControl w:val="0"/>
        <w:spacing w:line="360" w:lineRule="auto"/>
        <w:jc w:val="both"/>
        <w:rPr>
          <w:rFonts w:cs="Arial"/>
          <w:lang w:eastAsia="zh-CN"/>
        </w:rPr>
      </w:pPr>
      <w:r w:rsidRPr="00EE4DBD">
        <w:rPr>
          <w:rFonts w:cs="Arial"/>
          <w:lang w:eastAsia="zh-CN"/>
        </w:rPr>
        <w:t>Por lo expuesto en el párrafo anterior el resultado acumulado al 31/12/17, se ajusta al siguiente detalle (en pesos):</w:t>
      </w:r>
    </w:p>
    <w:p w:rsidR="009D2417" w:rsidRPr="00EE4DBD" w:rsidRDefault="009D2417" w:rsidP="00AF202B">
      <w:pPr>
        <w:widowControl w:val="0"/>
        <w:spacing w:line="360" w:lineRule="auto"/>
        <w:jc w:val="both"/>
        <w:rPr>
          <w:rFonts w:cs="Arial"/>
          <w:lang w:eastAsia="zh-CN"/>
        </w:rPr>
      </w:pPr>
    </w:p>
    <w:tbl>
      <w:tblPr>
        <w:tblpPr w:leftFromText="141" w:rightFromText="141" w:vertAnchor="text" w:horzAnchor="margin" w:tblpY="-46"/>
        <w:tblW w:w="6380" w:type="dxa"/>
        <w:tblCellMar>
          <w:left w:w="70" w:type="dxa"/>
          <w:right w:w="70" w:type="dxa"/>
        </w:tblCellMar>
        <w:tblLook w:val="04A0" w:firstRow="1" w:lastRow="0" w:firstColumn="1" w:lastColumn="0" w:noHBand="0" w:noVBand="1"/>
      </w:tblPr>
      <w:tblGrid>
        <w:gridCol w:w="4420"/>
        <w:gridCol w:w="1960"/>
      </w:tblGrid>
      <w:tr w:rsidR="009D2417" w:rsidRPr="00EE4DBD" w:rsidTr="00051DED">
        <w:trPr>
          <w:trHeight w:val="300"/>
        </w:trPr>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417" w:rsidRPr="00EE4DBD" w:rsidRDefault="009D2417" w:rsidP="00051DED">
            <w:pPr>
              <w:spacing w:line="360" w:lineRule="auto"/>
              <w:rPr>
                <w:color w:val="000000"/>
              </w:rPr>
            </w:pPr>
            <w:r w:rsidRPr="00EE4DBD">
              <w:rPr>
                <w:color w:val="000000"/>
              </w:rPr>
              <w:t>Res. acumulado al 31/12/16 s/ T.C.R.</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9D2417" w:rsidRPr="00EE4DBD" w:rsidRDefault="009D2417" w:rsidP="00051DED">
            <w:pPr>
              <w:spacing w:line="360" w:lineRule="auto"/>
              <w:jc w:val="center"/>
              <w:rPr>
                <w:color w:val="000000"/>
              </w:rPr>
            </w:pPr>
            <w:r w:rsidRPr="00EE4DBD">
              <w:rPr>
                <w:color w:val="000000"/>
              </w:rPr>
              <w:t>-53.992.402</w:t>
            </w:r>
          </w:p>
        </w:tc>
      </w:tr>
      <w:tr w:rsidR="009D2417" w:rsidRPr="00EE4DBD" w:rsidTr="00051DED">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9D2417" w:rsidRPr="00EE4DBD" w:rsidRDefault="009D2417" w:rsidP="00051DED">
            <w:pPr>
              <w:spacing w:line="360" w:lineRule="auto"/>
              <w:rPr>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9D2417" w:rsidRPr="00EE4DBD" w:rsidRDefault="009D2417" w:rsidP="00051DED">
            <w:pPr>
              <w:spacing w:line="360" w:lineRule="auto"/>
              <w:jc w:val="center"/>
              <w:rPr>
                <w:color w:val="000000"/>
              </w:rPr>
            </w:pPr>
          </w:p>
        </w:tc>
      </w:tr>
      <w:tr w:rsidR="009D2417" w:rsidRPr="00EE4DBD" w:rsidTr="00051DED">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9D2417" w:rsidRPr="00EE4DBD" w:rsidRDefault="009D2417" w:rsidP="00051DED">
            <w:pPr>
              <w:spacing w:line="360" w:lineRule="auto"/>
              <w:rPr>
                <w:color w:val="000000"/>
              </w:rPr>
            </w:pPr>
            <w:r w:rsidRPr="00EE4DBD">
              <w:rPr>
                <w:color w:val="000000"/>
              </w:rPr>
              <w:t>Resultado del ejercicio ajustado</w:t>
            </w:r>
          </w:p>
        </w:tc>
        <w:tc>
          <w:tcPr>
            <w:tcW w:w="1960" w:type="dxa"/>
            <w:tcBorders>
              <w:top w:val="nil"/>
              <w:left w:val="nil"/>
              <w:bottom w:val="single" w:sz="4" w:space="0" w:color="auto"/>
              <w:right w:val="single" w:sz="4" w:space="0" w:color="auto"/>
            </w:tcBorders>
            <w:shd w:val="clear" w:color="auto" w:fill="auto"/>
            <w:noWrap/>
            <w:vAlign w:val="bottom"/>
            <w:hideMark/>
          </w:tcPr>
          <w:p w:rsidR="009D2417" w:rsidRPr="00EE4DBD" w:rsidRDefault="009D2417" w:rsidP="00051DED">
            <w:pPr>
              <w:spacing w:line="360" w:lineRule="auto"/>
              <w:jc w:val="center"/>
              <w:rPr>
                <w:color w:val="000000"/>
              </w:rPr>
            </w:pPr>
            <w:r w:rsidRPr="00EE4DBD">
              <w:rPr>
                <w:color w:val="000000"/>
              </w:rPr>
              <w:t>-68.433.450</w:t>
            </w:r>
          </w:p>
        </w:tc>
      </w:tr>
      <w:tr w:rsidR="009D2417" w:rsidRPr="00EE4DBD" w:rsidTr="00051DED">
        <w:trPr>
          <w:trHeight w:val="315"/>
        </w:trPr>
        <w:tc>
          <w:tcPr>
            <w:tcW w:w="4420" w:type="dxa"/>
            <w:tcBorders>
              <w:top w:val="nil"/>
              <w:left w:val="single" w:sz="4" w:space="0" w:color="auto"/>
              <w:bottom w:val="nil"/>
              <w:right w:val="single" w:sz="4" w:space="0" w:color="auto"/>
            </w:tcBorders>
            <w:shd w:val="clear" w:color="auto" w:fill="auto"/>
            <w:noWrap/>
            <w:vAlign w:val="bottom"/>
            <w:hideMark/>
          </w:tcPr>
          <w:p w:rsidR="009D2417" w:rsidRPr="00EE4DBD" w:rsidRDefault="009D2417" w:rsidP="00051DED">
            <w:pPr>
              <w:spacing w:line="360" w:lineRule="auto"/>
              <w:rPr>
                <w:color w:val="000000"/>
              </w:rPr>
            </w:pPr>
            <w:r w:rsidRPr="00EE4DBD">
              <w:rPr>
                <w:color w:val="000000"/>
              </w:rPr>
              <w:t> </w:t>
            </w:r>
          </w:p>
        </w:tc>
        <w:tc>
          <w:tcPr>
            <w:tcW w:w="1960" w:type="dxa"/>
            <w:tcBorders>
              <w:top w:val="nil"/>
              <w:left w:val="nil"/>
              <w:bottom w:val="nil"/>
              <w:right w:val="single" w:sz="4" w:space="0" w:color="auto"/>
            </w:tcBorders>
            <w:shd w:val="clear" w:color="auto" w:fill="auto"/>
            <w:noWrap/>
            <w:vAlign w:val="bottom"/>
            <w:hideMark/>
          </w:tcPr>
          <w:p w:rsidR="009D2417" w:rsidRPr="00EE4DBD" w:rsidRDefault="009D2417" w:rsidP="00051DED">
            <w:pPr>
              <w:spacing w:line="360" w:lineRule="auto"/>
              <w:jc w:val="center"/>
              <w:rPr>
                <w:color w:val="000000"/>
              </w:rPr>
            </w:pPr>
            <w:r w:rsidRPr="00EE4DBD">
              <w:rPr>
                <w:color w:val="000000"/>
              </w:rPr>
              <w:t> </w:t>
            </w:r>
          </w:p>
        </w:tc>
      </w:tr>
      <w:tr w:rsidR="009D2417" w:rsidRPr="00EE4DBD" w:rsidTr="00051DED">
        <w:trPr>
          <w:trHeight w:val="315"/>
        </w:trPr>
        <w:tc>
          <w:tcPr>
            <w:tcW w:w="44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D2417" w:rsidRPr="00EE4DBD" w:rsidRDefault="009D2417" w:rsidP="00051DED">
            <w:pPr>
              <w:spacing w:line="360" w:lineRule="auto"/>
              <w:rPr>
                <w:b/>
                <w:bCs/>
                <w:color w:val="000000"/>
              </w:rPr>
            </w:pPr>
            <w:r w:rsidRPr="00EE4DBD">
              <w:rPr>
                <w:b/>
                <w:bCs/>
                <w:color w:val="000000"/>
              </w:rPr>
              <w:t>Res. acumulado al 31/12/17 s/ T.C.R.</w:t>
            </w:r>
          </w:p>
        </w:tc>
        <w:tc>
          <w:tcPr>
            <w:tcW w:w="1960" w:type="dxa"/>
            <w:tcBorders>
              <w:top w:val="single" w:sz="8" w:space="0" w:color="auto"/>
              <w:left w:val="nil"/>
              <w:bottom w:val="single" w:sz="8" w:space="0" w:color="auto"/>
              <w:right w:val="single" w:sz="8" w:space="0" w:color="auto"/>
            </w:tcBorders>
            <w:shd w:val="clear" w:color="auto" w:fill="auto"/>
            <w:noWrap/>
            <w:vAlign w:val="bottom"/>
            <w:hideMark/>
          </w:tcPr>
          <w:p w:rsidR="009D2417" w:rsidRPr="00EE4DBD" w:rsidRDefault="009D2417" w:rsidP="00051DED">
            <w:pPr>
              <w:spacing w:line="360" w:lineRule="auto"/>
              <w:jc w:val="center"/>
              <w:rPr>
                <w:b/>
                <w:bCs/>
                <w:color w:val="000000"/>
              </w:rPr>
            </w:pPr>
            <w:r w:rsidRPr="00EE4DBD">
              <w:rPr>
                <w:b/>
                <w:bCs/>
                <w:color w:val="000000"/>
              </w:rPr>
              <w:t>-122.425.852</w:t>
            </w:r>
          </w:p>
        </w:tc>
      </w:tr>
    </w:tbl>
    <w:p w:rsidR="009D2417" w:rsidRPr="00EE4DBD" w:rsidRDefault="009D2417" w:rsidP="00AF202B">
      <w:pPr>
        <w:widowControl w:val="0"/>
        <w:spacing w:line="360" w:lineRule="auto"/>
        <w:jc w:val="both"/>
        <w:rPr>
          <w:rFonts w:cs="Arial"/>
          <w:lang w:eastAsia="zh-CN"/>
        </w:rPr>
      </w:pPr>
    </w:p>
    <w:p w:rsidR="009D2417" w:rsidRPr="00EE4DBD" w:rsidRDefault="009D2417" w:rsidP="00AF202B">
      <w:pPr>
        <w:widowControl w:val="0"/>
        <w:spacing w:line="360" w:lineRule="auto"/>
        <w:jc w:val="both"/>
        <w:rPr>
          <w:rFonts w:cs="Arial"/>
          <w:lang w:eastAsia="zh-CN"/>
        </w:rPr>
      </w:pPr>
    </w:p>
    <w:p w:rsidR="009D2417" w:rsidRPr="00EE4DBD" w:rsidRDefault="009D2417" w:rsidP="00AF202B">
      <w:pPr>
        <w:widowControl w:val="0"/>
        <w:spacing w:line="360" w:lineRule="auto"/>
        <w:jc w:val="both"/>
        <w:rPr>
          <w:rFonts w:cs="Arial"/>
          <w:b/>
          <w:lang w:eastAsia="zh-CN"/>
        </w:rPr>
      </w:pPr>
    </w:p>
    <w:p w:rsidR="009D2417" w:rsidRPr="00EE4DBD" w:rsidRDefault="009D2417" w:rsidP="00AF202B">
      <w:pPr>
        <w:widowControl w:val="0"/>
        <w:spacing w:line="360" w:lineRule="auto"/>
        <w:jc w:val="both"/>
        <w:rPr>
          <w:rFonts w:cs="Arial"/>
          <w:b/>
          <w:lang w:eastAsia="zh-CN"/>
        </w:rPr>
      </w:pPr>
      <w:bookmarkStart w:id="7" w:name="__RefHeading__21_1784722644"/>
      <w:bookmarkStart w:id="8" w:name="__RefHeading__23_1784722644"/>
      <w:bookmarkEnd w:id="7"/>
      <w:bookmarkEnd w:id="8"/>
    </w:p>
    <w:p w:rsidR="009D2417" w:rsidRPr="00EE4DBD" w:rsidRDefault="009D2417" w:rsidP="00AF202B">
      <w:pPr>
        <w:widowControl w:val="0"/>
        <w:spacing w:line="360" w:lineRule="auto"/>
        <w:jc w:val="both"/>
        <w:rPr>
          <w:rFonts w:cs="Arial"/>
          <w:b/>
          <w:lang w:eastAsia="zh-CN"/>
        </w:rPr>
      </w:pPr>
    </w:p>
    <w:tbl>
      <w:tblPr>
        <w:tblW w:w="9595" w:type="dxa"/>
        <w:tblInd w:w="55" w:type="dxa"/>
        <w:tblCellMar>
          <w:left w:w="70" w:type="dxa"/>
          <w:right w:w="70" w:type="dxa"/>
        </w:tblCellMar>
        <w:tblLook w:val="04A0" w:firstRow="1" w:lastRow="0" w:firstColumn="1" w:lastColumn="0" w:noHBand="0" w:noVBand="1"/>
      </w:tblPr>
      <w:tblGrid>
        <w:gridCol w:w="8035"/>
        <w:gridCol w:w="1560"/>
      </w:tblGrid>
      <w:tr w:rsidR="009D2417" w:rsidRPr="00EE4DBD" w:rsidTr="00051DED">
        <w:trPr>
          <w:trHeight w:val="315"/>
        </w:trPr>
        <w:tc>
          <w:tcPr>
            <w:tcW w:w="8035" w:type="dxa"/>
            <w:tcBorders>
              <w:top w:val="nil"/>
              <w:left w:val="nil"/>
              <w:bottom w:val="nil"/>
              <w:right w:val="nil"/>
            </w:tcBorders>
            <w:shd w:val="clear" w:color="auto" w:fill="auto"/>
            <w:noWrap/>
            <w:vAlign w:val="bottom"/>
          </w:tcPr>
          <w:p w:rsidR="009D2417" w:rsidRPr="00EE4DBD" w:rsidRDefault="009D2417" w:rsidP="00051DED">
            <w:pPr>
              <w:keepNext/>
              <w:widowControl w:val="0"/>
              <w:suppressAutoHyphens/>
              <w:rPr>
                <w:rFonts w:cs="Arial"/>
                <w:color w:val="000000"/>
                <w:lang w:val="es-UY" w:eastAsia="es-UY"/>
              </w:rPr>
            </w:pPr>
          </w:p>
        </w:tc>
        <w:tc>
          <w:tcPr>
            <w:tcW w:w="1560" w:type="dxa"/>
            <w:tcBorders>
              <w:top w:val="nil"/>
              <w:left w:val="nil"/>
              <w:bottom w:val="nil"/>
              <w:right w:val="nil"/>
            </w:tcBorders>
            <w:shd w:val="clear" w:color="auto" w:fill="auto"/>
            <w:noWrap/>
            <w:vAlign w:val="bottom"/>
          </w:tcPr>
          <w:p w:rsidR="009D2417" w:rsidRPr="00EE4DBD" w:rsidRDefault="009D2417" w:rsidP="00051DED">
            <w:pPr>
              <w:keepNext/>
              <w:widowControl w:val="0"/>
              <w:suppressAutoHyphens/>
              <w:rPr>
                <w:rFonts w:cs="Arial"/>
                <w:color w:val="000000"/>
                <w:lang w:val="es-UY" w:eastAsia="es-UY"/>
              </w:rPr>
            </w:pPr>
          </w:p>
        </w:tc>
      </w:tr>
    </w:tbl>
    <w:p w:rsidR="009D2417" w:rsidRPr="00EE4DBD" w:rsidRDefault="009D2417" w:rsidP="00AF202B">
      <w:pPr>
        <w:pStyle w:val="Textoindependiente"/>
        <w:spacing w:after="0" w:line="360" w:lineRule="auto"/>
        <w:rPr>
          <w:b/>
          <w:lang w:val="es-ES"/>
        </w:rPr>
      </w:pPr>
      <w:r w:rsidRPr="00EE4DBD">
        <w:rPr>
          <w:b/>
          <w:lang w:val="es-ES"/>
        </w:rPr>
        <w:t>3. Evaluación del control interno</w:t>
      </w:r>
    </w:p>
    <w:p w:rsidR="009D2417" w:rsidRPr="00EE4DBD" w:rsidRDefault="009D2417" w:rsidP="00AF202B">
      <w:pPr>
        <w:pStyle w:val="Textoindependiente"/>
        <w:spacing w:after="0" w:line="360" w:lineRule="auto"/>
        <w:rPr>
          <w:b/>
          <w:lang w:val="es-ES"/>
        </w:rPr>
      </w:pPr>
    </w:p>
    <w:p w:rsidR="009D2417" w:rsidRPr="00EE4DBD" w:rsidRDefault="009D2417" w:rsidP="00AF202B">
      <w:pPr>
        <w:pStyle w:val="Textoindependiente"/>
        <w:spacing w:after="0" w:line="360" w:lineRule="auto"/>
        <w:rPr>
          <w:lang w:val="es-ES"/>
        </w:rPr>
      </w:pPr>
      <w:r w:rsidRPr="00EE4DBD">
        <w:rPr>
          <w:lang w:val="es-ES"/>
        </w:rPr>
        <w:t>El examen de los aspectos de control interno relevantes para la preparación y presentación razonable de la Rendición de Cuentas y Balance de Ejecución Presupuestal, permitió constatar las siguientes debilidades en relación a las actividades de control, información financiera y cumplimiento de normas legales:</w:t>
      </w:r>
    </w:p>
    <w:p w:rsidR="009D2417" w:rsidRPr="00EE4DBD" w:rsidRDefault="009D2417" w:rsidP="00AF202B">
      <w:pPr>
        <w:numPr>
          <w:ilvl w:val="1"/>
          <w:numId w:val="10"/>
        </w:numPr>
        <w:suppressAutoHyphens/>
        <w:spacing w:after="170" w:line="360" w:lineRule="auto"/>
        <w:jc w:val="both"/>
        <w:outlineLvl w:val="1"/>
        <w:rPr>
          <w:rFonts w:cs="Arial"/>
          <w:b/>
          <w:bCs/>
          <w:lang w:eastAsia="zh-CN"/>
        </w:rPr>
      </w:pPr>
      <w:r w:rsidRPr="00EE4DBD">
        <w:rPr>
          <w:rFonts w:cs="Arial"/>
          <w:b/>
          <w:lang w:eastAsia="zh-CN"/>
        </w:rPr>
        <w:t>3.1. Respecto a recursos o manejo de fondos</w:t>
      </w:r>
    </w:p>
    <w:p w:rsidR="009D2417" w:rsidRPr="00EE4DBD" w:rsidRDefault="009D2417" w:rsidP="00AF202B">
      <w:pPr>
        <w:widowControl w:val="0"/>
        <w:spacing w:line="360" w:lineRule="auto"/>
        <w:jc w:val="both"/>
        <w:rPr>
          <w:rFonts w:cs="Arial"/>
          <w:lang w:eastAsia="zh-CN"/>
        </w:rPr>
      </w:pPr>
      <w:r w:rsidRPr="00EE4DBD">
        <w:rPr>
          <w:rFonts w:cs="Arial"/>
          <w:b/>
          <w:bCs/>
          <w:lang w:eastAsia="zh-CN"/>
        </w:rPr>
        <w:t>3.1.1</w:t>
      </w:r>
      <w:r w:rsidRPr="00EE4DBD">
        <w:rPr>
          <w:rFonts w:cs="Arial"/>
          <w:lang w:eastAsia="zh-CN"/>
        </w:rPr>
        <w:t xml:space="preserve"> No se discriminan correctamente los ingresos por concepto de tributos en los ítems contables respectivos. Además, se verificó que los formularios utilizados por el sistema de tributos </w:t>
      </w:r>
      <w:r w:rsidR="00DD1A44">
        <w:rPr>
          <w:rFonts w:cs="Arial"/>
          <w:lang w:eastAsia="zh-CN"/>
        </w:rPr>
        <w:t xml:space="preserve">no se encuentran </w:t>
      </w:r>
      <w:proofErr w:type="spellStart"/>
      <w:r w:rsidR="00DD1A44">
        <w:rPr>
          <w:rFonts w:cs="Arial"/>
          <w:lang w:eastAsia="zh-CN"/>
        </w:rPr>
        <w:t>prenumerados</w:t>
      </w:r>
      <w:proofErr w:type="spellEnd"/>
      <w:r w:rsidR="00DD1A44">
        <w:rPr>
          <w:rFonts w:cs="Arial"/>
          <w:lang w:eastAsia="zh-CN"/>
        </w:rPr>
        <w:t>.</w:t>
      </w:r>
    </w:p>
    <w:p w:rsidR="009D2417" w:rsidRPr="00EE4DBD" w:rsidRDefault="009D2417" w:rsidP="00AF202B">
      <w:pPr>
        <w:widowControl w:val="0"/>
        <w:spacing w:line="360" w:lineRule="auto"/>
        <w:jc w:val="both"/>
        <w:rPr>
          <w:rFonts w:cs="Arial"/>
          <w:lang w:eastAsia="zh-CN"/>
        </w:rPr>
      </w:pPr>
      <w:r w:rsidRPr="00EE4DBD">
        <w:rPr>
          <w:rFonts w:cs="Arial"/>
          <w:b/>
          <w:lang w:eastAsia="zh-CN"/>
        </w:rPr>
        <w:t>3.1.2</w:t>
      </w:r>
      <w:r w:rsidRPr="00EE4DBD">
        <w:rPr>
          <w:rFonts w:cs="Arial"/>
          <w:lang w:eastAsia="zh-CN"/>
        </w:rPr>
        <w:t xml:space="preserve"> No se arquea la totalidad de los fondos y valores, entre ellos: “Cheques comunes” y “Vales a rendir cuentas”</w:t>
      </w:r>
      <w:r w:rsidRPr="00EE4DBD">
        <w:rPr>
          <w:rFonts w:cs="Arial"/>
          <w:color w:val="FF0000"/>
        </w:rPr>
        <w:t>.</w:t>
      </w:r>
      <w:r w:rsidRPr="00EE4DBD">
        <w:rPr>
          <w:rFonts w:cs="Arial"/>
          <w:color w:val="000000"/>
        </w:rPr>
        <w:t xml:space="preserve"> A</w:t>
      </w:r>
      <w:r w:rsidRPr="00EE4DBD">
        <w:rPr>
          <w:rFonts w:cs="Arial"/>
          <w:lang w:eastAsia="zh-CN"/>
        </w:rPr>
        <w:t>demás no se efectúan arqueos periódicos de los distintos fondos permanentes que usa la Intendencia.</w:t>
      </w:r>
    </w:p>
    <w:p w:rsidR="009D2417" w:rsidRPr="00EE4DBD" w:rsidRDefault="009D2417" w:rsidP="00AF202B">
      <w:pPr>
        <w:widowControl w:val="0"/>
        <w:numPr>
          <w:ilvl w:val="2"/>
          <w:numId w:val="12"/>
        </w:numPr>
        <w:suppressAutoHyphens/>
        <w:spacing w:line="360" w:lineRule="auto"/>
        <w:ind w:left="0" w:firstLine="30"/>
        <w:jc w:val="both"/>
        <w:rPr>
          <w:rFonts w:cs="Arial"/>
          <w:lang w:eastAsia="zh-CN"/>
        </w:rPr>
      </w:pPr>
      <w:r w:rsidRPr="00EE4DBD">
        <w:rPr>
          <w:rFonts w:cs="Arial"/>
          <w:lang w:eastAsia="zh-CN"/>
        </w:rPr>
        <w:t>No interviene personal independiente en oportunidad de realizar arqueos en algunas Juntas Locales, siendo los propios funcionarios quienes los realizan.</w:t>
      </w:r>
    </w:p>
    <w:p w:rsidR="009D2417" w:rsidRPr="00EE4DBD" w:rsidRDefault="009D2417" w:rsidP="00AF202B">
      <w:pPr>
        <w:shd w:val="clear" w:color="auto" w:fill="FFFFFF"/>
        <w:spacing w:line="360" w:lineRule="auto"/>
        <w:jc w:val="both"/>
        <w:rPr>
          <w:rFonts w:cs="Arial"/>
          <w:color w:val="333333"/>
          <w:lang w:val="es-UY" w:eastAsia="es-UY"/>
        </w:rPr>
      </w:pPr>
      <w:r w:rsidRPr="00EE4DBD">
        <w:rPr>
          <w:rFonts w:cs="Arial"/>
          <w:b/>
          <w:lang w:eastAsia="es-UY"/>
        </w:rPr>
        <w:t>3.1.4</w:t>
      </w:r>
      <w:r w:rsidRPr="00EE4DBD">
        <w:rPr>
          <w:rFonts w:cs="Arial"/>
          <w:lang w:eastAsia="es-UY"/>
        </w:rPr>
        <w:t xml:space="preserve"> Del análisis de las conciliaciones bancarias presentadas, resulta que en algunas cuentas  no coincide el saldo contable presentado en la Rendición de Cuentas, con el saldo contable detallado en la conciliación bancaria (</w:t>
      </w:r>
      <w:r>
        <w:rPr>
          <w:rFonts w:cs="Arial"/>
          <w:lang w:eastAsia="es-UY"/>
        </w:rPr>
        <w:t>C</w:t>
      </w:r>
      <w:r w:rsidRPr="00EE4DBD">
        <w:rPr>
          <w:rFonts w:cs="Arial"/>
          <w:lang w:eastAsia="es-UY"/>
        </w:rPr>
        <w:t xml:space="preserve">uentas </w:t>
      </w:r>
      <w:r>
        <w:rPr>
          <w:rFonts w:cs="Arial"/>
          <w:lang w:eastAsia="es-UY"/>
        </w:rPr>
        <w:t>C</w:t>
      </w:r>
      <w:r w:rsidRPr="00EE4DBD">
        <w:rPr>
          <w:rFonts w:cs="Arial"/>
          <w:lang w:eastAsia="es-UY"/>
        </w:rPr>
        <w:t xml:space="preserve">orrientes números 3097 y 679). </w:t>
      </w:r>
      <w:r w:rsidRPr="00EE4DBD">
        <w:rPr>
          <w:rFonts w:cs="Arial"/>
        </w:rPr>
        <w:t xml:space="preserve">No se presentan conciliaciones bancarias de la Caja de Ahorros B.H.U., </w:t>
      </w:r>
      <w:r>
        <w:rPr>
          <w:rFonts w:cs="Arial"/>
        </w:rPr>
        <w:t>C</w:t>
      </w:r>
      <w:r w:rsidRPr="00EE4DBD">
        <w:rPr>
          <w:rFonts w:cs="Arial"/>
        </w:rPr>
        <w:t xml:space="preserve">aja de </w:t>
      </w:r>
      <w:r>
        <w:rPr>
          <w:rFonts w:cs="Arial"/>
        </w:rPr>
        <w:t>A</w:t>
      </w:r>
      <w:r w:rsidRPr="00EE4DBD">
        <w:rPr>
          <w:rFonts w:cs="Arial"/>
        </w:rPr>
        <w:t xml:space="preserve">horros Nº 154205 y </w:t>
      </w:r>
      <w:r>
        <w:rPr>
          <w:rFonts w:cs="Arial"/>
        </w:rPr>
        <w:t>D</w:t>
      </w:r>
      <w:r w:rsidRPr="00EE4DBD">
        <w:rPr>
          <w:rFonts w:cs="Arial"/>
        </w:rPr>
        <w:t xml:space="preserve">epósito </w:t>
      </w:r>
      <w:r>
        <w:rPr>
          <w:rFonts w:cs="Arial"/>
        </w:rPr>
        <w:t>P</w:t>
      </w:r>
      <w:r w:rsidRPr="00EE4DBD">
        <w:rPr>
          <w:rFonts w:cs="Arial"/>
        </w:rPr>
        <w:t xml:space="preserve">lazo </w:t>
      </w:r>
      <w:r>
        <w:rPr>
          <w:rFonts w:cs="Arial"/>
        </w:rPr>
        <w:t>F</w:t>
      </w:r>
      <w:r w:rsidRPr="00EE4DBD">
        <w:rPr>
          <w:rFonts w:cs="Arial"/>
        </w:rPr>
        <w:t xml:space="preserve">ijo </w:t>
      </w:r>
      <w:r>
        <w:rPr>
          <w:rFonts w:cs="Arial"/>
        </w:rPr>
        <w:t xml:space="preserve"> </w:t>
      </w:r>
      <w:r w:rsidRPr="00EE4DBD">
        <w:rPr>
          <w:rFonts w:cs="Arial"/>
        </w:rPr>
        <w:t>Nº 19940</w:t>
      </w:r>
      <w:r w:rsidRPr="00EE4DBD">
        <w:rPr>
          <w:rFonts w:cs="Arial"/>
          <w:lang w:eastAsia="es-UY"/>
        </w:rPr>
        <w:t>.</w:t>
      </w:r>
      <w:r w:rsidRPr="00EE4DBD">
        <w:rPr>
          <w:rFonts w:cs="Arial"/>
        </w:rPr>
        <w:t xml:space="preserve">Existe una partida conciliatoria por $ 378.592 del 30/10/17, con dos meses de antigüedad correspondiente a </w:t>
      </w:r>
      <w:r w:rsidRPr="00EE4DBD">
        <w:rPr>
          <w:rFonts w:cs="Arial"/>
          <w:color w:val="333333"/>
          <w:lang w:val="es-UY" w:eastAsia="es-UY"/>
        </w:rPr>
        <w:t xml:space="preserve">la </w:t>
      </w:r>
      <w:r>
        <w:rPr>
          <w:rFonts w:cs="Arial"/>
          <w:color w:val="333333"/>
          <w:lang w:val="es-UY" w:eastAsia="es-UY"/>
        </w:rPr>
        <w:t>C</w:t>
      </w:r>
      <w:r w:rsidRPr="00EE4DBD">
        <w:rPr>
          <w:rFonts w:cs="Arial"/>
          <w:color w:val="333333"/>
          <w:lang w:val="es-UY" w:eastAsia="es-UY"/>
        </w:rPr>
        <w:t>uenta N° 057-3097.</w:t>
      </w:r>
    </w:p>
    <w:p w:rsidR="009D2417" w:rsidRPr="00EE4DBD" w:rsidRDefault="009D2417" w:rsidP="00AF202B">
      <w:pPr>
        <w:widowControl w:val="0"/>
        <w:spacing w:line="360" w:lineRule="auto"/>
        <w:jc w:val="both"/>
        <w:rPr>
          <w:rFonts w:cs="Arial"/>
          <w:bCs/>
          <w:lang w:eastAsia="zh-CN"/>
        </w:rPr>
      </w:pPr>
      <w:r w:rsidRPr="00EE4DBD">
        <w:rPr>
          <w:rFonts w:cs="Arial"/>
          <w:b/>
          <w:lang w:eastAsia="zh-CN"/>
        </w:rPr>
        <w:t>3.1.5</w:t>
      </w:r>
      <w:r w:rsidRPr="00EE4DBD">
        <w:rPr>
          <w:rFonts w:cs="Arial"/>
          <w:lang w:eastAsia="zh-CN"/>
        </w:rPr>
        <w:t xml:space="preserve"> La Intendencia emitió cheques al portador.</w:t>
      </w:r>
    </w:p>
    <w:p w:rsidR="009D2417" w:rsidRPr="00EE4DBD" w:rsidRDefault="009D2417" w:rsidP="00AF202B">
      <w:pPr>
        <w:widowControl w:val="0"/>
        <w:spacing w:line="360" w:lineRule="auto"/>
        <w:jc w:val="both"/>
        <w:rPr>
          <w:rFonts w:cs="Arial"/>
          <w:bCs/>
          <w:lang w:eastAsia="zh-CN"/>
        </w:rPr>
      </w:pPr>
      <w:r w:rsidRPr="00EE4DBD">
        <w:rPr>
          <w:rFonts w:cs="Arial"/>
          <w:b/>
          <w:color w:val="000000"/>
        </w:rPr>
        <w:t>3.1.6</w:t>
      </w:r>
      <w:r w:rsidRPr="00EE4DBD">
        <w:rPr>
          <w:rFonts w:cs="Arial"/>
          <w:color w:val="000000"/>
        </w:rPr>
        <w:t xml:space="preserve"> El fondo fijo de la Junta Local de Rincón aumentó $ 10.000, cuya resolución no fue proporcionada.</w:t>
      </w:r>
    </w:p>
    <w:p w:rsidR="009D2417" w:rsidRDefault="009D2417" w:rsidP="00AF202B">
      <w:pPr>
        <w:spacing w:after="170" w:line="360" w:lineRule="auto"/>
        <w:jc w:val="both"/>
        <w:outlineLvl w:val="1"/>
        <w:rPr>
          <w:rFonts w:cs="Arial"/>
          <w:b/>
          <w:lang w:eastAsia="zh-CN"/>
        </w:rPr>
      </w:pPr>
    </w:p>
    <w:p w:rsidR="009D2417" w:rsidRPr="00EE4DBD" w:rsidRDefault="009D2417" w:rsidP="00AF202B">
      <w:pPr>
        <w:spacing w:after="170" w:line="360" w:lineRule="auto"/>
        <w:jc w:val="both"/>
        <w:outlineLvl w:val="1"/>
        <w:rPr>
          <w:rFonts w:cs="Arial"/>
          <w:b/>
          <w:lang w:eastAsia="zh-CN"/>
        </w:rPr>
      </w:pPr>
      <w:r w:rsidRPr="00EE4DBD">
        <w:rPr>
          <w:rFonts w:cs="Arial"/>
          <w:b/>
          <w:lang w:eastAsia="zh-CN"/>
        </w:rPr>
        <w:t>3.2 Respecto a retribuciones personales</w:t>
      </w:r>
    </w:p>
    <w:p w:rsidR="009D2417" w:rsidRPr="00EE4DBD" w:rsidRDefault="009D2417" w:rsidP="00AF202B">
      <w:pPr>
        <w:spacing w:line="360" w:lineRule="auto"/>
        <w:jc w:val="both"/>
        <w:rPr>
          <w:rFonts w:cs="Arial"/>
          <w:lang w:eastAsia="zh-CN"/>
        </w:rPr>
      </w:pPr>
      <w:r w:rsidRPr="00EE4DBD">
        <w:rPr>
          <w:rFonts w:cs="Arial"/>
          <w:lang w:eastAsia="zh-CN"/>
        </w:rPr>
        <w:t>No existe oposición de intereses entre las liquidacione</w:t>
      </w:r>
      <w:r w:rsidR="00DD1A44">
        <w:rPr>
          <w:rFonts w:cs="Arial"/>
          <w:lang w:eastAsia="zh-CN"/>
        </w:rPr>
        <w:t>s y el control de los haberes.</w:t>
      </w:r>
    </w:p>
    <w:p w:rsidR="009D2417" w:rsidRPr="00EE4DBD" w:rsidRDefault="009D2417" w:rsidP="00AF202B">
      <w:pPr>
        <w:shd w:val="clear" w:color="auto" w:fill="FFFFFF"/>
        <w:spacing w:line="360" w:lineRule="auto"/>
        <w:jc w:val="both"/>
        <w:rPr>
          <w:rFonts w:cs="Arial"/>
          <w:b/>
          <w:color w:val="548DD4"/>
          <w:lang w:eastAsia="zh-CN"/>
        </w:rPr>
      </w:pPr>
    </w:p>
    <w:p w:rsidR="009D2417" w:rsidRPr="00EE4DBD" w:rsidRDefault="009D2417" w:rsidP="00AF202B">
      <w:pPr>
        <w:shd w:val="clear" w:color="auto" w:fill="FFFFFF"/>
        <w:spacing w:line="360" w:lineRule="auto"/>
        <w:jc w:val="both"/>
        <w:rPr>
          <w:rFonts w:cs="Arial"/>
          <w:b/>
          <w:lang w:eastAsia="zh-CN"/>
        </w:rPr>
      </w:pPr>
      <w:r w:rsidRPr="00EE4DBD">
        <w:rPr>
          <w:rFonts w:cs="Arial"/>
          <w:b/>
          <w:lang w:eastAsia="zh-CN"/>
        </w:rPr>
        <w:t>3.3 Respecto al sistema de compras</w:t>
      </w:r>
    </w:p>
    <w:p w:rsidR="009D2417" w:rsidRPr="00EE4DBD" w:rsidRDefault="009D2417" w:rsidP="00AF202B">
      <w:pPr>
        <w:widowControl w:val="0"/>
        <w:spacing w:line="360" w:lineRule="auto"/>
        <w:jc w:val="both"/>
        <w:rPr>
          <w:rFonts w:cs="Arial"/>
          <w:lang w:eastAsia="zh-CN"/>
        </w:rPr>
      </w:pPr>
      <w:r w:rsidRPr="00EE4DBD">
        <w:rPr>
          <w:rFonts w:cs="Arial"/>
          <w:b/>
          <w:lang w:eastAsia="zh-CN"/>
        </w:rPr>
        <w:t>3.3.1</w:t>
      </w:r>
      <w:r w:rsidRPr="00EE4DBD">
        <w:rPr>
          <w:rFonts w:cs="Arial"/>
          <w:lang w:eastAsia="zh-CN"/>
        </w:rPr>
        <w:t xml:space="preserve"> Al igual que en ejercicios anteriores no se realizan conciliaciones en forma periódica con los proveedores, lo que no permite verificar la exactitud de los saldos contables presentados en el Estado N° 8: “Obliga</w:t>
      </w:r>
      <w:r w:rsidR="00DD1A44">
        <w:rPr>
          <w:rFonts w:cs="Arial"/>
          <w:lang w:eastAsia="zh-CN"/>
        </w:rPr>
        <w:t>ciones Presupuestales Impagas”.</w:t>
      </w:r>
    </w:p>
    <w:p w:rsidR="009D2417" w:rsidRPr="00EE4DBD" w:rsidRDefault="009D2417" w:rsidP="00AF202B">
      <w:pPr>
        <w:widowControl w:val="0"/>
        <w:spacing w:line="360" w:lineRule="auto"/>
        <w:jc w:val="both"/>
        <w:rPr>
          <w:rFonts w:cs="Arial"/>
          <w:lang w:eastAsia="zh-CN"/>
        </w:rPr>
      </w:pPr>
      <w:r w:rsidRPr="00EE4DBD">
        <w:rPr>
          <w:rFonts w:cs="Arial"/>
          <w:lang w:eastAsia="zh-CN"/>
        </w:rPr>
        <w:t>Se constató que la Intendencia no actualiza las deudas que mantiene con sus proveedores en moneda extranjera al cierre del ejercicio, reconociendo la diferencia de cambio resultante en el momento que se cancelan dichos pasivos.</w:t>
      </w:r>
    </w:p>
    <w:p w:rsidR="009D2417" w:rsidRPr="00EE4DBD" w:rsidRDefault="009D2417" w:rsidP="00E433B8">
      <w:pPr>
        <w:spacing w:line="360" w:lineRule="auto"/>
        <w:jc w:val="both"/>
        <w:rPr>
          <w:rFonts w:cs="Arial"/>
          <w:b/>
          <w:i/>
          <w:color w:val="00B050"/>
          <w:lang w:eastAsia="zh-CN"/>
        </w:rPr>
      </w:pPr>
      <w:r w:rsidRPr="00EE4DBD">
        <w:rPr>
          <w:rFonts w:cs="Arial"/>
          <w:b/>
          <w:lang w:eastAsia="zh-CN"/>
        </w:rPr>
        <w:t>3.3.2</w:t>
      </w:r>
      <w:r w:rsidRPr="00EE4DBD">
        <w:rPr>
          <w:rFonts w:cs="Arial"/>
          <w:lang w:eastAsia="zh-CN"/>
        </w:rPr>
        <w:t xml:space="preserve"> Del análisis de la licitación abreviada Nº 2/2017 resulta que no existe acto administrativo que adjudique la misma o la</w:t>
      </w:r>
      <w:r w:rsidR="00DD1A44">
        <w:rPr>
          <w:rFonts w:cs="Arial"/>
          <w:lang w:eastAsia="zh-CN"/>
        </w:rPr>
        <w:t xml:space="preserve"> declare desierta.</w:t>
      </w:r>
    </w:p>
    <w:p w:rsidR="009D2417" w:rsidRPr="00EE4DBD" w:rsidRDefault="009D2417" w:rsidP="00AF202B">
      <w:pPr>
        <w:spacing w:line="360" w:lineRule="auto"/>
        <w:jc w:val="both"/>
        <w:outlineLvl w:val="1"/>
        <w:rPr>
          <w:rFonts w:cs="Arial"/>
          <w:b/>
          <w:lang w:eastAsia="zh-CN"/>
        </w:rPr>
      </w:pPr>
    </w:p>
    <w:p w:rsidR="009D2417" w:rsidRPr="00EE4DBD" w:rsidRDefault="009D2417" w:rsidP="00AF202B">
      <w:pPr>
        <w:spacing w:line="360" w:lineRule="auto"/>
        <w:jc w:val="both"/>
        <w:outlineLvl w:val="1"/>
        <w:rPr>
          <w:rFonts w:cs="Arial"/>
          <w:b/>
          <w:lang w:eastAsia="zh-CN"/>
        </w:rPr>
      </w:pPr>
      <w:r w:rsidRPr="00EE4DBD">
        <w:rPr>
          <w:rFonts w:cs="Arial"/>
          <w:b/>
          <w:lang w:eastAsia="zh-CN"/>
        </w:rPr>
        <w:t>3.4 Respecto al sistema de ingresos</w:t>
      </w:r>
    </w:p>
    <w:p w:rsidR="009D2417" w:rsidRPr="00EE4DBD" w:rsidRDefault="009D2417" w:rsidP="00AF202B">
      <w:pPr>
        <w:widowControl w:val="0"/>
        <w:spacing w:line="360" w:lineRule="auto"/>
        <w:jc w:val="both"/>
        <w:rPr>
          <w:rFonts w:cs="Arial"/>
          <w:lang w:eastAsia="zh-CN"/>
        </w:rPr>
      </w:pPr>
      <w:r w:rsidRPr="00EE4DBD">
        <w:rPr>
          <w:rFonts w:cs="Arial"/>
          <w:b/>
          <w:lang w:eastAsia="zh-CN"/>
        </w:rPr>
        <w:t>3.4.1</w:t>
      </w:r>
      <w:r w:rsidRPr="00EE4DBD">
        <w:rPr>
          <w:rFonts w:cs="Arial"/>
          <w:lang w:eastAsia="zh-CN"/>
        </w:rPr>
        <w:t xml:space="preserve"> No se controla que los valores de aforo aplicados a la Contribución Inmobiliaria Rural y Urbana con los datos obtenidos de la Dirección Nacional de Catastro.</w:t>
      </w:r>
    </w:p>
    <w:p w:rsidR="009D2417" w:rsidRPr="00EE4DBD" w:rsidRDefault="009D2417" w:rsidP="00AF202B">
      <w:pPr>
        <w:widowControl w:val="0"/>
        <w:spacing w:line="360" w:lineRule="auto"/>
        <w:jc w:val="both"/>
        <w:rPr>
          <w:rFonts w:cs="Arial"/>
          <w:lang w:eastAsia="zh-CN"/>
        </w:rPr>
      </w:pPr>
      <w:r w:rsidRPr="00EE4DBD">
        <w:rPr>
          <w:rFonts w:cs="Arial"/>
          <w:b/>
          <w:lang w:eastAsia="zh-CN"/>
        </w:rPr>
        <w:t>3.4.2</w:t>
      </w:r>
      <w:r w:rsidRPr="00EE4DBD">
        <w:rPr>
          <w:rFonts w:cs="Arial"/>
          <w:lang w:eastAsia="zh-CN"/>
        </w:rPr>
        <w:t xml:space="preserve"> En oportunidad de la anulación de recibos no siempre se especifica el motivo de la misma.</w:t>
      </w:r>
    </w:p>
    <w:p w:rsidR="009D2417" w:rsidRPr="00EE4DBD" w:rsidRDefault="009D2417" w:rsidP="00AF202B">
      <w:pPr>
        <w:pStyle w:val="Sangra2detindependiente"/>
        <w:tabs>
          <w:tab w:val="left" w:pos="1560"/>
          <w:tab w:val="left" w:pos="3064"/>
        </w:tabs>
        <w:spacing w:line="360" w:lineRule="auto"/>
        <w:ind w:left="0"/>
        <w:jc w:val="both"/>
        <w:rPr>
          <w:rFonts w:cs="Arial"/>
        </w:rPr>
      </w:pPr>
      <w:r w:rsidRPr="00EE4DBD">
        <w:rPr>
          <w:rFonts w:cs="Arial"/>
          <w:b/>
          <w:lang w:eastAsia="zh-CN"/>
        </w:rPr>
        <w:t>3.4.3</w:t>
      </w:r>
      <w:r w:rsidRPr="00EE4DBD">
        <w:rPr>
          <w:rFonts w:cs="Arial"/>
        </w:rPr>
        <w:t xml:space="preserve"> </w:t>
      </w:r>
      <w:r w:rsidRPr="00EE4DBD">
        <w:rPr>
          <w:rFonts w:cs="Arial"/>
          <w:lang w:val="es-UY"/>
        </w:rPr>
        <w:t>Existen</w:t>
      </w:r>
      <w:r w:rsidRPr="00EE4DBD">
        <w:rPr>
          <w:rFonts w:cs="Arial"/>
        </w:rPr>
        <w:t xml:space="preserve"> algunos errores en los textos de los convenios y en algunos casos no coincide el monto establecido en el convenio original, con la base de datos proporcionada de los mismos.</w:t>
      </w:r>
    </w:p>
    <w:p w:rsidR="009D2417" w:rsidRPr="00EE4DBD" w:rsidRDefault="009D2417" w:rsidP="00AF202B">
      <w:pPr>
        <w:pStyle w:val="Sangra2detindependiente"/>
        <w:tabs>
          <w:tab w:val="left" w:pos="1560"/>
          <w:tab w:val="left" w:pos="3064"/>
        </w:tabs>
        <w:spacing w:line="360" w:lineRule="auto"/>
        <w:ind w:left="0"/>
        <w:jc w:val="both"/>
        <w:rPr>
          <w:rFonts w:cs="Arial"/>
          <w:color w:val="FF0000"/>
        </w:rPr>
      </w:pPr>
      <w:r w:rsidRPr="00EE4DBD">
        <w:rPr>
          <w:rFonts w:cs="Arial"/>
          <w:b/>
          <w:lang w:eastAsia="zh-CN"/>
        </w:rPr>
        <w:t>3.5 Otras constataciones</w:t>
      </w:r>
    </w:p>
    <w:p w:rsidR="009D2417" w:rsidRPr="00EE4DBD" w:rsidRDefault="009D2417" w:rsidP="00AF202B">
      <w:pPr>
        <w:pStyle w:val="Textoindependiente"/>
        <w:spacing w:after="0" w:line="360" w:lineRule="auto"/>
        <w:rPr>
          <w:rFonts w:cs="Arial"/>
          <w:kern w:val="0"/>
          <w:szCs w:val="24"/>
          <w:lang w:val="es-ES" w:eastAsia="zh-CN"/>
        </w:rPr>
      </w:pPr>
      <w:r w:rsidRPr="00EE4DBD">
        <w:rPr>
          <w:rFonts w:cs="Arial"/>
          <w:kern w:val="0"/>
          <w:szCs w:val="24"/>
          <w:lang w:val="es-ES" w:eastAsia="zh-CN"/>
        </w:rPr>
        <w:t>No todas las Declaraciones Juradas de “solicitud de exoneración” de tributos presentan las firmas respectivas.</w:t>
      </w:r>
    </w:p>
    <w:p w:rsidR="009D2417" w:rsidRPr="00EE4DBD" w:rsidRDefault="009D2417" w:rsidP="00AF202B">
      <w:pPr>
        <w:spacing w:line="360" w:lineRule="auto"/>
        <w:ind w:left="720"/>
        <w:jc w:val="both"/>
        <w:rPr>
          <w:rFonts w:cs="Arial"/>
          <w:b/>
          <w:color w:val="FF0000"/>
        </w:rPr>
      </w:pPr>
    </w:p>
    <w:p w:rsidR="009D2417" w:rsidRPr="00EE4DBD" w:rsidRDefault="009D2417" w:rsidP="00AF202B">
      <w:pPr>
        <w:spacing w:line="360" w:lineRule="auto"/>
        <w:jc w:val="both"/>
        <w:rPr>
          <w:rFonts w:cs="Arial"/>
          <w:b/>
        </w:rPr>
      </w:pPr>
      <w:r w:rsidRPr="00EE4DBD">
        <w:rPr>
          <w:rFonts w:cs="Arial"/>
          <w:b/>
        </w:rPr>
        <w:t>4.1 Recomendaciones</w:t>
      </w:r>
    </w:p>
    <w:p w:rsidR="009D2417" w:rsidRPr="00EE4DBD" w:rsidRDefault="009D2417" w:rsidP="00AF202B">
      <w:pPr>
        <w:spacing w:line="360" w:lineRule="auto"/>
        <w:ind w:left="720"/>
        <w:jc w:val="both"/>
        <w:rPr>
          <w:rFonts w:cs="Arial"/>
          <w:b/>
        </w:rPr>
      </w:pPr>
    </w:p>
    <w:p w:rsidR="009D2417" w:rsidRPr="00EE4DBD" w:rsidRDefault="009D2417" w:rsidP="00AF202B">
      <w:pPr>
        <w:spacing w:line="360" w:lineRule="auto"/>
        <w:jc w:val="both"/>
        <w:rPr>
          <w:rFonts w:cs="Arial"/>
          <w:b/>
          <w:bCs/>
        </w:rPr>
      </w:pPr>
      <w:r w:rsidRPr="00EE4DBD">
        <w:rPr>
          <w:rFonts w:cs="Arial"/>
          <w:b/>
          <w:bCs/>
        </w:rPr>
        <w:t>4.1.1 Recomendaciones de ejercicios anteriores cumplidas</w:t>
      </w:r>
    </w:p>
    <w:p w:rsidR="009D2417" w:rsidRPr="00EE4DBD" w:rsidRDefault="009D2417" w:rsidP="00AF202B">
      <w:pPr>
        <w:spacing w:line="360" w:lineRule="auto"/>
        <w:rPr>
          <w:rFonts w:cs="Arial"/>
          <w:b/>
          <w:bCs/>
        </w:rPr>
      </w:pPr>
      <w:r w:rsidRPr="00EE4DBD">
        <w:rPr>
          <w:b/>
          <w:kern w:val="18"/>
        </w:rPr>
        <w:t>4.1.1 Artículos 90 y 154 del TOCAF</w:t>
      </w:r>
    </w:p>
    <w:p w:rsidR="009D2417" w:rsidRPr="00EE4DBD" w:rsidRDefault="009D2417" w:rsidP="00AF202B">
      <w:pPr>
        <w:spacing w:line="360" w:lineRule="auto"/>
        <w:jc w:val="both"/>
        <w:rPr>
          <w:lang w:val="es-ES_tradnl" w:eastAsia="x-none"/>
        </w:rPr>
      </w:pPr>
      <w:r w:rsidRPr="00EE4DBD">
        <w:rPr>
          <w:lang w:val="es-ES_tradnl" w:eastAsia="x-none"/>
        </w:rPr>
        <w:t>La Intendencia contrató seguros de caución de fidelidad vigentes para todos los funcionarios que manejan fondos o valores.</w:t>
      </w:r>
    </w:p>
    <w:p w:rsidR="009D2417" w:rsidRPr="00EE4DBD" w:rsidRDefault="009D2417" w:rsidP="00AF202B">
      <w:pPr>
        <w:spacing w:line="360" w:lineRule="auto"/>
        <w:jc w:val="both"/>
        <w:rPr>
          <w:rFonts w:cs="Arial"/>
          <w:b/>
        </w:rPr>
      </w:pPr>
      <w:bookmarkStart w:id="9" w:name="_Toc402535521"/>
      <w:r w:rsidRPr="00EE4DBD">
        <w:rPr>
          <w:rFonts w:cs="Arial"/>
          <w:b/>
        </w:rPr>
        <w:t>4.1.2 Artículo 9 del</w:t>
      </w:r>
      <w:r w:rsidRPr="00EE4DBD">
        <w:rPr>
          <w:rFonts w:cs="Arial"/>
        </w:rPr>
        <w:t xml:space="preserve"> </w:t>
      </w:r>
      <w:r w:rsidRPr="00EE4DBD">
        <w:rPr>
          <w:rFonts w:cs="Arial"/>
          <w:b/>
        </w:rPr>
        <w:t>Decreto 22/2007 de la Junta Departamental</w:t>
      </w:r>
    </w:p>
    <w:p w:rsidR="009D2417" w:rsidRPr="00EE4DBD" w:rsidRDefault="009D2417" w:rsidP="00AF202B">
      <w:pPr>
        <w:spacing w:line="360" w:lineRule="auto"/>
        <w:jc w:val="both"/>
        <w:rPr>
          <w:rFonts w:cs="Arial"/>
        </w:rPr>
      </w:pPr>
      <w:r w:rsidRPr="00EE4DBD">
        <w:rPr>
          <w:rFonts w:cs="Arial"/>
        </w:rPr>
        <w:t>La Intendencia comunicó a la Junta Departamental, la nómina de padrones incluidos en la categoría de padrón productivo, así como la nómina de infractores y las sanciones correspondientes, tal cual lo establece la citada norma.</w:t>
      </w:r>
    </w:p>
    <w:bookmarkEnd w:id="9"/>
    <w:p w:rsidR="009D2417" w:rsidRPr="00EE4DBD" w:rsidRDefault="009D2417" w:rsidP="00AF202B">
      <w:pPr>
        <w:spacing w:line="360" w:lineRule="auto"/>
        <w:ind w:firstLine="708"/>
        <w:rPr>
          <w:rFonts w:cs="Arial"/>
          <w:b/>
          <w:bCs/>
        </w:rPr>
      </w:pPr>
    </w:p>
    <w:p w:rsidR="009D2417" w:rsidRPr="00EE4DBD" w:rsidRDefault="009D2417" w:rsidP="00AF202B">
      <w:pPr>
        <w:widowControl w:val="0"/>
        <w:spacing w:line="360" w:lineRule="auto"/>
        <w:jc w:val="both"/>
        <w:rPr>
          <w:b/>
          <w:color w:val="FF0000"/>
        </w:rPr>
      </w:pPr>
      <w:r w:rsidRPr="00EE4DBD">
        <w:rPr>
          <w:b/>
        </w:rPr>
        <w:t>4.2 Recomendaciones del ejercicio anterior no cumplidas</w:t>
      </w:r>
    </w:p>
    <w:p w:rsidR="009D2417" w:rsidRPr="00EE4DBD" w:rsidRDefault="009D2417" w:rsidP="00AF202B">
      <w:pPr>
        <w:widowControl w:val="0"/>
        <w:numPr>
          <w:ilvl w:val="1"/>
          <w:numId w:val="10"/>
        </w:numPr>
        <w:tabs>
          <w:tab w:val="clear" w:pos="576"/>
          <w:tab w:val="num" w:pos="0"/>
          <w:tab w:val="num" w:pos="284"/>
        </w:tabs>
        <w:suppressAutoHyphens/>
        <w:spacing w:line="360" w:lineRule="auto"/>
        <w:ind w:left="0" w:firstLine="0"/>
        <w:jc w:val="both"/>
        <w:outlineLvl w:val="1"/>
        <w:rPr>
          <w:b/>
          <w:kern w:val="18"/>
        </w:rPr>
      </w:pPr>
      <w:r w:rsidRPr="00EE4DBD">
        <w:rPr>
          <w:b/>
          <w:kern w:val="18"/>
        </w:rPr>
        <w:t>4.2.1 Artículo 211 Literal B) de la Constitución de la República y Artículos 23 y 87 del TOCAF</w:t>
      </w:r>
    </w:p>
    <w:p w:rsidR="009D2417" w:rsidRPr="00EE4DBD" w:rsidRDefault="009D2417" w:rsidP="00C00937">
      <w:pPr>
        <w:suppressAutoHyphens/>
        <w:spacing w:line="360" w:lineRule="auto"/>
        <w:jc w:val="both"/>
        <w:rPr>
          <w:rFonts w:cs="Arial"/>
          <w:b/>
          <w:lang w:eastAsia="zh-CN"/>
        </w:rPr>
      </w:pPr>
      <w:r w:rsidRPr="00EE4DBD">
        <w:rPr>
          <w:rFonts w:cs="Arial"/>
          <w:lang w:eastAsia="zh-CN"/>
        </w:rPr>
        <w:t>La Intendencia deberá ajustar los procedimientos a los efectos de que no se efectúen pagos u operen egresos cuya documentación no haya sido previamente intervenida por el Tribunal.</w:t>
      </w:r>
      <w:bookmarkStart w:id="10" w:name="_Toc402535497"/>
    </w:p>
    <w:p w:rsidR="009D2417" w:rsidRPr="00EE4DBD" w:rsidRDefault="009D2417" w:rsidP="00AF202B">
      <w:pPr>
        <w:suppressAutoHyphens/>
        <w:spacing w:line="360" w:lineRule="auto"/>
        <w:jc w:val="both"/>
        <w:rPr>
          <w:rFonts w:cs="Arial"/>
          <w:b/>
          <w:lang w:eastAsia="zh-CN"/>
        </w:rPr>
      </w:pPr>
      <w:r w:rsidRPr="00EE4DBD">
        <w:rPr>
          <w:rFonts w:cs="Arial"/>
          <w:b/>
          <w:lang w:eastAsia="zh-CN"/>
        </w:rPr>
        <w:t>4.2.2 Presupuesto Quinquenal 2016 - 2020</w:t>
      </w:r>
    </w:p>
    <w:p w:rsidR="009D2417" w:rsidRPr="00EE4DBD" w:rsidRDefault="009D2417" w:rsidP="00AF202B">
      <w:pPr>
        <w:suppressAutoHyphens/>
        <w:spacing w:line="360" w:lineRule="auto"/>
        <w:jc w:val="both"/>
        <w:rPr>
          <w:rFonts w:cs="Arial"/>
          <w:lang w:eastAsia="zh-CN"/>
        </w:rPr>
      </w:pPr>
      <w:r w:rsidRPr="00EE4DBD">
        <w:rPr>
          <w:rFonts w:cs="Arial"/>
          <w:lang w:eastAsia="zh-CN"/>
        </w:rPr>
        <w:t>A efectos de cumplir con el  procedimiento establecido en la Ordenanza N° 71 de este Tribunal, cuando la Junta Departamental, al sancionar definitivamente los Presupuestos o Modificaciones Presupuestales acepte las observaciones formuladas, deberá introducir efectivamente las correcciones correspondientes.</w:t>
      </w:r>
    </w:p>
    <w:p w:rsidR="009D2417" w:rsidRPr="00EE4DBD" w:rsidRDefault="009D2417" w:rsidP="00AF202B">
      <w:pPr>
        <w:suppressAutoHyphens/>
        <w:spacing w:line="360" w:lineRule="auto"/>
        <w:jc w:val="both"/>
        <w:rPr>
          <w:rFonts w:cs="Arial"/>
          <w:lang w:eastAsia="zh-CN"/>
        </w:rPr>
      </w:pPr>
      <w:r w:rsidRPr="00EE4DBD">
        <w:rPr>
          <w:b/>
          <w:kern w:val="18"/>
        </w:rPr>
        <w:t>4.2.3 Artículo 297 Numeral 1) de la Constitución de la República</w:t>
      </w:r>
      <w:bookmarkEnd w:id="10"/>
    </w:p>
    <w:p w:rsidR="009D2417" w:rsidRPr="00EE4DBD" w:rsidRDefault="009D2417" w:rsidP="00C00937">
      <w:pPr>
        <w:suppressAutoHyphens/>
        <w:spacing w:line="360" w:lineRule="auto"/>
        <w:jc w:val="both"/>
        <w:rPr>
          <w:rFonts w:cs="Arial"/>
          <w:b/>
          <w:lang w:eastAsia="zh-CN"/>
        </w:rPr>
      </w:pPr>
      <w:r w:rsidRPr="00EE4DBD">
        <w:rPr>
          <w:lang w:val="es-ES_tradnl" w:eastAsia="x-none"/>
        </w:rPr>
        <w:t>La Intendencia no debe aplicar bonificaciones a la Contribución Inmobiliaria Rural, debido a que excede la potestad tributaria del Gobierno Departamental por cuanto el citado impuesto tiene origen legal y carácter nacional, siendo competencia del Legislador Nacional el establecimiento de las mismas.</w:t>
      </w:r>
      <w:bookmarkStart w:id="11" w:name="_Toc402535498"/>
    </w:p>
    <w:p w:rsidR="009D2417" w:rsidRPr="00EE4DBD" w:rsidRDefault="009D2417" w:rsidP="00AF202B">
      <w:pPr>
        <w:spacing w:line="360" w:lineRule="auto"/>
        <w:jc w:val="both"/>
        <w:rPr>
          <w:b/>
          <w:lang w:val="es-ES_tradnl" w:eastAsia="x-none"/>
        </w:rPr>
      </w:pPr>
      <w:r w:rsidRPr="00EE4DBD">
        <w:rPr>
          <w:b/>
          <w:lang w:val="es-ES_tradnl" w:eastAsia="x-none"/>
        </w:rPr>
        <w:t xml:space="preserve">4.2.4 </w:t>
      </w:r>
      <w:proofErr w:type="spellStart"/>
      <w:r w:rsidRPr="00EE4DBD">
        <w:rPr>
          <w:b/>
          <w:lang w:val="es-ES_tradnl" w:eastAsia="x-none"/>
        </w:rPr>
        <w:t>Articulo</w:t>
      </w:r>
      <w:r>
        <w:rPr>
          <w:b/>
          <w:lang w:val="es-ES_tradnl" w:eastAsia="x-none"/>
        </w:rPr>
        <w:t>s</w:t>
      </w:r>
      <w:proofErr w:type="spellEnd"/>
      <w:r w:rsidRPr="00EE4DBD">
        <w:rPr>
          <w:b/>
          <w:lang w:val="es-ES_tradnl" w:eastAsia="x-none"/>
        </w:rPr>
        <w:t xml:space="preserve"> 10 </w:t>
      </w:r>
      <w:r w:rsidRPr="00BF7D08">
        <w:rPr>
          <w:b/>
          <w:lang w:val="es-ES_tradnl" w:eastAsia="x-none"/>
        </w:rPr>
        <w:t>y 42</w:t>
      </w:r>
      <w:r w:rsidRPr="00EE4DBD">
        <w:rPr>
          <w:b/>
          <w:lang w:val="es-ES_tradnl" w:eastAsia="x-none"/>
        </w:rPr>
        <w:t xml:space="preserve"> de la Ley N° 19.210 y Decreto 180/15 del Poder Ejecutivo</w:t>
      </w:r>
    </w:p>
    <w:p w:rsidR="009D2417" w:rsidRPr="00EE4DBD" w:rsidRDefault="009D2417" w:rsidP="00C00937">
      <w:pPr>
        <w:suppressAutoHyphens/>
        <w:spacing w:line="360" w:lineRule="auto"/>
        <w:jc w:val="both"/>
        <w:rPr>
          <w:rFonts w:cs="Arial"/>
          <w:b/>
          <w:lang w:eastAsia="zh-CN"/>
        </w:rPr>
      </w:pPr>
      <w:r w:rsidRPr="00EE4DBD">
        <w:rPr>
          <w:lang w:val="es-ES_tradnl" w:eastAsia="x-none"/>
        </w:rPr>
        <w:t>Se deberá pagar a la totalidad de los proveedores de la Intendencia tanto de  bienes como de servicios, mediante acreditación en cuenta en instituciones de intermediación financiera, teniendo en cuenta las excepciones establecidas en las citadas normas.</w:t>
      </w:r>
    </w:p>
    <w:p w:rsidR="009D2417" w:rsidRPr="00EE4DBD" w:rsidRDefault="009D2417" w:rsidP="00AF202B">
      <w:pPr>
        <w:spacing w:line="360" w:lineRule="auto"/>
        <w:outlineLvl w:val="1"/>
        <w:rPr>
          <w:b/>
          <w:kern w:val="18"/>
        </w:rPr>
      </w:pPr>
      <w:bookmarkStart w:id="12" w:name="_Toc402535501"/>
      <w:bookmarkEnd w:id="11"/>
      <w:r w:rsidRPr="00EE4DBD">
        <w:rPr>
          <w:b/>
          <w:kern w:val="18"/>
        </w:rPr>
        <w:t>4.2.5 Artículo 32 de la Ley Nº 11.923</w:t>
      </w:r>
      <w:bookmarkEnd w:id="12"/>
      <w:r w:rsidRPr="00EE4DBD">
        <w:rPr>
          <w:b/>
          <w:kern w:val="18"/>
        </w:rPr>
        <w:t xml:space="preserve"> de 27/03/1953</w:t>
      </w:r>
    </w:p>
    <w:p w:rsidR="009D2417" w:rsidRPr="00EE4DBD" w:rsidRDefault="009D2417" w:rsidP="00C00937">
      <w:pPr>
        <w:suppressAutoHyphens/>
        <w:spacing w:line="360" w:lineRule="auto"/>
        <w:jc w:val="both"/>
        <w:rPr>
          <w:rFonts w:cs="Arial"/>
          <w:b/>
          <w:lang w:eastAsia="zh-CN"/>
        </w:rPr>
      </w:pPr>
      <w:r w:rsidRPr="00EE4DBD">
        <w:rPr>
          <w:rFonts w:cs="Arial"/>
          <w:lang w:eastAsia="zh-CN"/>
        </w:rPr>
        <w:t>Se deberá controlar el cumplimiento de lo establecido en dicha norma, no pudiendo contratar a personas que desempeñen al mismo tiempo otro cargo público</w:t>
      </w:r>
      <w:r w:rsidR="00E433B8">
        <w:rPr>
          <w:rFonts w:cs="Arial"/>
          <w:lang w:eastAsia="zh-CN"/>
        </w:rPr>
        <w:t>.</w:t>
      </w:r>
    </w:p>
    <w:p w:rsidR="009D2417" w:rsidRDefault="009D2417" w:rsidP="00AF202B">
      <w:pPr>
        <w:spacing w:line="360" w:lineRule="auto"/>
        <w:jc w:val="both"/>
        <w:rPr>
          <w:b/>
          <w:kern w:val="18"/>
        </w:rPr>
      </w:pPr>
    </w:p>
    <w:p w:rsidR="00DD1A44" w:rsidRDefault="00DD1A44" w:rsidP="00AF202B">
      <w:pPr>
        <w:spacing w:line="360" w:lineRule="auto"/>
        <w:jc w:val="both"/>
        <w:rPr>
          <w:b/>
          <w:kern w:val="18"/>
        </w:rPr>
      </w:pPr>
    </w:p>
    <w:p w:rsidR="009D2417" w:rsidRPr="00EE4DBD" w:rsidRDefault="009D2417" w:rsidP="00AF202B">
      <w:pPr>
        <w:spacing w:line="360" w:lineRule="auto"/>
        <w:jc w:val="both"/>
        <w:rPr>
          <w:b/>
          <w:kern w:val="18"/>
        </w:rPr>
      </w:pPr>
      <w:r w:rsidRPr="00EE4DBD">
        <w:rPr>
          <w:b/>
          <w:kern w:val="18"/>
        </w:rPr>
        <w:t>4.2.6 Artículo 7 de la Ley Nº 13.142, Artículo 1 del Decreto-Ley Nº 14.632 y Decreto Nº 342/1992 del Poder Ejecutivo</w:t>
      </w:r>
    </w:p>
    <w:p w:rsidR="009D2417" w:rsidRPr="00EE4DBD" w:rsidRDefault="009D2417" w:rsidP="00AF202B">
      <w:pPr>
        <w:spacing w:line="360" w:lineRule="auto"/>
        <w:jc w:val="both"/>
      </w:pPr>
      <w:r w:rsidRPr="00EE4DBD">
        <w:t>En oportunidad de efectuar pagos a los proveedores, la Intendencia deberá solicitar, en todos los casos, la presentación de los certificados de estar al día con la Dirección General  y el Banco de Previsión Social.</w:t>
      </w:r>
    </w:p>
    <w:p w:rsidR="009D2417" w:rsidRPr="00EE4DBD" w:rsidRDefault="009D2417" w:rsidP="00744CDD">
      <w:pPr>
        <w:tabs>
          <w:tab w:val="left" w:pos="567"/>
        </w:tabs>
        <w:spacing w:line="360" w:lineRule="auto"/>
        <w:jc w:val="both"/>
        <w:rPr>
          <w:rFonts w:cs="Arial"/>
          <w:bCs/>
        </w:rPr>
      </w:pPr>
      <w:r>
        <w:rPr>
          <w:rFonts w:cs="Arial"/>
          <w:b/>
          <w:bCs/>
        </w:rPr>
        <w:t xml:space="preserve">4.2.7 </w:t>
      </w:r>
      <w:r w:rsidRPr="00EE4DBD">
        <w:rPr>
          <w:rFonts w:cs="Arial"/>
          <w:b/>
          <w:bCs/>
        </w:rPr>
        <w:t>Artículo 34 de la Ley 19.210 del 29/4/14</w:t>
      </w:r>
    </w:p>
    <w:p w:rsidR="009D2417" w:rsidRPr="00EE4DBD" w:rsidRDefault="009D2417" w:rsidP="006F47FA">
      <w:pPr>
        <w:widowControl w:val="0"/>
        <w:numPr>
          <w:ilvl w:val="1"/>
          <w:numId w:val="10"/>
        </w:numPr>
        <w:tabs>
          <w:tab w:val="clear" w:pos="576"/>
          <w:tab w:val="num" w:pos="0"/>
        </w:tabs>
        <w:suppressAutoHyphens/>
        <w:spacing w:line="360" w:lineRule="auto"/>
        <w:ind w:left="0" w:firstLine="0"/>
        <w:jc w:val="both"/>
        <w:outlineLvl w:val="1"/>
        <w:rPr>
          <w:b/>
          <w:kern w:val="18"/>
        </w:rPr>
      </w:pPr>
      <w:r w:rsidRPr="00EE4DBD">
        <w:rPr>
          <w:rFonts w:cs="Arial"/>
        </w:rPr>
        <w:t>Se deberá tener en cuenta al momento de efectuar las liquidaciones de las  retribuciones personales, los porcentajes de haberes líquidos que deberán percibir los funcionarios, deducido los impuestos a las rentas y sus correspondientes anticipos y las  contribuciones</w:t>
      </w:r>
      <w:r w:rsidR="00DD1A44">
        <w:rPr>
          <w:rFonts w:cs="Arial"/>
        </w:rPr>
        <w:t xml:space="preserve"> especiales de seguridad social.</w:t>
      </w:r>
    </w:p>
    <w:p w:rsidR="009D2417" w:rsidRPr="00EE4DBD" w:rsidRDefault="009D2417" w:rsidP="00AF202B">
      <w:pPr>
        <w:widowControl w:val="0"/>
        <w:numPr>
          <w:ilvl w:val="1"/>
          <w:numId w:val="10"/>
        </w:numPr>
        <w:suppressAutoHyphens/>
        <w:spacing w:line="360" w:lineRule="auto"/>
        <w:outlineLvl w:val="1"/>
        <w:rPr>
          <w:b/>
          <w:kern w:val="18"/>
        </w:rPr>
      </w:pPr>
      <w:bookmarkStart w:id="13" w:name="_Toc402535512"/>
      <w:r w:rsidRPr="00EE4DBD">
        <w:rPr>
          <w:b/>
          <w:kern w:val="18"/>
        </w:rPr>
        <w:t>4.2.</w:t>
      </w:r>
      <w:r>
        <w:rPr>
          <w:b/>
          <w:kern w:val="18"/>
        </w:rPr>
        <w:t>8</w:t>
      </w:r>
      <w:r w:rsidRPr="00EE4DBD">
        <w:rPr>
          <w:b/>
          <w:kern w:val="18"/>
        </w:rPr>
        <w:t xml:space="preserve"> Artículo 14 del TOCAF</w:t>
      </w:r>
      <w:bookmarkEnd w:id="13"/>
    </w:p>
    <w:p w:rsidR="009D2417" w:rsidRPr="00EE4DBD" w:rsidRDefault="009D2417" w:rsidP="00A314AB">
      <w:pPr>
        <w:spacing w:line="360" w:lineRule="auto"/>
        <w:jc w:val="both"/>
      </w:pPr>
      <w:r w:rsidRPr="00EE4DBD">
        <w:t>La Intendencia deberá aplicar la citada normativa en oportunidad de realizar pagos a proveedores, los cuales deberán venir acompañados de la orden de compra respectiva así como las autorizaciones correspondientes.</w:t>
      </w:r>
    </w:p>
    <w:p w:rsidR="009D2417" w:rsidRPr="00EE4DBD" w:rsidRDefault="009D2417" w:rsidP="00AF202B">
      <w:pPr>
        <w:spacing w:line="360" w:lineRule="auto"/>
        <w:jc w:val="both"/>
        <w:rPr>
          <w:lang w:val="es-ES_tradnl" w:eastAsia="x-none"/>
        </w:rPr>
      </w:pPr>
      <w:bookmarkStart w:id="14" w:name="_Toc402535503"/>
      <w:bookmarkStart w:id="15" w:name="_Toc402535513"/>
      <w:r w:rsidRPr="00EE4DBD">
        <w:rPr>
          <w:b/>
          <w:kern w:val="18"/>
        </w:rPr>
        <w:t>4.2.</w:t>
      </w:r>
      <w:r>
        <w:rPr>
          <w:b/>
          <w:kern w:val="18"/>
        </w:rPr>
        <w:t>9</w:t>
      </w:r>
      <w:r w:rsidRPr="00EE4DBD">
        <w:rPr>
          <w:b/>
          <w:kern w:val="18"/>
        </w:rPr>
        <w:t xml:space="preserve"> Artículo 20 del TOCAF </w:t>
      </w:r>
      <w:r w:rsidRPr="00EE4DBD">
        <w:rPr>
          <w:lang w:val="es-ES_tradnl" w:eastAsia="x-none"/>
        </w:rPr>
        <w:t>Los adelantos por retribuciones personales, sólo podrán otorgarse por el monto de lo generado y que corresponda efectivamente a l</w:t>
      </w:r>
      <w:r w:rsidR="00DD1A44">
        <w:rPr>
          <w:lang w:val="es-ES_tradnl" w:eastAsia="x-none"/>
        </w:rPr>
        <w:t>a real prestación del servicio.</w:t>
      </w:r>
    </w:p>
    <w:p w:rsidR="009D2417" w:rsidRPr="00EE4DBD" w:rsidRDefault="009D2417" w:rsidP="00AF202B">
      <w:pPr>
        <w:widowControl w:val="0"/>
        <w:numPr>
          <w:ilvl w:val="1"/>
          <w:numId w:val="10"/>
        </w:numPr>
        <w:suppressAutoHyphens/>
        <w:spacing w:line="360" w:lineRule="auto"/>
        <w:outlineLvl w:val="1"/>
        <w:rPr>
          <w:b/>
          <w:kern w:val="18"/>
        </w:rPr>
      </w:pPr>
      <w:r w:rsidRPr="00EE4DBD">
        <w:rPr>
          <w:b/>
          <w:kern w:val="18"/>
        </w:rPr>
        <w:t>4.2.1</w:t>
      </w:r>
      <w:r>
        <w:rPr>
          <w:b/>
          <w:kern w:val="18"/>
        </w:rPr>
        <w:t>0</w:t>
      </w:r>
      <w:r w:rsidRPr="00EE4DBD">
        <w:rPr>
          <w:b/>
          <w:kern w:val="18"/>
        </w:rPr>
        <w:t xml:space="preserve"> Artículos 33 y 43 del TOCAF</w:t>
      </w:r>
      <w:bookmarkEnd w:id="14"/>
    </w:p>
    <w:p w:rsidR="009D2417" w:rsidRPr="00EE4DBD" w:rsidRDefault="009D2417" w:rsidP="00AF202B">
      <w:pPr>
        <w:suppressAutoHyphens/>
        <w:spacing w:line="360" w:lineRule="auto"/>
        <w:jc w:val="both"/>
        <w:rPr>
          <w:rFonts w:cs="Arial"/>
          <w:lang w:eastAsia="zh-CN"/>
        </w:rPr>
      </w:pPr>
      <w:r w:rsidRPr="00EE4DBD">
        <w:rPr>
          <w:rFonts w:cs="Arial"/>
          <w:lang w:eastAsia="zh-CN"/>
        </w:rPr>
        <w:t>La Intendencia debe planificar sus compras y los requerimientos de servicios, en lo posible anualmente, de forma de contratar los suministros o servicios por grupo de artículos o servicios. Sin perjuicio de lo dispuesto precedentemente, los Ordenadores bajo su responsabilidad podrán fraccionar las compras dejando expresa constancia de su fundamento y de su</w:t>
      </w:r>
      <w:r w:rsidR="00DD1A44">
        <w:rPr>
          <w:rFonts w:cs="Arial"/>
          <w:lang w:eastAsia="zh-CN"/>
        </w:rPr>
        <w:t xml:space="preserve"> conveniencia para el servicio.</w:t>
      </w:r>
    </w:p>
    <w:p w:rsidR="009D2417" w:rsidRPr="00EE4DBD" w:rsidRDefault="009D2417" w:rsidP="00AF202B">
      <w:pPr>
        <w:widowControl w:val="0"/>
        <w:numPr>
          <w:ilvl w:val="1"/>
          <w:numId w:val="10"/>
        </w:numPr>
        <w:suppressAutoHyphens/>
        <w:spacing w:line="360" w:lineRule="auto"/>
        <w:outlineLvl w:val="1"/>
        <w:rPr>
          <w:b/>
          <w:kern w:val="18"/>
        </w:rPr>
      </w:pPr>
      <w:bookmarkStart w:id="16" w:name="_Toc402535504"/>
      <w:bookmarkEnd w:id="15"/>
      <w:r w:rsidRPr="00EE4DBD">
        <w:rPr>
          <w:b/>
          <w:kern w:val="18"/>
        </w:rPr>
        <w:t>4.2.1</w:t>
      </w:r>
      <w:r>
        <w:rPr>
          <w:b/>
          <w:kern w:val="18"/>
        </w:rPr>
        <w:t>1</w:t>
      </w:r>
      <w:r w:rsidRPr="00EE4DBD">
        <w:rPr>
          <w:b/>
          <w:kern w:val="18"/>
        </w:rPr>
        <w:t xml:space="preserve"> Artículo 94 del TOCAF y Ordenanza Nº 81</w:t>
      </w:r>
      <w:bookmarkEnd w:id="16"/>
    </w:p>
    <w:p w:rsidR="009D2417" w:rsidRPr="00DD1A44" w:rsidRDefault="009D2417" w:rsidP="006F47FA">
      <w:pPr>
        <w:widowControl w:val="0"/>
        <w:numPr>
          <w:ilvl w:val="1"/>
          <w:numId w:val="10"/>
        </w:numPr>
        <w:tabs>
          <w:tab w:val="clear" w:pos="576"/>
          <w:tab w:val="num" w:pos="0"/>
        </w:tabs>
        <w:suppressAutoHyphens/>
        <w:spacing w:line="360" w:lineRule="auto"/>
        <w:ind w:left="0" w:firstLine="0"/>
        <w:jc w:val="both"/>
        <w:outlineLvl w:val="1"/>
        <w:rPr>
          <w:b/>
          <w:kern w:val="18"/>
        </w:rPr>
      </w:pPr>
      <w:r w:rsidRPr="00EE4DBD">
        <w:rPr>
          <w:rFonts w:cs="Arial"/>
          <w:lang w:eastAsia="zh-CN"/>
        </w:rPr>
        <w:t>La Intendencia deberá implementar un sistema contable que permita cumplir con las normas precedentes</w:t>
      </w:r>
      <w:r w:rsidR="00E433B8">
        <w:rPr>
          <w:rFonts w:cs="Arial"/>
          <w:lang w:eastAsia="zh-CN"/>
        </w:rPr>
        <w:t>.</w:t>
      </w:r>
    </w:p>
    <w:p w:rsidR="009D2417" w:rsidRPr="00EE4DBD" w:rsidRDefault="009D2417" w:rsidP="00AF202B">
      <w:pPr>
        <w:widowControl w:val="0"/>
        <w:numPr>
          <w:ilvl w:val="1"/>
          <w:numId w:val="10"/>
        </w:numPr>
        <w:suppressAutoHyphens/>
        <w:spacing w:line="360" w:lineRule="auto"/>
        <w:outlineLvl w:val="1"/>
        <w:rPr>
          <w:b/>
          <w:kern w:val="18"/>
        </w:rPr>
      </w:pPr>
      <w:bookmarkStart w:id="17" w:name="_Toc402535505"/>
      <w:r w:rsidRPr="00EE4DBD">
        <w:rPr>
          <w:b/>
          <w:kern w:val="18"/>
        </w:rPr>
        <w:t>4.2.1</w:t>
      </w:r>
      <w:r>
        <w:rPr>
          <w:b/>
          <w:kern w:val="18"/>
        </w:rPr>
        <w:t>2</w:t>
      </w:r>
      <w:r w:rsidRPr="00EE4DBD">
        <w:rPr>
          <w:b/>
          <w:kern w:val="18"/>
        </w:rPr>
        <w:t xml:space="preserve"> Resolución del Tribunal de Cuentas de fecha 28/01/2004</w:t>
      </w:r>
      <w:bookmarkEnd w:id="17"/>
    </w:p>
    <w:p w:rsidR="009D2417" w:rsidRPr="00EE4DBD" w:rsidRDefault="009D2417" w:rsidP="00AF202B">
      <w:pPr>
        <w:widowControl w:val="0"/>
        <w:spacing w:line="360" w:lineRule="auto"/>
        <w:jc w:val="both"/>
        <w:rPr>
          <w:rFonts w:eastAsia="Arial"/>
          <w:bCs/>
          <w:lang w:val="es-ES_tradnl"/>
        </w:rPr>
      </w:pPr>
      <w:r w:rsidRPr="00EE4DBD">
        <w:t>La Intendencia deberá presentar el Estado Nº 3.3.2 de la Ejecución a nivel de Objeto clasificando los montos ejecutados en pagados e impagos, así como también el Estado N° 7 “Fondos a rendir cuenta y bienes en custodia”.</w:t>
      </w:r>
    </w:p>
    <w:p w:rsidR="009D2417" w:rsidRPr="00EE4DBD" w:rsidRDefault="009D2417" w:rsidP="00C71932">
      <w:pPr>
        <w:suppressAutoHyphens/>
        <w:spacing w:line="360" w:lineRule="auto"/>
        <w:jc w:val="both"/>
        <w:rPr>
          <w:rFonts w:cs="Arial"/>
          <w:lang w:eastAsia="zh-CN"/>
        </w:rPr>
      </w:pPr>
      <w:bookmarkStart w:id="18" w:name="_Toc402535506"/>
      <w:r w:rsidRPr="00EE4DBD">
        <w:rPr>
          <w:kern w:val="18"/>
        </w:rPr>
        <w:t>Además se deberá presentar el detalle de cheques diferidos de terceros, o dejar constancia de la</w:t>
      </w:r>
      <w:r w:rsidR="00DD1A44">
        <w:rPr>
          <w:kern w:val="18"/>
        </w:rPr>
        <w:t xml:space="preserve"> existencia o no de los mismos.</w:t>
      </w:r>
    </w:p>
    <w:p w:rsidR="009D2417" w:rsidRPr="00EE4DBD" w:rsidRDefault="009D2417" w:rsidP="00AF202B">
      <w:pPr>
        <w:widowControl w:val="0"/>
        <w:numPr>
          <w:ilvl w:val="1"/>
          <w:numId w:val="10"/>
        </w:numPr>
        <w:tabs>
          <w:tab w:val="clear" w:pos="576"/>
          <w:tab w:val="num" w:pos="0"/>
        </w:tabs>
        <w:suppressAutoHyphens/>
        <w:spacing w:line="360" w:lineRule="auto"/>
        <w:ind w:left="0" w:firstLine="0"/>
        <w:jc w:val="both"/>
        <w:outlineLvl w:val="1"/>
        <w:rPr>
          <w:b/>
          <w:kern w:val="18"/>
        </w:rPr>
      </w:pPr>
      <w:r w:rsidRPr="00EE4DBD">
        <w:rPr>
          <w:b/>
          <w:kern w:val="18"/>
        </w:rPr>
        <w:t>4.2.1</w:t>
      </w:r>
      <w:bookmarkEnd w:id="18"/>
      <w:r>
        <w:rPr>
          <w:b/>
          <w:kern w:val="18"/>
        </w:rPr>
        <w:t>3</w:t>
      </w:r>
      <w:r w:rsidRPr="00EE4DBD">
        <w:rPr>
          <w:b/>
          <w:kern w:val="18"/>
        </w:rPr>
        <w:t xml:space="preserve"> Convenio Nº 30 de la OIT,</w:t>
      </w:r>
      <w:r w:rsidRPr="00EE4DBD">
        <w:rPr>
          <w:rFonts w:cs="Arial"/>
          <w:b/>
          <w:bCs/>
        </w:rPr>
        <w:t xml:space="preserve"> Resolución 604/07 de la Intendencia y Artículo 25 del Decreto N° 13/2008 de la Junta Departamental.</w:t>
      </w:r>
    </w:p>
    <w:p w:rsidR="009D2417" w:rsidRPr="00EE4DBD" w:rsidRDefault="009D2417" w:rsidP="00AF202B">
      <w:pPr>
        <w:widowControl w:val="0"/>
        <w:suppressAutoHyphens/>
        <w:spacing w:line="360" w:lineRule="auto"/>
        <w:jc w:val="both"/>
        <w:rPr>
          <w:rFonts w:cs="Arial"/>
          <w:lang w:eastAsia="zh-CN"/>
        </w:rPr>
      </w:pPr>
      <w:r w:rsidRPr="00EE4DBD">
        <w:rPr>
          <w:rFonts w:cs="Arial"/>
          <w:lang w:eastAsia="zh-CN"/>
        </w:rPr>
        <w:t>La Comuna deberá dar cumplimiento con lo establecido en el Convenio Nº 30 de la OIT, en cuanto a la cantidad de horas extras que realicen sus funcionarios.</w:t>
      </w:r>
      <w:bookmarkStart w:id="19" w:name="_Toc402535507"/>
    </w:p>
    <w:p w:rsidR="009D2417" w:rsidRPr="00EE4DBD" w:rsidRDefault="009D2417" w:rsidP="00AF202B">
      <w:pPr>
        <w:widowControl w:val="0"/>
        <w:suppressAutoHyphens/>
        <w:spacing w:line="360" w:lineRule="auto"/>
        <w:jc w:val="both"/>
        <w:rPr>
          <w:b/>
          <w:kern w:val="18"/>
        </w:rPr>
      </w:pPr>
      <w:r w:rsidRPr="00EE4DBD">
        <w:rPr>
          <w:b/>
          <w:kern w:val="18"/>
        </w:rPr>
        <w:t>4.2.1</w:t>
      </w:r>
      <w:r>
        <w:rPr>
          <w:b/>
          <w:kern w:val="18"/>
        </w:rPr>
        <w:t>4</w:t>
      </w:r>
      <w:r w:rsidRPr="00EE4DBD">
        <w:rPr>
          <w:b/>
          <w:kern w:val="18"/>
        </w:rPr>
        <w:t xml:space="preserve"> Artículos 19 y 23 del Decreto Nº 13/08 de la Junta Departamental</w:t>
      </w:r>
      <w:bookmarkEnd w:id="19"/>
    </w:p>
    <w:p w:rsidR="009D2417" w:rsidRPr="00EE4DBD" w:rsidRDefault="009D2417" w:rsidP="00AF202B">
      <w:pPr>
        <w:spacing w:line="360" w:lineRule="auto"/>
        <w:jc w:val="both"/>
      </w:pPr>
      <w:r w:rsidRPr="00EE4DBD">
        <w:rPr>
          <w:color w:val="000000"/>
        </w:rPr>
        <w:t xml:space="preserve">La Intendencia deberá aplicar lo dispuesto en las normas anteriores, donde se establece que: “el total de las partidas destinadas a las compensaciones por dedicación especial y dedicación integral no podrán superar el 10% del total de las partidas correspondientes al sueldo base asociados a los cargos o funciones contratadas”. </w:t>
      </w:r>
      <w:r w:rsidRPr="00EE4DBD">
        <w:t>Asimismo, las asignaciones familiares que abone la Intendencia, no deberán superar el 8% de la Base de Prestaciones y Contribuciones (BPC</w:t>
      </w:r>
      <w:r w:rsidRPr="00744CDD">
        <w:rPr>
          <w:lang w:val="es-ES_tradnl" w:eastAsia="x-none"/>
        </w:rPr>
        <w:t>)</w:t>
      </w:r>
      <w:r w:rsidR="00DD1A44">
        <w:rPr>
          <w:lang w:val="es-ES_tradnl" w:eastAsia="x-none"/>
        </w:rPr>
        <w:t>.</w:t>
      </w:r>
    </w:p>
    <w:p w:rsidR="009D2417" w:rsidRPr="00EE4DBD" w:rsidRDefault="009D2417" w:rsidP="00AF202B">
      <w:pPr>
        <w:widowControl w:val="0"/>
        <w:numPr>
          <w:ilvl w:val="1"/>
          <w:numId w:val="10"/>
        </w:numPr>
        <w:tabs>
          <w:tab w:val="clear" w:pos="576"/>
          <w:tab w:val="num" w:pos="0"/>
        </w:tabs>
        <w:suppressAutoHyphens/>
        <w:spacing w:line="360" w:lineRule="auto"/>
        <w:ind w:left="0" w:firstLine="0"/>
        <w:jc w:val="both"/>
        <w:outlineLvl w:val="1"/>
        <w:rPr>
          <w:b/>
          <w:kern w:val="18"/>
        </w:rPr>
      </w:pPr>
      <w:bookmarkStart w:id="20" w:name="_Toc402535510"/>
      <w:r w:rsidRPr="00EE4DBD">
        <w:rPr>
          <w:b/>
          <w:kern w:val="18"/>
        </w:rPr>
        <w:t>4.2.1</w:t>
      </w:r>
      <w:r>
        <w:rPr>
          <w:b/>
          <w:kern w:val="18"/>
        </w:rPr>
        <w:t>5</w:t>
      </w:r>
      <w:r w:rsidRPr="00EE4DBD">
        <w:rPr>
          <w:b/>
          <w:kern w:val="18"/>
        </w:rPr>
        <w:t xml:space="preserve"> </w:t>
      </w:r>
      <w:bookmarkEnd w:id="20"/>
      <w:r w:rsidRPr="00EE4DBD">
        <w:rPr>
          <w:b/>
          <w:kern w:val="18"/>
        </w:rPr>
        <w:t>Decreto Nº 26/1986 de la Junta Departamental y Estatuto del Funcionario de la Intendencia</w:t>
      </w:r>
    </w:p>
    <w:p w:rsidR="009D2417" w:rsidRPr="00EE4DBD" w:rsidRDefault="009D2417" w:rsidP="00FB4504">
      <w:pPr>
        <w:suppressAutoHyphens/>
        <w:spacing w:line="360" w:lineRule="auto"/>
        <w:jc w:val="both"/>
        <w:rPr>
          <w:rFonts w:cs="Arial"/>
          <w:lang w:eastAsia="zh-CN"/>
        </w:rPr>
      </w:pPr>
      <w:r w:rsidRPr="00EE4DBD">
        <w:rPr>
          <w:lang w:val="es-ES_tradnl" w:eastAsia="x-none"/>
        </w:rPr>
        <w:t>Se deberá instruir sumario administrativo a todo funcionario que en un período de 12 meses haya incurrido en más de 60 inasistencias por motivos de enfermedad</w:t>
      </w:r>
      <w:bookmarkStart w:id="21" w:name="_Toc402535511"/>
      <w:r>
        <w:rPr>
          <w:lang w:val="es-ES_tradnl" w:eastAsia="x-none"/>
        </w:rPr>
        <w:t>.</w:t>
      </w:r>
    </w:p>
    <w:bookmarkEnd w:id="21"/>
    <w:p w:rsidR="009D2417" w:rsidRPr="00EE4DBD" w:rsidRDefault="009D2417" w:rsidP="00AF202B">
      <w:pPr>
        <w:spacing w:line="360" w:lineRule="auto"/>
        <w:jc w:val="both"/>
        <w:rPr>
          <w:rFonts w:eastAsia="Arial" w:cs="Arial"/>
          <w:b/>
        </w:rPr>
      </w:pPr>
      <w:r w:rsidRPr="00EE4DBD">
        <w:rPr>
          <w:rFonts w:eastAsia="Arial" w:cs="Arial"/>
          <w:b/>
        </w:rPr>
        <w:t>4.2.1</w:t>
      </w:r>
      <w:r>
        <w:rPr>
          <w:rFonts w:eastAsia="Arial" w:cs="Arial"/>
          <w:b/>
        </w:rPr>
        <w:t>6</w:t>
      </w:r>
      <w:r w:rsidRPr="00EE4DBD">
        <w:rPr>
          <w:rFonts w:eastAsia="Arial" w:cs="Arial"/>
          <w:b/>
        </w:rPr>
        <w:t xml:space="preserve"> Artículo 37 del Decreto 02/2011 de la Junta Departamental</w:t>
      </w:r>
    </w:p>
    <w:p w:rsidR="009D2417" w:rsidRPr="00EE4DBD" w:rsidRDefault="009D2417" w:rsidP="00AF202B">
      <w:pPr>
        <w:spacing w:line="360" w:lineRule="auto"/>
        <w:jc w:val="both"/>
        <w:rPr>
          <w:rFonts w:eastAsia="Arial"/>
          <w:bCs/>
          <w:lang w:eastAsia="x-none"/>
        </w:rPr>
      </w:pPr>
      <w:r w:rsidRPr="00EE4DBD">
        <w:rPr>
          <w:rFonts w:eastAsia="Arial"/>
          <w:bCs/>
          <w:lang w:val="x-none" w:eastAsia="x-none"/>
        </w:rPr>
        <w:t>Se deben abonar quebrantos de caja que no superen el tope máximo de 15 Unidades Reajustables</w:t>
      </w:r>
      <w:r w:rsidRPr="00EE4DBD">
        <w:rPr>
          <w:rFonts w:eastAsia="Arial"/>
          <w:bCs/>
          <w:lang w:eastAsia="x-none"/>
        </w:rPr>
        <w:t>.</w:t>
      </w:r>
      <w:bookmarkStart w:id="22" w:name="_Toc402535530"/>
    </w:p>
    <w:p w:rsidR="009D2417" w:rsidRPr="00EE4DBD" w:rsidRDefault="009D2417" w:rsidP="00AF202B">
      <w:pPr>
        <w:spacing w:line="360" w:lineRule="auto"/>
        <w:jc w:val="both"/>
        <w:rPr>
          <w:rFonts w:eastAsia="Arial"/>
          <w:bCs/>
          <w:lang w:val="x-none" w:eastAsia="x-none"/>
        </w:rPr>
      </w:pPr>
      <w:r w:rsidRPr="00EE4DBD">
        <w:rPr>
          <w:b/>
          <w:kern w:val="18"/>
        </w:rPr>
        <w:t>4.2.1</w:t>
      </w:r>
      <w:r>
        <w:rPr>
          <w:b/>
          <w:kern w:val="18"/>
        </w:rPr>
        <w:t>7</w:t>
      </w:r>
      <w:r w:rsidRPr="00EE4DBD">
        <w:rPr>
          <w:b/>
          <w:kern w:val="18"/>
        </w:rPr>
        <w:t xml:space="preserve"> Recaudación de tributos departamentales</w:t>
      </w:r>
    </w:p>
    <w:p w:rsidR="009D2417" w:rsidRPr="00EE4DBD" w:rsidRDefault="009D2417" w:rsidP="00AF202B">
      <w:pPr>
        <w:spacing w:line="360" w:lineRule="auto"/>
        <w:jc w:val="both"/>
        <w:rPr>
          <w:kern w:val="1"/>
        </w:rPr>
      </w:pPr>
      <w:r w:rsidRPr="00EE4DBD">
        <w:rPr>
          <w:kern w:val="1"/>
        </w:rPr>
        <w:t>La Intendencia deberá conciliar la información proporcionada por la Base de Datos extraída del sistema de recaudación, con los registros contables respectivos.</w:t>
      </w:r>
    </w:p>
    <w:p w:rsidR="009D2417" w:rsidRPr="00EE4DBD" w:rsidRDefault="009D2417" w:rsidP="00AF202B">
      <w:pPr>
        <w:spacing w:line="360" w:lineRule="auto"/>
        <w:jc w:val="both"/>
        <w:rPr>
          <w:b/>
          <w:lang w:val="es-ES_tradnl" w:eastAsia="x-none"/>
        </w:rPr>
      </w:pPr>
      <w:r w:rsidRPr="00EE4DBD">
        <w:rPr>
          <w:b/>
          <w:lang w:val="es-ES_tradnl" w:eastAsia="x-none"/>
        </w:rPr>
        <w:t>4.2.1</w:t>
      </w:r>
      <w:r>
        <w:rPr>
          <w:b/>
          <w:lang w:val="es-ES_tradnl" w:eastAsia="x-none"/>
        </w:rPr>
        <w:t>8</w:t>
      </w:r>
      <w:r w:rsidRPr="00EE4DBD">
        <w:rPr>
          <w:b/>
          <w:lang w:val="es-ES_tradnl" w:eastAsia="x-none"/>
        </w:rPr>
        <w:t xml:space="preserve"> Decreto N° 388/92 y Resolución N° 688/92 de D.G.I.</w:t>
      </w:r>
    </w:p>
    <w:p w:rsidR="009D2417" w:rsidRDefault="009D2417" w:rsidP="00AF202B">
      <w:pPr>
        <w:spacing w:line="360" w:lineRule="auto"/>
        <w:jc w:val="both"/>
        <w:rPr>
          <w:lang w:val="es-ES_tradnl" w:eastAsia="x-none"/>
        </w:rPr>
      </w:pPr>
      <w:r w:rsidRPr="00EE4DBD">
        <w:rPr>
          <w:lang w:val="es-ES_tradnl" w:eastAsia="x-none"/>
        </w:rPr>
        <w:t>No se deberá efectuar pagos a proveedores que presenten comprobantes cuyo pie de</w:t>
      </w:r>
      <w:r w:rsidR="00DD1A44">
        <w:rPr>
          <w:lang w:val="es-ES_tradnl" w:eastAsia="x-none"/>
        </w:rPr>
        <w:t xml:space="preserve"> imprenta se encuentra vencido.</w:t>
      </w:r>
    </w:p>
    <w:p w:rsidR="00DD1A44" w:rsidRPr="00EE4DBD" w:rsidRDefault="00DD1A44" w:rsidP="00AF202B">
      <w:pPr>
        <w:spacing w:line="360" w:lineRule="auto"/>
        <w:jc w:val="both"/>
        <w:rPr>
          <w:lang w:val="es-ES_tradnl" w:eastAsia="x-none"/>
        </w:rPr>
      </w:pPr>
    </w:p>
    <w:bookmarkEnd w:id="22"/>
    <w:p w:rsidR="009D2417" w:rsidRPr="00EE4DBD" w:rsidRDefault="009D2417" w:rsidP="00AF202B">
      <w:pPr>
        <w:spacing w:line="360" w:lineRule="auto"/>
        <w:jc w:val="both"/>
        <w:rPr>
          <w:rFonts w:cs="Arial"/>
          <w:b/>
          <w:bCs/>
        </w:rPr>
      </w:pPr>
      <w:r w:rsidRPr="00EE4DBD">
        <w:rPr>
          <w:rFonts w:cs="Arial"/>
          <w:b/>
          <w:bCs/>
        </w:rPr>
        <w:t>4.3 Recomen</w:t>
      </w:r>
      <w:r w:rsidR="00DD1A44">
        <w:rPr>
          <w:rFonts w:cs="Arial"/>
          <w:b/>
          <w:bCs/>
        </w:rPr>
        <w:t>daciones del presente ejercicio</w:t>
      </w:r>
    </w:p>
    <w:p w:rsidR="009D2417" w:rsidRPr="00EE4DBD" w:rsidRDefault="009D2417" w:rsidP="00AF202B">
      <w:pPr>
        <w:tabs>
          <w:tab w:val="num" w:pos="360"/>
        </w:tabs>
        <w:spacing w:line="360" w:lineRule="auto"/>
        <w:ind w:right="-2"/>
        <w:jc w:val="both"/>
        <w:rPr>
          <w:rFonts w:cs="Arial"/>
        </w:rPr>
      </w:pPr>
      <w:r w:rsidRPr="00EE4DBD">
        <w:rPr>
          <w:rFonts w:cs="Arial"/>
        </w:rPr>
        <w:t>Se reiteran las recomendaciones no cumplidas de ejercicios anteriores, a las que se agregan las siguientes:</w:t>
      </w:r>
    </w:p>
    <w:p w:rsidR="009D2417" w:rsidRPr="00EE4DBD" w:rsidRDefault="009D2417" w:rsidP="00AF202B">
      <w:pPr>
        <w:spacing w:line="360" w:lineRule="auto"/>
        <w:jc w:val="both"/>
        <w:rPr>
          <w:rFonts w:eastAsia="Arial"/>
          <w:b/>
          <w:bCs/>
          <w:lang w:val="es-UY" w:eastAsia="x-none"/>
        </w:rPr>
      </w:pPr>
    </w:p>
    <w:p w:rsidR="009D2417" w:rsidRPr="00EE4DBD" w:rsidRDefault="009D2417" w:rsidP="00AF202B">
      <w:pPr>
        <w:spacing w:line="360" w:lineRule="auto"/>
        <w:jc w:val="both"/>
        <w:rPr>
          <w:rFonts w:eastAsia="Arial"/>
          <w:b/>
          <w:bCs/>
          <w:lang w:eastAsia="x-none"/>
        </w:rPr>
      </w:pPr>
      <w:r w:rsidRPr="00EE4DBD">
        <w:rPr>
          <w:rFonts w:eastAsia="Arial"/>
          <w:b/>
          <w:bCs/>
          <w:lang w:val="es-UY" w:eastAsia="x-none"/>
        </w:rPr>
        <w:t xml:space="preserve">4.3.1 </w:t>
      </w:r>
      <w:r w:rsidRPr="00EE4DBD">
        <w:rPr>
          <w:rFonts w:eastAsia="Arial"/>
          <w:b/>
          <w:bCs/>
          <w:lang w:val="x-none" w:eastAsia="x-none"/>
        </w:rPr>
        <w:t>Control Interno</w:t>
      </w:r>
    </w:p>
    <w:p w:rsidR="009D2417" w:rsidRPr="00EE4DBD" w:rsidRDefault="009D2417" w:rsidP="00AF202B">
      <w:pPr>
        <w:spacing w:line="360" w:lineRule="auto"/>
        <w:jc w:val="both"/>
        <w:rPr>
          <w:rFonts w:eastAsia="Arial"/>
          <w:bCs/>
          <w:lang w:val="es-ES_tradnl" w:eastAsia="x-none"/>
        </w:rPr>
      </w:pPr>
      <w:r w:rsidRPr="00EE4DBD">
        <w:rPr>
          <w:rFonts w:eastAsia="Arial"/>
          <w:bCs/>
          <w:lang w:val="x-none" w:eastAsia="x-none"/>
        </w:rPr>
        <w:t>Se deberá instrumentar los mecanismos necesarios a fin de subsanar las</w:t>
      </w:r>
      <w:r w:rsidRPr="00EE4DBD">
        <w:rPr>
          <w:rFonts w:eastAsia="Arial"/>
          <w:bCs/>
          <w:lang w:val="es-ES_tradnl" w:eastAsia="x-none"/>
        </w:rPr>
        <w:t xml:space="preserve">  debilidades señaladas  respecto al control interno.</w:t>
      </w:r>
    </w:p>
    <w:p w:rsidR="009D2417" w:rsidRPr="00EE4DBD" w:rsidRDefault="009D2417" w:rsidP="00AF202B">
      <w:pPr>
        <w:numPr>
          <w:ilvl w:val="1"/>
          <w:numId w:val="10"/>
        </w:numPr>
        <w:suppressAutoHyphens/>
        <w:spacing w:line="360" w:lineRule="auto"/>
        <w:outlineLvl w:val="1"/>
        <w:rPr>
          <w:b/>
          <w:kern w:val="18"/>
        </w:rPr>
      </w:pPr>
    </w:p>
    <w:p w:rsidR="009D2417" w:rsidRPr="00EE4DBD" w:rsidRDefault="009D2417" w:rsidP="00AF202B">
      <w:pPr>
        <w:numPr>
          <w:ilvl w:val="1"/>
          <w:numId w:val="10"/>
        </w:numPr>
        <w:suppressAutoHyphens/>
        <w:spacing w:line="360" w:lineRule="auto"/>
        <w:outlineLvl w:val="1"/>
        <w:rPr>
          <w:b/>
          <w:kern w:val="18"/>
        </w:rPr>
      </w:pPr>
      <w:r w:rsidRPr="00EE4DBD">
        <w:rPr>
          <w:b/>
          <w:kern w:val="18"/>
        </w:rPr>
        <w:t>4.3.2 Resultado del Ejercicio</w:t>
      </w:r>
    </w:p>
    <w:p w:rsidR="009D2417" w:rsidRPr="00EE4DBD" w:rsidRDefault="009D2417" w:rsidP="00744CDD">
      <w:pPr>
        <w:spacing w:line="360" w:lineRule="auto"/>
        <w:jc w:val="both"/>
        <w:rPr>
          <w:rFonts w:cs="Arial"/>
          <w:lang w:eastAsia="zh-CN"/>
        </w:rPr>
      </w:pPr>
      <w:r w:rsidRPr="00EE4DBD">
        <w:rPr>
          <w:rFonts w:eastAsia="Arial"/>
          <w:bCs/>
          <w:lang w:val="x-none" w:eastAsia="x-none"/>
        </w:rPr>
        <w:t xml:space="preserve">La Intendencia deberá conciliar las diferencias existentes con las nóminas enviadas al BPS por los haberes de los funcionarios gravados por la Seguridad </w:t>
      </w:r>
      <w:r w:rsidRPr="00EE4DBD">
        <w:rPr>
          <w:rFonts w:eastAsia="Arial"/>
          <w:bCs/>
          <w:lang w:val="es-UY" w:eastAsia="x-none"/>
        </w:rPr>
        <w:t>S</w:t>
      </w:r>
      <w:proofErr w:type="spellStart"/>
      <w:r w:rsidRPr="00EE4DBD">
        <w:rPr>
          <w:rFonts w:eastAsia="Arial"/>
          <w:bCs/>
          <w:lang w:val="x-none" w:eastAsia="x-none"/>
        </w:rPr>
        <w:t>ocial</w:t>
      </w:r>
      <w:proofErr w:type="spellEnd"/>
      <w:r w:rsidRPr="00EE4DBD">
        <w:rPr>
          <w:rFonts w:eastAsia="Arial"/>
          <w:bCs/>
          <w:lang w:val="x-none" w:eastAsia="x-none"/>
        </w:rPr>
        <w:t xml:space="preserve"> y declarados en éstas</w:t>
      </w:r>
      <w:r w:rsidRPr="00EE4DBD">
        <w:rPr>
          <w:rFonts w:eastAsia="Arial"/>
          <w:bCs/>
          <w:lang w:eastAsia="x-none"/>
        </w:rPr>
        <w:t>, así como los aportes patronales correspondientes</w:t>
      </w:r>
      <w:r w:rsidRPr="00EE4DBD">
        <w:rPr>
          <w:rFonts w:eastAsia="Arial"/>
          <w:bCs/>
          <w:lang w:val="x-none" w:eastAsia="x-none"/>
        </w:rPr>
        <w:t xml:space="preserve">. </w:t>
      </w:r>
      <w:r w:rsidRPr="00EE4DBD">
        <w:rPr>
          <w:rFonts w:eastAsia="Arial"/>
          <w:bCs/>
          <w:lang w:eastAsia="x-none"/>
        </w:rPr>
        <w:t xml:space="preserve"> </w:t>
      </w:r>
      <w:r w:rsidRPr="00EE4DBD">
        <w:rPr>
          <w:rFonts w:eastAsia="Arial"/>
          <w:bCs/>
          <w:lang w:val="x-none" w:eastAsia="x-none"/>
        </w:rPr>
        <w:t>Además</w:t>
      </w:r>
      <w:r w:rsidRPr="00EE4DBD">
        <w:rPr>
          <w:rFonts w:eastAsia="Arial"/>
          <w:bCs/>
          <w:lang w:eastAsia="x-none"/>
        </w:rPr>
        <w:t>,</w:t>
      </w:r>
      <w:r w:rsidRPr="00EE4DBD">
        <w:rPr>
          <w:rFonts w:eastAsia="Arial"/>
          <w:bCs/>
          <w:lang w:val="x-none" w:eastAsia="x-none"/>
        </w:rPr>
        <w:t xml:space="preserve"> deberá efectuar los ajustes que correspondan a</w:t>
      </w:r>
      <w:r>
        <w:rPr>
          <w:rFonts w:eastAsia="Arial"/>
          <w:bCs/>
          <w:lang w:val="es-UY" w:eastAsia="x-none"/>
        </w:rPr>
        <w:t xml:space="preserve">l </w:t>
      </w:r>
      <w:r w:rsidRPr="00EE4DBD">
        <w:rPr>
          <w:rFonts w:eastAsia="Arial"/>
          <w:bCs/>
          <w:lang w:val="x-none" w:eastAsia="x-none"/>
        </w:rPr>
        <w:t xml:space="preserve"> resultado del ejercicio</w:t>
      </w:r>
      <w:r>
        <w:rPr>
          <w:rFonts w:eastAsia="Arial"/>
          <w:bCs/>
          <w:lang w:val="es-UY" w:eastAsia="x-none"/>
        </w:rPr>
        <w:t>.</w:t>
      </w:r>
    </w:p>
    <w:p w:rsidR="009D2417" w:rsidRDefault="009D2417" w:rsidP="00A96395">
      <w:pPr>
        <w:spacing w:line="360" w:lineRule="auto"/>
        <w:contextualSpacing/>
        <w:jc w:val="right"/>
        <w:rPr>
          <w:rFonts w:cs="Arial"/>
        </w:rPr>
      </w:pPr>
      <w:bookmarkStart w:id="23" w:name="_Toc84082760"/>
      <w:bookmarkStart w:id="24" w:name="_Toc84082769"/>
      <w:r w:rsidRPr="00EE4DBD">
        <w:rPr>
          <w:rFonts w:cs="Arial"/>
        </w:rPr>
        <w:t xml:space="preserve">Montevideo, </w:t>
      </w:r>
      <w:r>
        <w:rPr>
          <w:rFonts w:cs="Arial"/>
        </w:rPr>
        <w:t>31</w:t>
      </w:r>
      <w:r w:rsidRPr="00EE4DBD">
        <w:rPr>
          <w:rFonts w:cs="Arial"/>
        </w:rPr>
        <w:t xml:space="preserve"> de enero de 201</w:t>
      </w:r>
      <w:bookmarkEnd w:id="23"/>
      <w:bookmarkEnd w:id="24"/>
      <w:r w:rsidR="00DD1A44">
        <w:rPr>
          <w:rFonts w:cs="Arial"/>
        </w:rPr>
        <w:t>9</w:t>
      </w:r>
    </w:p>
    <w:p w:rsidR="009D2417" w:rsidRDefault="009D2417" w:rsidP="00A96395">
      <w:pPr>
        <w:spacing w:line="360" w:lineRule="auto"/>
        <w:contextualSpacing/>
        <w:jc w:val="right"/>
        <w:rPr>
          <w:rFonts w:cs="Arial"/>
        </w:rPr>
      </w:pPr>
    </w:p>
    <w:p w:rsidR="009D2417" w:rsidRPr="00EE4DBD" w:rsidRDefault="009D2417" w:rsidP="00EC528A">
      <w:pPr>
        <w:spacing w:line="360" w:lineRule="auto"/>
        <w:contextualSpacing/>
        <w:rPr>
          <w:rFonts w:cs="Arial"/>
          <w:kern w:val="18"/>
          <w:szCs w:val="20"/>
        </w:rPr>
      </w:pPr>
      <w:proofErr w:type="spellStart"/>
      <w:proofErr w:type="gramStart"/>
      <w:r>
        <w:rPr>
          <w:rFonts w:cs="Arial"/>
        </w:rPr>
        <w:t>cr</w:t>
      </w:r>
      <w:proofErr w:type="spellEnd"/>
      <w:proofErr w:type="gramEnd"/>
    </w:p>
    <w:p w:rsidR="009D2417" w:rsidRDefault="009D2417" w:rsidP="00AF202B">
      <w:pPr>
        <w:spacing w:line="360" w:lineRule="auto"/>
        <w:jc w:val="both"/>
      </w:pPr>
    </w:p>
    <w:p w:rsidR="009D2417" w:rsidRDefault="009D2417" w:rsidP="00AF202B">
      <w:pPr>
        <w:spacing w:line="360" w:lineRule="auto"/>
        <w:jc w:val="both"/>
      </w:pPr>
    </w:p>
    <w:p w:rsidR="009D2417" w:rsidRDefault="009D2417" w:rsidP="00AF202B">
      <w:pPr>
        <w:spacing w:line="360" w:lineRule="auto"/>
        <w:jc w:val="both"/>
      </w:pPr>
    </w:p>
    <w:p w:rsidR="009D2417" w:rsidRDefault="009D2417" w:rsidP="00AF202B">
      <w:pPr>
        <w:spacing w:line="360" w:lineRule="auto"/>
        <w:jc w:val="both"/>
      </w:pPr>
    </w:p>
    <w:p w:rsidR="009D2417" w:rsidRDefault="009D2417" w:rsidP="00AF202B">
      <w:pPr>
        <w:spacing w:line="360" w:lineRule="auto"/>
        <w:jc w:val="both"/>
      </w:pPr>
    </w:p>
    <w:p w:rsidR="009D2417" w:rsidRDefault="009D2417" w:rsidP="00AF202B">
      <w:pPr>
        <w:spacing w:line="360" w:lineRule="auto"/>
        <w:jc w:val="both"/>
      </w:pPr>
    </w:p>
    <w:p w:rsidR="009D2417" w:rsidRDefault="009D2417" w:rsidP="00AF202B">
      <w:pPr>
        <w:spacing w:line="360" w:lineRule="auto"/>
        <w:jc w:val="both"/>
      </w:pPr>
    </w:p>
    <w:p w:rsidR="009D2417" w:rsidRDefault="009D2417" w:rsidP="00AF202B">
      <w:pPr>
        <w:spacing w:line="360" w:lineRule="auto"/>
        <w:jc w:val="both"/>
      </w:pPr>
    </w:p>
    <w:p w:rsidR="009D2417" w:rsidRDefault="009D2417" w:rsidP="00793241">
      <w:pPr>
        <w:spacing w:line="360" w:lineRule="auto"/>
        <w:jc w:val="right"/>
        <w:rPr>
          <w:rFonts w:cs="Arial"/>
        </w:rPr>
      </w:pPr>
      <w:r w:rsidRPr="00404B57">
        <w:rPr>
          <w:rFonts w:cs="Arial"/>
        </w:rPr>
        <w:t>Mo</w:t>
      </w:r>
      <w:r w:rsidR="00507E44">
        <w:rPr>
          <w:rFonts w:cs="Arial"/>
        </w:rPr>
        <w:t>ntevideo, 14 de febrero de 2019</w:t>
      </w:r>
    </w:p>
    <w:p w:rsidR="00E433B8" w:rsidRDefault="00E433B8" w:rsidP="00793241">
      <w:pPr>
        <w:spacing w:line="360" w:lineRule="auto"/>
        <w:jc w:val="right"/>
        <w:rPr>
          <w:rFonts w:cs="Arial"/>
        </w:rPr>
      </w:pPr>
    </w:p>
    <w:p w:rsidR="009D2417" w:rsidRDefault="009D2417" w:rsidP="00793241">
      <w:pPr>
        <w:spacing w:line="360" w:lineRule="auto"/>
        <w:rPr>
          <w:rFonts w:cs="Arial"/>
        </w:rPr>
      </w:pPr>
      <w:r>
        <w:rPr>
          <w:rFonts w:cs="Arial"/>
        </w:rPr>
        <w:t>Señor</w:t>
      </w:r>
    </w:p>
    <w:p w:rsidR="009D2417" w:rsidRDefault="009D2417" w:rsidP="00793241">
      <w:pPr>
        <w:spacing w:line="360" w:lineRule="auto"/>
        <w:rPr>
          <w:rFonts w:cs="Arial"/>
        </w:rPr>
      </w:pPr>
      <w:r>
        <w:rPr>
          <w:rFonts w:cs="Arial"/>
        </w:rPr>
        <w:t xml:space="preserve">Presidente de la Caja de </w:t>
      </w:r>
      <w:proofErr w:type="spellStart"/>
      <w:r w:rsidR="00507E44">
        <w:rPr>
          <w:rFonts w:cs="Arial"/>
        </w:rPr>
        <w:t>Jubiliaciones</w:t>
      </w:r>
      <w:proofErr w:type="spellEnd"/>
      <w:r w:rsidR="00507E44">
        <w:rPr>
          <w:rFonts w:cs="Arial"/>
        </w:rPr>
        <w:t xml:space="preserve"> y</w:t>
      </w:r>
    </w:p>
    <w:p w:rsidR="009D2417" w:rsidRDefault="009D2417" w:rsidP="00793241">
      <w:pPr>
        <w:spacing w:line="360" w:lineRule="auto"/>
        <w:rPr>
          <w:rFonts w:cs="Arial"/>
        </w:rPr>
      </w:pPr>
      <w:r>
        <w:rPr>
          <w:rFonts w:cs="Arial"/>
        </w:rPr>
        <w:t>Pensiones de Profesionales Universitarios</w:t>
      </w:r>
    </w:p>
    <w:p w:rsidR="009D2417" w:rsidRDefault="009D2417" w:rsidP="00793241">
      <w:pPr>
        <w:spacing w:line="360" w:lineRule="auto"/>
        <w:rPr>
          <w:rFonts w:cs="Arial"/>
        </w:rPr>
      </w:pPr>
      <w:r>
        <w:rPr>
          <w:rFonts w:cs="Arial"/>
        </w:rPr>
        <w:t xml:space="preserve">Dr. Gonzalo </w:t>
      </w:r>
      <w:proofErr w:type="spellStart"/>
      <w:r>
        <w:rPr>
          <w:rFonts w:cs="Arial"/>
        </w:rPr>
        <w:t>Deleón</w:t>
      </w:r>
      <w:proofErr w:type="spellEnd"/>
    </w:p>
    <w:p w:rsidR="009D2417" w:rsidRDefault="009D2417" w:rsidP="00793241">
      <w:pPr>
        <w:spacing w:line="360" w:lineRule="auto"/>
        <w:jc w:val="right"/>
        <w:rPr>
          <w:rFonts w:cs="Arial"/>
        </w:rPr>
      </w:pPr>
      <w:r>
        <w:rPr>
          <w:rFonts w:cs="Arial"/>
        </w:rPr>
        <w:t xml:space="preserve">E </w:t>
      </w:r>
      <w:proofErr w:type="spellStart"/>
      <w:r>
        <w:rPr>
          <w:rFonts w:cs="Arial"/>
        </w:rPr>
        <w:t>E</w:t>
      </w:r>
      <w:proofErr w:type="spellEnd"/>
      <w:r>
        <w:rPr>
          <w:rFonts w:cs="Arial"/>
        </w:rPr>
        <w:t xml:space="preserve"> 2018-17-1-0004450</w:t>
      </w:r>
    </w:p>
    <w:p w:rsidR="009D2417" w:rsidRDefault="009D2417" w:rsidP="00793241">
      <w:pPr>
        <w:spacing w:line="360" w:lineRule="auto"/>
        <w:jc w:val="right"/>
        <w:rPr>
          <w:rFonts w:cs="Arial"/>
        </w:rPr>
      </w:pPr>
      <w:proofErr w:type="spellStart"/>
      <w:r>
        <w:rPr>
          <w:rFonts w:cs="Arial"/>
        </w:rPr>
        <w:t>Ent</w:t>
      </w:r>
      <w:proofErr w:type="spellEnd"/>
      <w:r>
        <w:rPr>
          <w:rFonts w:cs="Arial"/>
        </w:rPr>
        <w:t>. N° 3429/18 y 109/19</w:t>
      </w:r>
    </w:p>
    <w:p w:rsidR="009D2417" w:rsidRDefault="009D2417" w:rsidP="00793241">
      <w:pPr>
        <w:spacing w:line="360" w:lineRule="auto"/>
        <w:jc w:val="right"/>
        <w:rPr>
          <w:rFonts w:cs="Arial"/>
        </w:rPr>
      </w:pPr>
      <w:r>
        <w:rPr>
          <w:rFonts w:cs="Arial"/>
        </w:rPr>
        <w:t>Of. N° 935/19</w:t>
      </w:r>
    </w:p>
    <w:p w:rsidR="00507E44" w:rsidRDefault="00507E44" w:rsidP="00793241">
      <w:pPr>
        <w:spacing w:line="360" w:lineRule="auto"/>
        <w:jc w:val="right"/>
        <w:rPr>
          <w:rFonts w:cs="Arial"/>
        </w:rPr>
      </w:pPr>
    </w:p>
    <w:p w:rsidR="009D2417" w:rsidRDefault="009D2417" w:rsidP="00793241">
      <w:pPr>
        <w:spacing w:line="360" w:lineRule="auto"/>
        <w:jc w:val="both"/>
        <w:rPr>
          <w:rFonts w:cs="Arial"/>
        </w:rPr>
      </w:pPr>
      <w:r>
        <w:rPr>
          <w:rFonts w:cs="Arial"/>
        </w:rPr>
        <w:tab/>
        <w:t>Por la presente se comunica  a Usted que, en oportunidad de la auditoría practicada a la Rendición de Cuentas de la Intendencia de Treinta y Tres correspondiente al ejercicio 2017, se constató que se abonaron honorarios facturados por un profesional, el cual presenta declaración ante ese Instituto de “no ejercicio libre”. Los pagos respectivos se abonaron durante el período comprendido entre marzo y junio 2017.</w:t>
      </w:r>
    </w:p>
    <w:p w:rsidR="009D2417" w:rsidRDefault="00507E44" w:rsidP="00793241">
      <w:pPr>
        <w:spacing w:line="360" w:lineRule="auto"/>
        <w:jc w:val="right"/>
        <w:rPr>
          <w:rFonts w:cs="Arial"/>
        </w:rPr>
      </w:pPr>
      <w:r>
        <w:rPr>
          <w:rFonts w:cs="Arial"/>
        </w:rPr>
        <w:t>Saludamos a Usted atentamente</w:t>
      </w:r>
    </w:p>
    <w:p w:rsidR="009D2417" w:rsidRDefault="009D2417" w:rsidP="00793241">
      <w:pPr>
        <w:spacing w:line="360" w:lineRule="auto"/>
        <w:jc w:val="right"/>
        <w:rPr>
          <w:rFonts w:cs="Arial"/>
        </w:rPr>
      </w:pPr>
    </w:p>
    <w:p w:rsidR="009D2417" w:rsidRDefault="009D2417" w:rsidP="00793241">
      <w:pPr>
        <w:spacing w:line="360" w:lineRule="auto"/>
        <w:jc w:val="right"/>
        <w:rPr>
          <w:rFonts w:cs="Arial"/>
        </w:rPr>
      </w:pPr>
    </w:p>
    <w:p w:rsidR="009D2417" w:rsidRPr="009D2417" w:rsidRDefault="009D2417" w:rsidP="009D2417">
      <w:pPr>
        <w:spacing w:line="360" w:lineRule="auto"/>
        <w:rPr>
          <w:rFonts w:cs="Arial"/>
        </w:rPr>
      </w:pPr>
      <w:proofErr w:type="spellStart"/>
      <w:proofErr w:type="gramStart"/>
      <w:r>
        <w:rPr>
          <w:rFonts w:cs="Arial"/>
        </w:rPr>
        <w:t>cr</w:t>
      </w:r>
      <w:proofErr w:type="spellEnd"/>
      <w:proofErr w:type="gramEnd"/>
    </w:p>
    <w:sectPr w:rsidR="009D2417" w:rsidRPr="009D2417" w:rsidSect="00463B7E">
      <w:footerReference w:type="default" r:id="rId9"/>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62C" w:rsidRDefault="0096062C" w:rsidP="00D33277">
      <w:r>
        <w:separator/>
      </w:r>
    </w:p>
  </w:endnote>
  <w:endnote w:type="continuationSeparator" w:id="0">
    <w:p w:rsidR="0096062C" w:rsidRDefault="0096062C" w:rsidP="00D3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5F3" w:rsidRDefault="00E275F3">
    <w:pPr>
      <w:pStyle w:val="Piedepgina"/>
      <w:jc w:val="center"/>
    </w:pPr>
    <w:r>
      <w:fldChar w:fldCharType="begin"/>
    </w:r>
    <w:r>
      <w:instrText>PAGE   \* MERGEFORMAT</w:instrText>
    </w:r>
    <w:r>
      <w:fldChar w:fldCharType="separate"/>
    </w:r>
    <w:r w:rsidR="0085355D" w:rsidRPr="0085355D">
      <w:rPr>
        <w:noProof/>
        <w:lang w:val="es-ES"/>
      </w:rPr>
      <w:t>1</w:t>
    </w:r>
    <w:r>
      <w:fldChar w:fldCharType="end"/>
    </w:r>
  </w:p>
  <w:p w:rsidR="00E275F3" w:rsidRDefault="00E275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62C" w:rsidRDefault="0096062C" w:rsidP="00D33277">
      <w:r>
        <w:separator/>
      </w:r>
    </w:p>
  </w:footnote>
  <w:footnote w:type="continuationSeparator" w:id="0">
    <w:p w:rsidR="0096062C" w:rsidRDefault="0096062C" w:rsidP="00D33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8F3748"/>
    <w:multiLevelType w:val="hybridMultilevel"/>
    <w:tmpl w:val="FA925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A86DCE"/>
    <w:multiLevelType w:val="hybridMultilevel"/>
    <w:tmpl w:val="120816B6"/>
    <w:lvl w:ilvl="0" w:tplc="8B20D53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F1A7186"/>
    <w:multiLevelType w:val="hybridMultilevel"/>
    <w:tmpl w:val="873C6856"/>
    <w:lvl w:ilvl="0" w:tplc="050E6824">
      <w:start w:val="1"/>
      <w:numFmt w:val="decimal"/>
      <w:lvlText w:val="%1-"/>
      <w:lvlJc w:val="left"/>
      <w:pPr>
        <w:tabs>
          <w:tab w:val="num" w:pos="720"/>
        </w:tabs>
        <w:ind w:left="720" w:hanging="360"/>
      </w:pPr>
      <w:rPr>
        <w:rFonts w:hint="default"/>
        <w:b/>
      </w:rPr>
    </w:lvl>
    <w:lvl w:ilvl="1" w:tplc="1F880D1E">
      <w:start w:val="13"/>
      <w:numFmt w:val="lowerLetter"/>
      <w:lvlText w:val="%2)"/>
      <w:lvlJc w:val="left"/>
      <w:pPr>
        <w:tabs>
          <w:tab w:val="num" w:pos="1785"/>
        </w:tabs>
        <w:ind w:left="1785" w:hanging="70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2636A58"/>
    <w:multiLevelType w:val="multilevel"/>
    <w:tmpl w:val="3670D5BE"/>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2F464076"/>
    <w:multiLevelType w:val="singleLevel"/>
    <w:tmpl w:val="62BAE0F0"/>
    <w:lvl w:ilvl="0">
      <w:start w:val="1"/>
      <w:numFmt w:val="decimal"/>
      <w:lvlText w:val="%1)"/>
      <w:lvlJc w:val="left"/>
      <w:pPr>
        <w:tabs>
          <w:tab w:val="num" w:pos="360"/>
        </w:tabs>
        <w:ind w:left="360" w:hanging="360"/>
      </w:pPr>
      <w:rPr>
        <w:rFonts w:hint="default"/>
        <w:b/>
      </w:rPr>
    </w:lvl>
  </w:abstractNum>
  <w:abstractNum w:abstractNumId="6">
    <w:nsid w:val="31DF6A5A"/>
    <w:multiLevelType w:val="multilevel"/>
    <w:tmpl w:val="962C7CB6"/>
    <w:lvl w:ilvl="0">
      <w:start w:val="3"/>
      <w:numFmt w:val="decimal"/>
      <w:lvlText w:val="%1"/>
      <w:lvlJc w:val="left"/>
      <w:pPr>
        <w:ind w:left="525" w:hanging="525"/>
      </w:pPr>
      <w:rPr>
        <w:rFonts w:hint="default"/>
        <w:b/>
      </w:rPr>
    </w:lvl>
    <w:lvl w:ilvl="1">
      <w:start w:val="1"/>
      <w:numFmt w:val="decimal"/>
      <w:lvlText w:val="%1.%2"/>
      <w:lvlJc w:val="left"/>
      <w:pPr>
        <w:ind w:left="540" w:hanging="525"/>
      </w:pPr>
      <w:rPr>
        <w:rFonts w:hint="default"/>
        <w:b/>
      </w:rPr>
    </w:lvl>
    <w:lvl w:ilvl="2">
      <w:start w:val="3"/>
      <w:numFmt w:val="decimal"/>
      <w:lvlText w:val="%1.%2.%3"/>
      <w:lvlJc w:val="left"/>
      <w:pPr>
        <w:ind w:left="1855" w:hanging="720"/>
      </w:pPr>
      <w:rPr>
        <w:rFonts w:hint="default"/>
        <w:b/>
      </w:rPr>
    </w:lvl>
    <w:lvl w:ilvl="3">
      <w:start w:val="1"/>
      <w:numFmt w:val="decimal"/>
      <w:lvlText w:val="%1.%2.%3.%4"/>
      <w:lvlJc w:val="left"/>
      <w:pPr>
        <w:ind w:left="1125" w:hanging="1080"/>
      </w:pPr>
      <w:rPr>
        <w:rFonts w:hint="default"/>
        <w:b/>
      </w:rPr>
    </w:lvl>
    <w:lvl w:ilvl="4">
      <w:start w:val="1"/>
      <w:numFmt w:val="decimal"/>
      <w:lvlText w:val="%1.%2.%3.%4.%5"/>
      <w:lvlJc w:val="left"/>
      <w:pPr>
        <w:ind w:left="1140" w:hanging="1080"/>
      </w:pPr>
      <w:rPr>
        <w:rFonts w:hint="default"/>
        <w:b/>
      </w:rPr>
    </w:lvl>
    <w:lvl w:ilvl="5">
      <w:start w:val="1"/>
      <w:numFmt w:val="decimal"/>
      <w:lvlText w:val="%1.%2.%3.%4.%5.%6"/>
      <w:lvlJc w:val="left"/>
      <w:pPr>
        <w:ind w:left="1515" w:hanging="1440"/>
      </w:pPr>
      <w:rPr>
        <w:rFonts w:hint="default"/>
        <w:b/>
      </w:rPr>
    </w:lvl>
    <w:lvl w:ilvl="6">
      <w:start w:val="1"/>
      <w:numFmt w:val="decimal"/>
      <w:lvlText w:val="%1.%2.%3.%4.%5.%6.%7"/>
      <w:lvlJc w:val="left"/>
      <w:pPr>
        <w:ind w:left="1530" w:hanging="1440"/>
      </w:pPr>
      <w:rPr>
        <w:rFonts w:hint="default"/>
        <w:b/>
      </w:rPr>
    </w:lvl>
    <w:lvl w:ilvl="7">
      <w:start w:val="1"/>
      <w:numFmt w:val="decimal"/>
      <w:lvlText w:val="%1.%2.%3.%4.%5.%6.%7.%8"/>
      <w:lvlJc w:val="left"/>
      <w:pPr>
        <w:ind w:left="1905" w:hanging="1800"/>
      </w:pPr>
      <w:rPr>
        <w:rFonts w:hint="default"/>
        <w:b/>
      </w:rPr>
    </w:lvl>
    <w:lvl w:ilvl="8">
      <w:start w:val="1"/>
      <w:numFmt w:val="decimal"/>
      <w:lvlText w:val="%1.%2.%3.%4.%5.%6.%7.%8.%9"/>
      <w:lvlJc w:val="left"/>
      <w:pPr>
        <w:ind w:left="1920" w:hanging="1800"/>
      </w:pPr>
      <w:rPr>
        <w:rFonts w:hint="default"/>
        <w:b/>
      </w:rPr>
    </w:lvl>
  </w:abstractNum>
  <w:abstractNum w:abstractNumId="7">
    <w:nsid w:val="34933563"/>
    <w:multiLevelType w:val="hybridMultilevel"/>
    <w:tmpl w:val="D0EA3A62"/>
    <w:lvl w:ilvl="0" w:tplc="59628A5E">
      <w:start w:val="2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72B2F85"/>
    <w:multiLevelType w:val="multilevel"/>
    <w:tmpl w:val="5EE00A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D207B4D"/>
    <w:multiLevelType w:val="hybridMultilevel"/>
    <w:tmpl w:val="84D8B450"/>
    <w:lvl w:ilvl="0" w:tplc="050E6824">
      <w:start w:val="1"/>
      <w:numFmt w:val="decimal"/>
      <w:lvlText w:val="%1-"/>
      <w:lvlJc w:val="left"/>
      <w:pPr>
        <w:tabs>
          <w:tab w:val="num" w:pos="720"/>
        </w:tabs>
        <w:ind w:left="720" w:hanging="360"/>
      </w:pPr>
      <w:rPr>
        <w:rFonts w:hint="default"/>
        <w:b/>
      </w:rPr>
    </w:lvl>
    <w:lvl w:ilvl="1" w:tplc="050E6824">
      <w:start w:val="1"/>
      <w:numFmt w:val="decimal"/>
      <w:lvlText w:val="%2-"/>
      <w:lvlJc w:val="left"/>
      <w:pPr>
        <w:tabs>
          <w:tab w:val="num" w:pos="720"/>
        </w:tabs>
        <w:ind w:left="72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E7E6178"/>
    <w:multiLevelType w:val="hybridMultilevel"/>
    <w:tmpl w:val="B3960E9E"/>
    <w:lvl w:ilvl="0" w:tplc="A8DA4794">
      <w:start w:val="1"/>
      <w:numFmt w:val="bullet"/>
      <w:lvlText w:val=""/>
      <w:lvlJc w:val="left"/>
      <w:pPr>
        <w:tabs>
          <w:tab w:val="num" w:pos="360"/>
        </w:tabs>
        <w:ind w:left="340" w:hanging="340"/>
      </w:pPr>
      <w:rPr>
        <w:rFonts w:ascii="Symbol" w:hAnsi="Symbol" w:hint="default"/>
      </w:rPr>
    </w:lvl>
    <w:lvl w:ilvl="1" w:tplc="A8DA4794">
      <w:start w:val="1"/>
      <w:numFmt w:val="bullet"/>
      <w:lvlText w:val=""/>
      <w:lvlJc w:val="left"/>
      <w:pPr>
        <w:tabs>
          <w:tab w:val="num" w:pos="1440"/>
        </w:tabs>
        <w:ind w:left="1420" w:hanging="340"/>
      </w:pPr>
      <w:rPr>
        <w:rFonts w:ascii="Symbol" w:hAnsi="Symbol" w:hint="default"/>
      </w:rPr>
    </w:lvl>
    <w:lvl w:ilvl="2" w:tplc="3548905C">
      <w:start w:val="3"/>
      <w:numFmt w:val="bullet"/>
      <w:lvlText w:val="-"/>
      <w:lvlJc w:val="left"/>
      <w:pPr>
        <w:tabs>
          <w:tab w:val="num" w:pos="2160"/>
        </w:tabs>
        <w:ind w:left="2160" w:hanging="360"/>
      </w:pPr>
      <w:rPr>
        <w:rFonts w:ascii="Times New Roman" w:eastAsia="Times New Roman" w:hAnsi="Times New Roman"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6A7A209E"/>
    <w:multiLevelType w:val="multilevel"/>
    <w:tmpl w:val="F70C23C6"/>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7F773B2A"/>
    <w:multiLevelType w:val="hybridMultilevel"/>
    <w:tmpl w:val="F01A9A32"/>
    <w:lvl w:ilvl="0" w:tplc="380A000F">
      <w:start w:val="1"/>
      <w:numFmt w:val="decimal"/>
      <w:lvlText w:val="%1."/>
      <w:lvlJc w:val="left"/>
      <w:pPr>
        <w:tabs>
          <w:tab w:val="num" w:pos="720"/>
        </w:tabs>
        <w:ind w:left="720" w:hanging="360"/>
      </w:pPr>
      <w:rPr>
        <w:rFonts w:hint="default"/>
        <w:b/>
      </w:rPr>
    </w:lvl>
    <w:lvl w:ilvl="1" w:tplc="050E6824">
      <w:start w:val="1"/>
      <w:numFmt w:val="decimal"/>
      <w:lvlText w:val="%2-"/>
      <w:lvlJc w:val="left"/>
      <w:pPr>
        <w:tabs>
          <w:tab w:val="num" w:pos="720"/>
        </w:tabs>
        <w:ind w:left="72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0"/>
  </w:num>
  <w:num w:numId="4">
    <w:abstractNumId w:val="3"/>
  </w:num>
  <w:num w:numId="5">
    <w:abstractNumId w:val="9"/>
  </w:num>
  <w:num w:numId="6">
    <w:abstractNumId w:val="7"/>
  </w:num>
  <w:num w:numId="7">
    <w:abstractNumId w:val="4"/>
  </w:num>
  <w:num w:numId="8">
    <w:abstractNumId w:val="12"/>
  </w:num>
  <w:num w:numId="9">
    <w:abstractNumId w:val="1"/>
  </w:num>
  <w:num w:numId="10">
    <w:abstractNumId w:val="0"/>
  </w:num>
  <w:num w:numId="11">
    <w:abstractNumId w:val="8"/>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2E"/>
    <w:rsid w:val="00000C72"/>
    <w:rsid w:val="00001A2A"/>
    <w:rsid w:val="00004B4E"/>
    <w:rsid w:val="00004E2E"/>
    <w:rsid w:val="00004FDA"/>
    <w:rsid w:val="00007396"/>
    <w:rsid w:val="00007854"/>
    <w:rsid w:val="0001715D"/>
    <w:rsid w:val="00022EA7"/>
    <w:rsid w:val="00025951"/>
    <w:rsid w:val="0003196D"/>
    <w:rsid w:val="00031A0E"/>
    <w:rsid w:val="00037067"/>
    <w:rsid w:val="0004361C"/>
    <w:rsid w:val="00057918"/>
    <w:rsid w:val="00070262"/>
    <w:rsid w:val="000718A1"/>
    <w:rsid w:val="00074286"/>
    <w:rsid w:val="00076F68"/>
    <w:rsid w:val="0008063C"/>
    <w:rsid w:val="00081699"/>
    <w:rsid w:val="000845F3"/>
    <w:rsid w:val="000866CB"/>
    <w:rsid w:val="000A7A8F"/>
    <w:rsid w:val="000B2534"/>
    <w:rsid w:val="000B4ECB"/>
    <w:rsid w:val="000B5E14"/>
    <w:rsid w:val="000B6FBE"/>
    <w:rsid w:val="000C1798"/>
    <w:rsid w:val="000D14FE"/>
    <w:rsid w:val="000D7012"/>
    <w:rsid w:val="000E13EB"/>
    <w:rsid w:val="000E40B4"/>
    <w:rsid w:val="000E4236"/>
    <w:rsid w:val="000F2D3C"/>
    <w:rsid w:val="000F5D40"/>
    <w:rsid w:val="000F7AD1"/>
    <w:rsid w:val="00100313"/>
    <w:rsid w:val="0010163D"/>
    <w:rsid w:val="001037F9"/>
    <w:rsid w:val="0010513A"/>
    <w:rsid w:val="0011691A"/>
    <w:rsid w:val="001178EA"/>
    <w:rsid w:val="001206A4"/>
    <w:rsid w:val="00125D7A"/>
    <w:rsid w:val="00131127"/>
    <w:rsid w:val="001362F4"/>
    <w:rsid w:val="00136AC2"/>
    <w:rsid w:val="00140D14"/>
    <w:rsid w:val="001430D4"/>
    <w:rsid w:val="00147666"/>
    <w:rsid w:val="001506FF"/>
    <w:rsid w:val="00151380"/>
    <w:rsid w:val="0015750E"/>
    <w:rsid w:val="00161DCB"/>
    <w:rsid w:val="00165033"/>
    <w:rsid w:val="00165BD2"/>
    <w:rsid w:val="00165CD0"/>
    <w:rsid w:val="0016620C"/>
    <w:rsid w:val="00166668"/>
    <w:rsid w:val="00170317"/>
    <w:rsid w:val="001813BF"/>
    <w:rsid w:val="00183EDD"/>
    <w:rsid w:val="00184046"/>
    <w:rsid w:val="00185F55"/>
    <w:rsid w:val="00192A0A"/>
    <w:rsid w:val="001A0143"/>
    <w:rsid w:val="001A0671"/>
    <w:rsid w:val="001B0C93"/>
    <w:rsid w:val="001B5D74"/>
    <w:rsid w:val="001D7932"/>
    <w:rsid w:val="001E0033"/>
    <w:rsid w:val="001E1AB3"/>
    <w:rsid w:val="001E4C5A"/>
    <w:rsid w:val="001F782B"/>
    <w:rsid w:val="002043E3"/>
    <w:rsid w:val="00205157"/>
    <w:rsid w:val="00212ACD"/>
    <w:rsid w:val="00216256"/>
    <w:rsid w:val="00220970"/>
    <w:rsid w:val="0022759E"/>
    <w:rsid w:val="002279C0"/>
    <w:rsid w:val="00227E12"/>
    <w:rsid w:val="00240215"/>
    <w:rsid w:val="00250466"/>
    <w:rsid w:val="002552FE"/>
    <w:rsid w:val="0026195B"/>
    <w:rsid w:val="00262B50"/>
    <w:rsid w:val="002639BD"/>
    <w:rsid w:val="00266D30"/>
    <w:rsid w:val="002671A5"/>
    <w:rsid w:val="00274E79"/>
    <w:rsid w:val="002861E4"/>
    <w:rsid w:val="00286481"/>
    <w:rsid w:val="0028651B"/>
    <w:rsid w:val="00287C46"/>
    <w:rsid w:val="00293836"/>
    <w:rsid w:val="00296EF5"/>
    <w:rsid w:val="002B07EC"/>
    <w:rsid w:val="002E0D53"/>
    <w:rsid w:val="002E174F"/>
    <w:rsid w:val="002E49CF"/>
    <w:rsid w:val="002F3613"/>
    <w:rsid w:val="002F3A79"/>
    <w:rsid w:val="002F3A93"/>
    <w:rsid w:val="002F7DDB"/>
    <w:rsid w:val="003045FC"/>
    <w:rsid w:val="00307083"/>
    <w:rsid w:val="003230F9"/>
    <w:rsid w:val="00332046"/>
    <w:rsid w:val="0033259D"/>
    <w:rsid w:val="00336D07"/>
    <w:rsid w:val="00342F8D"/>
    <w:rsid w:val="003476E5"/>
    <w:rsid w:val="00347E69"/>
    <w:rsid w:val="00362E54"/>
    <w:rsid w:val="00370B1F"/>
    <w:rsid w:val="00371FF7"/>
    <w:rsid w:val="00376F8B"/>
    <w:rsid w:val="00391FCF"/>
    <w:rsid w:val="00392EC5"/>
    <w:rsid w:val="003932EB"/>
    <w:rsid w:val="00394FE2"/>
    <w:rsid w:val="00395E76"/>
    <w:rsid w:val="003B2D4E"/>
    <w:rsid w:val="003B44B5"/>
    <w:rsid w:val="003C7EF6"/>
    <w:rsid w:val="003D6BED"/>
    <w:rsid w:val="003E2B41"/>
    <w:rsid w:val="003F6E47"/>
    <w:rsid w:val="00401268"/>
    <w:rsid w:val="00404859"/>
    <w:rsid w:val="00405CBD"/>
    <w:rsid w:val="00414DEE"/>
    <w:rsid w:val="00423245"/>
    <w:rsid w:val="00426195"/>
    <w:rsid w:val="00430B90"/>
    <w:rsid w:val="00433420"/>
    <w:rsid w:val="0044046B"/>
    <w:rsid w:val="004445DA"/>
    <w:rsid w:val="00444794"/>
    <w:rsid w:val="00445DF0"/>
    <w:rsid w:val="00447EF9"/>
    <w:rsid w:val="004501D6"/>
    <w:rsid w:val="00461547"/>
    <w:rsid w:val="00463B7E"/>
    <w:rsid w:val="00471E24"/>
    <w:rsid w:val="00475A17"/>
    <w:rsid w:val="004777C7"/>
    <w:rsid w:val="00482145"/>
    <w:rsid w:val="00485FC6"/>
    <w:rsid w:val="00495619"/>
    <w:rsid w:val="004979B4"/>
    <w:rsid w:val="00497AFB"/>
    <w:rsid w:val="00497C2D"/>
    <w:rsid w:val="004A0468"/>
    <w:rsid w:val="004A70E8"/>
    <w:rsid w:val="004A798C"/>
    <w:rsid w:val="004B64BD"/>
    <w:rsid w:val="004B70F0"/>
    <w:rsid w:val="004B76FE"/>
    <w:rsid w:val="004C1823"/>
    <w:rsid w:val="004C2ABE"/>
    <w:rsid w:val="004C4B20"/>
    <w:rsid w:val="004C5E0D"/>
    <w:rsid w:val="004D2E4F"/>
    <w:rsid w:val="004D3E9E"/>
    <w:rsid w:val="004D49FB"/>
    <w:rsid w:val="004D6292"/>
    <w:rsid w:val="004D7B22"/>
    <w:rsid w:val="004D7F4E"/>
    <w:rsid w:val="004F5CC9"/>
    <w:rsid w:val="004F6C84"/>
    <w:rsid w:val="00504962"/>
    <w:rsid w:val="00507E44"/>
    <w:rsid w:val="0051061A"/>
    <w:rsid w:val="005122F0"/>
    <w:rsid w:val="005127E6"/>
    <w:rsid w:val="0051398A"/>
    <w:rsid w:val="00514E7C"/>
    <w:rsid w:val="0052110C"/>
    <w:rsid w:val="0052667C"/>
    <w:rsid w:val="00526D29"/>
    <w:rsid w:val="00533073"/>
    <w:rsid w:val="00534482"/>
    <w:rsid w:val="00535BA6"/>
    <w:rsid w:val="0053604E"/>
    <w:rsid w:val="00540584"/>
    <w:rsid w:val="005405F4"/>
    <w:rsid w:val="005415C0"/>
    <w:rsid w:val="00541681"/>
    <w:rsid w:val="00543C45"/>
    <w:rsid w:val="00543CC2"/>
    <w:rsid w:val="005716E5"/>
    <w:rsid w:val="00571C76"/>
    <w:rsid w:val="0057236F"/>
    <w:rsid w:val="00574733"/>
    <w:rsid w:val="00577D89"/>
    <w:rsid w:val="00585164"/>
    <w:rsid w:val="005908C7"/>
    <w:rsid w:val="00594F67"/>
    <w:rsid w:val="005A1F85"/>
    <w:rsid w:val="005A2669"/>
    <w:rsid w:val="005B46AD"/>
    <w:rsid w:val="005C41ED"/>
    <w:rsid w:val="005C68CB"/>
    <w:rsid w:val="005C782B"/>
    <w:rsid w:val="005D07EA"/>
    <w:rsid w:val="005D15E2"/>
    <w:rsid w:val="005D1C4D"/>
    <w:rsid w:val="005E1439"/>
    <w:rsid w:val="005E1CED"/>
    <w:rsid w:val="005E1D40"/>
    <w:rsid w:val="005F2356"/>
    <w:rsid w:val="005F2A80"/>
    <w:rsid w:val="005F6F3E"/>
    <w:rsid w:val="005F73A8"/>
    <w:rsid w:val="00604590"/>
    <w:rsid w:val="0060628F"/>
    <w:rsid w:val="006100E3"/>
    <w:rsid w:val="0061350B"/>
    <w:rsid w:val="00615A16"/>
    <w:rsid w:val="00622442"/>
    <w:rsid w:val="006224A8"/>
    <w:rsid w:val="00624B91"/>
    <w:rsid w:val="006256C4"/>
    <w:rsid w:val="006423F5"/>
    <w:rsid w:val="00655FEF"/>
    <w:rsid w:val="0066163F"/>
    <w:rsid w:val="00662613"/>
    <w:rsid w:val="00662BFC"/>
    <w:rsid w:val="006633DB"/>
    <w:rsid w:val="00666993"/>
    <w:rsid w:val="00677A66"/>
    <w:rsid w:val="00677E0F"/>
    <w:rsid w:val="00681A9A"/>
    <w:rsid w:val="00685F75"/>
    <w:rsid w:val="0069189F"/>
    <w:rsid w:val="006A6A59"/>
    <w:rsid w:val="006B149B"/>
    <w:rsid w:val="006B4F4D"/>
    <w:rsid w:val="006B58FB"/>
    <w:rsid w:val="006B7CF8"/>
    <w:rsid w:val="006D187C"/>
    <w:rsid w:val="006D7B9D"/>
    <w:rsid w:val="006E21C0"/>
    <w:rsid w:val="006E32C0"/>
    <w:rsid w:val="006F17E9"/>
    <w:rsid w:val="006F1EC4"/>
    <w:rsid w:val="006F3C5D"/>
    <w:rsid w:val="006F47FA"/>
    <w:rsid w:val="006F4DB6"/>
    <w:rsid w:val="006F592C"/>
    <w:rsid w:val="007000C7"/>
    <w:rsid w:val="00710166"/>
    <w:rsid w:val="00710B2B"/>
    <w:rsid w:val="00714EE3"/>
    <w:rsid w:val="00720A7A"/>
    <w:rsid w:val="00723755"/>
    <w:rsid w:val="00726CD6"/>
    <w:rsid w:val="00726EC2"/>
    <w:rsid w:val="00731324"/>
    <w:rsid w:val="007323B4"/>
    <w:rsid w:val="00741EA9"/>
    <w:rsid w:val="00744CDD"/>
    <w:rsid w:val="007479A0"/>
    <w:rsid w:val="0076065F"/>
    <w:rsid w:val="00760D13"/>
    <w:rsid w:val="00764BEB"/>
    <w:rsid w:val="007712FE"/>
    <w:rsid w:val="00777C21"/>
    <w:rsid w:val="00782BB1"/>
    <w:rsid w:val="007908CB"/>
    <w:rsid w:val="0079306F"/>
    <w:rsid w:val="007A752A"/>
    <w:rsid w:val="007B0005"/>
    <w:rsid w:val="007B036A"/>
    <w:rsid w:val="007B3EEA"/>
    <w:rsid w:val="007B3EEC"/>
    <w:rsid w:val="007C0E17"/>
    <w:rsid w:val="007C20C9"/>
    <w:rsid w:val="007C760B"/>
    <w:rsid w:val="007C7A40"/>
    <w:rsid w:val="007D3C97"/>
    <w:rsid w:val="007D7E71"/>
    <w:rsid w:val="007E258C"/>
    <w:rsid w:val="007E49A1"/>
    <w:rsid w:val="007E4F4D"/>
    <w:rsid w:val="007E6AE6"/>
    <w:rsid w:val="007F162F"/>
    <w:rsid w:val="007F21D4"/>
    <w:rsid w:val="007F2B3A"/>
    <w:rsid w:val="00803E93"/>
    <w:rsid w:val="008060C0"/>
    <w:rsid w:val="00810FE6"/>
    <w:rsid w:val="00826B8F"/>
    <w:rsid w:val="00833134"/>
    <w:rsid w:val="008438F4"/>
    <w:rsid w:val="00845384"/>
    <w:rsid w:val="008522A7"/>
    <w:rsid w:val="00852D39"/>
    <w:rsid w:val="0085355D"/>
    <w:rsid w:val="00855F13"/>
    <w:rsid w:val="008565AF"/>
    <w:rsid w:val="0086220D"/>
    <w:rsid w:val="0086302D"/>
    <w:rsid w:val="00863E4D"/>
    <w:rsid w:val="0086572E"/>
    <w:rsid w:val="00881506"/>
    <w:rsid w:val="00883567"/>
    <w:rsid w:val="00893CA1"/>
    <w:rsid w:val="0089450E"/>
    <w:rsid w:val="008949E7"/>
    <w:rsid w:val="0089545E"/>
    <w:rsid w:val="008A3147"/>
    <w:rsid w:val="008C0A5A"/>
    <w:rsid w:val="008C1054"/>
    <w:rsid w:val="008C360A"/>
    <w:rsid w:val="008C4CA2"/>
    <w:rsid w:val="008C7419"/>
    <w:rsid w:val="008D3BF9"/>
    <w:rsid w:val="008D5378"/>
    <w:rsid w:val="008E77EC"/>
    <w:rsid w:val="008F75D9"/>
    <w:rsid w:val="00905CD8"/>
    <w:rsid w:val="00911A90"/>
    <w:rsid w:val="00915D0D"/>
    <w:rsid w:val="00916022"/>
    <w:rsid w:val="00921B16"/>
    <w:rsid w:val="00922463"/>
    <w:rsid w:val="00923B42"/>
    <w:rsid w:val="00924BE3"/>
    <w:rsid w:val="00936BC3"/>
    <w:rsid w:val="009430C2"/>
    <w:rsid w:val="00945442"/>
    <w:rsid w:val="0094670F"/>
    <w:rsid w:val="0095329A"/>
    <w:rsid w:val="00953F84"/>
    <w:rsid w:val="00954F9F"/>
    <w:rsid w:val="0096062C"/>
    <w:rsid w:val="00962BA6"/>
    <w:rsid w:val="0096436D"/>
    <w:rsid w:val="00965627"/>
    <w:rsid w:val="0096763A"/>
    <w:rsid w:val="00977EEE"/>
    <w:rsid w:val="00984375"/>
    <w:rsid w:val="00993C7B"/>
    <w:rsid w:val="009A08DA"/>
    <w:rsid w:val="009A2E9A"/>
    <w:rsid w:val="009A32B7"/>
    <w:rsid w:val="009B271B"/>
    <w:rsid w:val="009B7156"/>
    <w:rsid w:val="009C0ECF"/>
    <w:rsid w:val="009C64C9"/>
    <w:rsid w:val="009D028D"/>
    <w:rsid w:val="009D2417"/>
    <w:rsid w:val="009E2FEC"/>
    <w:rsid w:val="009F6A2B"/>
    <w:rsid w:val="009F764C"/>
    <w:rsid w:val="00A109A2"/>
    <w:rsid w:val="00A10AF8"/>
    <w:rsid w:val="00A11FD7"/>
    <w:rsid w:val="00A14F4C"/>
    <w:rsid w:val="00A16E60"/>
    <w:rsid w:val="00A17A45"/>
    <w:rsid w:val="00A20AD9"/>
    <w:rsid w:val="00A2493D"/>
    <w:rsid w:val="00A314AB"/>
    <w:rsid w:val="00A35F7E"/>
    <w:rsid w:val="00A412D7"/>
    <w:rsid w:val="00A53667"/>
    <w:rsid w:val="00A54520"/>
    <w:rsid w:val="00A660AD"/>
    <w:rsid w:val="00A72287"/>
    <w:rsid w:val="00A7670F"/>
    <w:rsid w:val="00A7746C"/>
    <w:rsid w:val="00A85569"/>
    <w:rsid w:val="00A91A41"/>
    <w:rsid w:val="00A92971"/>
    <w:rsid w:val="00A92D76"/>
    <w:rsid w:val="00A95425"/>
    <w:rsid w:val="00A9645C"/>
    <w:rsid w:val="00AB260F"/>
    <w:rsid w:val="00AB2FCC"/>
    <w:rsid w:val="00AB3A6C"/>
    <w:rsid w:val="00AC20E0"/>
    <w:rsid w:val="00AC32F3"/>
    <w:rsid w:val="00AC7C8C"/>
    <w:rsid w:val="00AC7CDD"/>
    <w:rsid w:val="00AD37CF"/>
    <w:rsid w:val="00AD43D5"/>
    <w:rsid w:val="00AD4A23"/>
    <w:rsid w:val="00AD712C"/>
    <w:rsid w:val="00AE2E01"/>
    <w:rsid w:val="00AE7199"/>
    <w:rsid w:val="00AF08C0"/>
    <w:rsid w:val="00AF202B"/>
    <w:rsid w:val="00B04EB4"/>
    <w:rsid w:val="00B05980"/>
    <w:rsid w:val="00B26B2C"/>
    <w:rsid w:val="00B33773"/>
    <w:rsid w:val="00B35ACB"/>
    <w:rsid w:val="00B430EB"/>
    <w:rsid w:val="00B60613"/>
    <w:rsid w:val="00B73ABD"/>
    <w:rsid w:val="00B820CB"/>
    <w:rsid w:val="00B91518"/>
    <w:rsid w:val="00B92725"/>
    <w:rsid w:val="00B92812"/>
    <w:rsid w:val="00B96EC6"/>
    <w:rsid w:val="00BA3FB3"/>
    <w:rsid w:val="00BA5DB9"/>
    <w:rsid w:val="00BB187B"/>
    <w:rsid w:val="00BB7AB8"/>
    <w:rsid w:val="00BC25D1"/>
    <w:rsid w:val="00BC52F3"/>
    <w:rsid w:val="00BC7771"/>
    <w:rsid w:val="00BC7895"/>
    <w:rsid w:val="00BD29EC"/>
    <w:rsid w:val="00BE1226"/>
    <w:rsid w:val="00BE3579"/>
    <w:rsid w:val="00BF00B6"/>
    <w:rsid w:val="00BF1079"/>
    <w:rsid w:val="00BF1BFA"/>
    <w:rsid w:val="00BF56F6"/>
    <w:rsid w:val="00BF5873"/>
    <w:rsid w:val="00BF7D08"/>
    <w:rsid w:val="00C00937"/>
    <w:rsid w:val="00C07A89"/>
    <w:rsid w:val="00C126BD"/>
    <w:rsid w:val="00C20AF0"/>
    <w:rsid w:val="00C21707"/>
    <w:rsid w:val="00C23C63"/>
    <w:rsid w:val="00C24130"/>
    <w:rsid w:val="00C30F55"/>
    <w:rsid w:val="00C31431"/>
    <w:rsid w:val="00C36E65"/>
    <w:rsid w:val="00C37904"/>
    <w:rsid w:val="00C409FE"/>
    <w:rsid w:val="00C43699"/>
    <w:rsid w:val="00C54C7D"/>
    <w:rsid w:val="00C71932"/>
    <w:rsid w:val="00C730BF"/>
    <w:rsid w:val="00C747EA"/>
    <w:rsid w:val="00C74E77"/>
    <w:rsid w:val="00C84676"/>
    <w:rsid w:val="00C84CF7"/>
    <w:rsid w:val="00C856A4"/>
    <w:rsid w:val="00C9356E"/>
    <w:rsid w:val="00C94DB2"/>
    <w:rsid w:val="00CA0C14"/>
    <w:rsid w:val="00CA7D72"/>
    <w:rsid w:val="00CC0896"/>
    <w:rsid w:val="00CC2B56"/>
    <w:rsid w:val="00CD5396"/>
    <w:rsid w:val="00CD671E"/>
    <w:rsid w:val="00CD7231"/>
    <w:rsid w:val="00CF0079"/>
    <w:rsid w:val="00CF0B08"/>
    <w:rsid w:val="00CF2BA0"/>
    <w:rsid w:val="00CF44FD"/>
    <w:rsid w:val="00D049DD"/>
    <w:rsid w:val="00D13451"/>
    <w:rsid w:val="00D14E5D"/>
    <w:rsid w:val="00D207BE"/>
    <w:rsid w:val="00D244CD"/>
    <w:rsid w:val="00D26C35"/>
    <w:rsid w:val="00D315B1"/>
    <w:rsid w:val="00D33277"/>
    <w:rsid w:val="00D36A18"/>
    <w:rsid w:val="00D46094"/>
    <w:rsid w:val="00D4658F"/>
    <w:rsid w:val="00D5194E"/>
    <w:rsid w:val="00D60812"/>
    <w:rsid w:val="00D609FC"/>
    <w:rsid w:val="00D61E7C"/>
    <w:rsid w:val="00D63E5D"/>
    <w:rsid w:val="00D723CA"/>
    <w:rsid w:val="00D80CE2"/>
    <w:rsid w:val="00D80E8E"/>
    <w:rsid w:val="00D95057"/>
    <w:rsid w:val="00D9643C"/>
    <w:rsid w:val="00DB2280"/>
    <w:rsid w:val="00DB38FB"/>
    <w:rsid w:val="00DC2619"/>
    <w:rsid w:val="00DC6E92"/>
    <w:rsid w:val="00DD1A44"/>
    <w:rsid w:val="00DD4532"/>
    <w:rsid w:val="00DD5872"/>
    <w:rsid w:val="00DE2C85"/>
    <w:rsid w:val="00DF1206"/>
    <w:rsid w:val="00DF2FF4"/>
    <w:rsid w:val="00DF3C0A"/>
    <w:rsid w:val="00DF704C"/>
    <w:rsid w:val="00DF7F89"/>
    <w:rsid w:val="00E05542"/>
    <w:rsid w:val="00E07132"/>
    <w:rsid w:val="00E10FD3"/>
    <w:rsid w:val="00E114DD"/>
    <w:rsid w:val="00E1288D"/>
    <w:rsid w:val="00E179FD"/>
    <w:rsid w:val="00E17F25"/>
    <w:rsid w:val="00E25126"/>
    <w:rsid w:val="00E275F3"/>
    <w:rsid w:val="00E3778A"/>
    <w:rsid w:val="00E37F27"/>
    <w:rsid w:val="00E41039"/>
    <w:rsid w:val="00E433B8"/>
    <w:rsid w:val="00E52786"/>
    <w:rsid w:val="00E551FE"/>
    <w:rsid w:val="00E55765"/>
    <w:rsid w:val="00E61DEC"/>
    <w:rsid w:val="00E65047"/>
    <w:rsid w:val="00E67E23"/>
    <w:rsid w:val="00E75E99"/>
    <w:rsid w:val="00E9408A"/>
    <w:rsid w:val="00EA0DF5"/>
    <w:rsid w:val="00EA27F0"/>
    <w:rsid w:val="00EA4E02"/>
    <w:rsid w:val="00EA7163"/>
    <w:rsid w:val="00EB1DC5"/>
    <w:rsid w:val="00EB31B0"/>
    <w:rsid w:val="00EB4D6C"/>
    <w:rsid w:val="00ED222E"/>
    <w:rsid w:val="00ED2C9F"/>
    <w:rsid w:val="00ED4CAE"/>
    <w:rsid w:val="00ED51AD"/>
    <w:rsid w:val="00ED6533"/>
    <w:rsid w:val="00ED6670"/>
    <w:rsid w:val="00EE4DBD"/>
    <w:rsid w:val="00F02C7C"/>
    <w:rsid w:val="00F149FC"/>
    <w:rsid w:val="00F14A04"/>
    <w:rsid w:val="00F2499B"/>
    <w:rsid w:val="00F303C0"/>
    <w:rsid w:val="00F3237D"/>
    <w:rsid w:val="00F32650"/>
    <w:rsid w:val="00F33648"/>
    <w:rsid w:val="00F424B0"/>
    <w:rsid w:val="00F44A3B"/>
    <w:rsid w:val="00F50760"/>
    <w:rsid w:val="00F51AB7"/>
    <w:rsid w:val="00F55D17"/>
    <w:rsid w:val="00F576FB"/>
    <w:rsid w:val="00F61A3E"/>
    <w:rsid w:val="00F6781B"/>
    <w:rsid w:val="00F7141F"/>
    <w:rsid w:val="00F72945"/>
    <w:rsid w:val="00F74D96"/>
    <w:rsid w:val="00F753E1"/>
    <w:rsid w:val="00F770E0"/>
    <w:rsid w:val="00F77ABD"/>
    <w:rsid w:val="00F8050E"/>
    <w:rsid w:val="00F82225"/>
    <w:rsid w:val="00F846FF"/>
    <w:rsid w:val="00F84A2C"/>
    <w:rsid w:val="00F87644"/>
    <w:rsid w:val="00F91947"/>
    <w:rsid w:val="00F97EF3"/>
    <w:rsid w:val="00FA48DB"/>
    <w:rsid w:val="00FA5A3F"/>
    <w:rsid w:val="00FB1E41"/>
    <w:rsid w:val="00FB28F8"/>
    <w:rsid w:val="00FB4504"/>
    <w:rsid w:val="00FB4681"/>
    <w:rsid w:val="00FB46A9"/>
    <w:rsid w:val="00FB4C46"/>
    <w:rsid w:val="00FC23ED"/>
    <w:rsid w:val="00FC4EAD"/>
    <w:rsid w:val="00FD5F6D"/>
    <w:rsid w:val="00FE7195"/>
    <w:rsid w:val="00FF27F1"/>
    <w:rsid w:val="00FF39C8"/>
    <w:rsid w:val="00FF53CD"/>
    <w:rsid w:val="00FF690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2E"/>
    <w:rPr>
      <w:rFonts w:ascii="Arial" w:eastAsia="Times New Roman" w:hAnsi="Arial"/>
      <w:sz w:val="24"/>
      <w:szCs w:val="24"/>
      <w:lang w:val="es-ES" w:eastAsia="es-ES"/>
    </w:rPr>
  </w:style>
  <w:style w:type="paragraph" w:styleId="Ttulo1">
    <w:name w:val="heading 1"/>
    <w:basedOn w:val="Normal"/>
    <w:next w:val="Normal"/>
    <w:link w:val="Ttulo1Car"/>
    <w:qFormat/>
    <w:rsid w:val="00852D39"/>
    <w:pPr>
      <w:keepNext/>
      <w:widowControl w:val="0"/>
      <w:spacing w:line="360" w:lineRule="auto"/>
      <w:jc w:val="center"/>
      <w:outlineLvl w:val="0"/>
    </w:pPr>
    <w:rPr>
      <w:b/>
      <w:bCs/>
      <w:snapToGrid w:val="0"/>
      <w:szCs w:val="20"/>
    </w:rPr>
  </w:style>
  <w:style w:type="paragraph" w:styleId="Ttulo2">
    <w:name w:val="heading 2"/>
    <w:basedOn w:val="Normal"/>
    <w:next w:val="Textoindependiente"/>
    <w:link w:val="Ttulo2Car"/>
    <w:qFormat/>
    <w:rsid w:val="00852D39"/>
    <w:pPr>
      <w:spacing w:after="170" w:line="360" w:lineRule="auto"/>
      <w:outlineLvl w:val="1"/>
    </w:pPr>
    <w:rPr>
      <w:b/>
      <w:kern w:val="18"/>
      <w:szCs w:val="20"/>
    </w:rPr>
  </w:style>
  <w:style w:type="paragraph" w:styleId="Ttulo3">
    <w:name w:val="heading 3"/>
    <w:basedOn w:val="Normal"/>
    <w:next w:val="Normal"/>
    <w:link w:val="Ttulo3Car"/>
    <w:qFormat/>
    <w:rsid w:val="00852D39"/>
    <w:pPr>
      <w:keepNext/>
      <w:spacing w:before="240" w:after="60"/>
      <w:outlineLvl w:val="2"/>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004E2E"/>
    <w:pPr>
      <w:spacing w:after="240" w:line="240" w:lineRule="atLeast"/>
      <w:jc w:val="both"/>
    </w:pPr>
    <w:rPr>
      <w:kern w:val="18"/>
      <w:szCs w:val="20"/>
      <w:lang w:val="es-ES_tradnl"/>
    </w:rPr>
  </w:style>
  <w:style w:type="character" w:customStyle="1" w:styleId="TextoindependienteCar">
    <w:name w:val="Texto independiente Car"/>
    <w:link w:val="Textoindependiente"/>
    <w:semiHidden/>
    <w:rsid w:val="00004E2E"/>
    <w:rPr>
      <w:rFonts w:ascii="Arial" w:eastAsia="Times New Roman" w:hAnsi="Arial" w:cs="Times New Roman"/>
      <w:kern w:val="18"/>
      <w:sz w:val="24"/>
      <w:szCs w:val="20"/>
      <w:lang w:val="es-ES_tradnl" w:eastAsia="es-ES"/>
    </w:rPr>
  </w:style>
  <w:style w:type="paragraph" w:styleId="Textoindependiente3">
    <w:name w:val="Body Text 3"/>
    <w:basedOn w:val="Normal"/>
    <w:link w:val="Textoindependiente3Car"/>
    <w:semiHidden/>
    <w:rsid w:val="00004E2E"/>
    <w:pPr>
      <w:spacing w:line="360" w:lineRule="auto"/>
      <w:jc w:val="right"/>
    </w:pPr>
  </w:style>
  <w:style w:type="character" w:customStyle="1" w:styleId="Textoindependiente3Car">
    <w:name w:val="Texto independiente 3 Car"/>
    <w:link w:val="Textoindependiente3"/>
    <w:semiHidden/>
    <w:rsid w:val="00004E2E"/>
    <w:rPr>
      <w:rFonts w:ascii="Arial" w:eastAsia="Times New Roman" w:hAnsi="Arial" w:cs="Times New Roman"/>
      <w:sz w:val="24"/>
      <w:szCs w:val="24"/>
      <w:lang w:val="es-ES" w:eastAsia="es-ES"/>
    </w:rPr>
  </w:style>
  <w:style w:type="character" w:customStyle="1" w:styleId="Ttulo1Car">
    <w:name w:val="Título 1 Car"/>
    <w:link w:val="Ttulo1"/>
    <w:rsid w:val="00852D39"/>
    <w:rPr>
      <w:rFonts w:ascii="Arial" w:eastAsia="Times New Roman" w:hAnsi="Arial" w:cs="Arial"/>
      <w:b/>
      <w:bCs/>
      <w:snapToGrid w:val="0"/>
      <w:sz w:val="24"/>
      <w:szCs w:val="20"/>
      <w:lang w:val="es-ES" w:eastAsia="es-ES"/>
    </w:rPr>
  </w:style>
  <w:style w:type="paragraph" w:styleId="Lista">
    <w:name w:val="List"/>
    <w:basedOn w:val="Normal"/>
    <w:semiHidden/>
    <w:rsid w:val="00852D39"/>
    <w:pPr>
      <w:spacing w:line="360" w:lineRule="auto"/>
      <w:ind w:left="283" w:hanging="283"/>
      <w:jc w:val="both"/>
    </w:pPr>
    <w:rPr>
      <w:kern w:val="18"/>
      <w:szCs w:val="20"/>
      <w:lang w:val="es-ES_tradnl"/>
    </w:rPr>
  </w:style>
  <w:style w:type="paragraph" w:styleId="Subttulo">
    <w:name w:val="Subtitle"/>
    <w:basedOn w:val="Normal"/>
    <w:link w:val="SubttuloCar"/>
    <w:qFormat/>
    <w:rsid w:val="00852D39"/>
    <w:pPr>
      <w:spacing w:line="360" w:lineRule="auto"/>
      <w:jc w:val="both"/>
    </w:pPr>
    <w:rPr>
      <w:rFonts w:ascii="Bookman Old Style" w:hAnsi="Bookman Old Style"/>
      <w:b/>
      <w:kern w:val="18"/>
      <w:szCs w:val="20"/>
    </w:rPr>
  </w:style>
  <w:style w:type="character" w:customStyle="1" w:styleId="SubttuloCar">
    <w:name w:val="Subtítulo Car"/>
    <w:link w:val="Subttulo"/>
    <w:rsid w:val="00852D39"/>
    <w:rPr>
      <w:rFonts w:ascii="Bookman Old Style" w:eastAsia="Times New Roman" w:hAnsi="Bookman Old Style" w:cs="Times New Roman"/>
      <w:b/>
      <w:kern w:val="18"/>
      <w:sz w:val="24"/>
      <w:szCs w:val="20"/>
      <w:lang w:val="es-ES" w:eastAsia="es-ES"/>
    </w:rPr>
  </w:style>
  <w:style w:type="character" w:customStyle="1" w:styleId="Ttulo2Car">
    <w:name w:val="Título 2 Car"/>
    <w:link w:val="Ttulo2"/>
    <w:rsid w:val="00852D39"/>
    <w:rPr>
      <w:rFonts w:ascii="Arial" w:eastAsia="Times New Roman" w:hAnsi="Arial" w:cs="Times New Roman"/>
      <w:b/>
      <w:kern w:val="18"/>
      <w:sz w:val="24"/>
      <w:szCs w:val="20"/>
      <w:lang w:val="es-ES" w:eastAsia="es-ES"/>
    </w:rPr>
  </w:style>
  <w:style w:type="character" w:customStyle="1" w:styleId="Ttulo3Car">
    <w:name w:val="Título 3 Car"/>
    <w:link w:val="Ttulo3"/>
    <w:rsid w:val="00852D39"/>
    <w:rPr>
      <w:rFonts w:ascii="Arial" w:eastAsia="Times New Roman" w:hAnsi="Arial" w:cs="Arial"/>
      <w:b/>
      <w:bCs/>
      <w:sz w:val="26"/>
      <w:szCs w:val="26"/>
      <w:lang w:val="es-ES" w:eastAsia="es-ES"/>
    </w:rPr>
  </w:style>
  <w:style w:type="paragraph" w:styleId="Textoindependiente2">
    <w:name w:val="Body Text 2"/>
    <w:basedOn w:val="Normal"/>
    <w:link w:val="Textoindependiente2Car"/>
    <w:semiHidden/>
    <w:rsid w:val="00852D39"/>
    <w:pPr>
      <w:spacing w:line="360" w:lineRule="auto"/>
    </w:pPr>
    <w:rPr>
      <w:rFonts w:ascii="Bookman Old Style" w:hAnsi="Bookman Old Style"/>
      <w:kern w:val="18"/>
      <w:szCs w:val="20"/>
    </w:rPr>
  </w:style>
  <w:style w:type="character" w:customStyle="1" w:styleId="Textoindependiente2Car">
    <w:name w:val="Texto independiente 2 Car"/>
    <w:link w:val="Textoindependiente2"/>
    <w:semiHidden/>
    <w:rsid w:val="00852D39"/>
    <w:rPr>
      <w:rFonts w:ascii="Bookman Old Style" w:eastAsia="Times New Roman" w:hAnsi="Bookman Old Style" w:cs="Times New Roman"/>
      <w:kern w:val="18"/>
      <w:sz w:val="24"/>
      <w:szCs w:val="20"/>
      <w:lang w:val="es-ES" w:eastAsia="es-ES"/>
    </w:rPr>
  </w:style>
  <w:style w:type="paragraph" w:styleId="Piedepgina">
    <w:name w:val="footer"/>
    <w:basedOn w:val="Normal"/>
    <w:link w:val="PiedepginaCar"/>
    <w:rsid w:val="00852D39"/>
    <w:pPr>
      <w:tabs>
        <w:tab w:val="center" w:pos="4419"/>
        <w:tab w:val="right" w:pos="8838"/>
      </w:tabs>
      <w:spacing w:line="360" w:lineRule="auto"/>
      <w:jc w:val="both"/>
    </w:pPr>
    <w:rPr>
      <w:kern w:val="18"/>
      <w:szCs w:val="20"/>
      <w:lang w:val="es-ES_tradnl"/>
    </w:rPr>
  </w:style>
  <w:style w:type="character" w:customStyle="1" w:styleId="PiedepginaCar">
    <w:name w:val="Pie de página Car"/>
    <w:link w:val="Piedepgina"/>
    <w:uiPriority w:val="99"/>
    <w:rsid w:val="00852D39"/>
    <w:rPr>
      <w:rFonts w:ascii="Arial" w:eastAsia="Times New Roman" w:hAnsi="Arial" w:cs="Times New Roman"/>
      <w:kern w:val="18"/>
      <w:sz w:val="24"/>
      <w:szCs w:val="20"/>
      <w:lang w:val="es-ES_tradnl" w:eastAsia="es-ES"/>
    </w:rPr>
  </w:style>
  <w:style w:type="paragraph" w:styleId="Encabezado">
    <w:name w:val="header"/>
    <w:basedOn w:val="Normal"/>
    <w:link w:val="EncabezadoCar"/>
    <w:semiHidden/>
    <w:rsid w:val="00852D39"/>
    <w:pPr>
      <w:tabs>
        <w:tab w:val="center" w:pos="4252"/>
        <w:tab w:val="right" w:pos="8504"/>
      </w:tabs>
    </w:pPr>
  </w:style>
  <w:style w:type="character" w:customStyle="1" w:styleId="EncabezadoCar">
    <w:name w:val="Encabezado Car"/>
    <w:link w:val="Encabezado"/>
    <w:semiHidden/>
    <w:rsid w:val="00852D39"/>
    <w:rPr>
      <w:rFonts w:ascii="Arial" w:eastAsia="Times New Roman" w:hAnsi="Arial" w:cs="Times New Roman"/>
      <w:sz w:val="24"/>
      <w:szCs w:val="24"/>
      <w:lang w:val="es-ES" w:eastAsia="es-ES"/>
    </w:rPr>
  </w:style>
  <w:style w:type="paragraph" w:customStyle="1" w:styleId="ecmsonormal">
    <w:name w:val="ec_msonormal"/>
    <w:basedOn w:val="Normal"/>
    <w:rsid w:val="00852D39"/>
    <w:pPr>
      <w:spacing w:before="100" w:beforeAutospacing="1" w:after="100" w:afterAutospacing="1"/>
    </w:pPr>
    <w:rPr>
      <w:rFonts w:ascii="Times New Roman" w:hAnsi="Times New Roman"/>
    </w:rPr>
  </w:style>
  <w:style w:type="paragraph" w:styleId="Textodeglobo">
    <w:name w:val="Balloon Text"/>
    <w:basedOn w:val="Normal"/>
    <w:link w:val="TextodegloboCar"/>
    <w:uiPriority w:val="99"/>
    <w:semiHidden/>
    <w:unhideWhenUsed/>
    <w:rsid w:val="00AD712C"/>
    <w:rPr>
      <w:rFonts w:ascii="Tahoma" w:hAnsi="Tahoma"/>
      <w:sz w:val="16"/>
      <w:szCs w:val="16"/>
    </w:rPr>
  </w:style>
  <w:style w:type="character" w:customStyle="1" w:styleId="TextodegloboCar">
    <w:name w:val="Texto de globo Car"/>
    <w:link w:val="Textodeglobo"/>
    <w:uiPriority w:val="99"/>
    <w:semiHidden/>
    <w:rsid w:val="00AD712C"/>
    <w:rPr>
      <w:rFonts w:ascii="Tahoma" w:eastAsia="Times New Roman" w:hAnsi="Tahoma" w:cs="Tahoma"/>
      <w:sz w:val="16"/>
      <w:szCs w:val="16"/>
      <w:lang w:val="es-ES" w:eastAsia="es-ES"/>
    </w:rPr>
  </w:style>
  <w:style w:type="paragraph" w:styleId="Prrafodelista">
    <w:name w:val="List Paragraph"/>
    <w:basedOn w:val="Normal"/>
    <w:uiPriority w:val="34"/>
    <w:qFormat/>
    <w:rsid w:val="00A35F7E"/>
    <w:pPr>
      <w:suppressAutoHyphens/>
      <w:ind w:left="720"/>
      <w:contextualSpacing/>
    </w:pPr>
    <w:rPr>
      <w:rFonts w:cs="Arial"/>
      <w:lang w:eastAsia="zh-CN"/>
    </w:rPr>
  </w:style>
  <w:style w:type="paragraph" w:customStyle="1" w:styleId="Bodyby">
    <w:name w:val="Body.by"/>
    <w:basedOn w:val="Normal"/>
    <w:rsid w:val="00AB260F"/>
    <w:pPr>
      <w:spacing w:after="260" w:line="260" w:lineRule="exact"/>
    </w:pPr>
    <w:rPr>
      <w:rFonts w:ascii="Times" w:hAnsi="Times"/>
      <w:sz w:val="22"/>
      <w:szCs w:val="20"/>
      <w:lang w:eastAsia="es-UY"/>
    </w:rPr>
  </w:style>
  <w:style w:type="paragraph" w:styleId="HTMLconformatoprevio">
    <w:name w:val="HTML Preformatted"/>
    <w:basedOn w:val="Normal"/>
    <w:link w:val="HTMLconformatoprevioCar"/>
    <w:uiPriority w:val="99"/>
    <w:unhideWhenUsed/>
    <w:rsid w:val="00AB2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onformatoprevioCar">
    <w:name w:val="HTML con formato previo Car"/>
    <w:link w:val="HTMLconformatoprevio"/>
    <w:uiPriority w:val="99"/>
    <w:rsid w:val="00AB260F"/>
    <w:rPr>
      <w:rFonts w:ascii="Courier New" w:eastAsia="Times New Roman" w:hAnsi="Courier New"/>
      <w:lang w:val="x-none" w:eastAsia="x-none"/>
    </w:rPr>
  </w:style>
  <w:style w:type="paragraph" w:styleId="Sangra2detindependiente">
    <w:name w:val="Body Text Indent 2"/>
    <w:basedOn w:val="Normal"/>
    <w:link w:val="Sangra2detindependienteCar"/>
    <w:uiPriority w:val="99"/>
    <w:semiHidden/>
    <w:unhideWhenUsed/>
    <w:rsid w:val="00AF202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F202B"/>
    <w:rPr>
      <w:rFonts w:ascii="Arial" w:eastAsia="Times New Roman" w:hAnsi="Arial"/>
      <w:sz w:val="24"/>
      <w:szCs w:val="24"/>
      <w:lang w:val="es-ES" w:eastAsia="es-ES"/>
    </w:rPr>
  </w:style>
  <w:style w:type="paragraph" w:styleId="Sangradetextonormal">
    <w:name w:val="Body Text Indent"/>
    <w:basedOn w:val="Normal"/>
    <w:link w:val="SangradetextonormalCar"/>
    <w:uiPriority w:val="99"/>
    <w:semiHidden/>
    <w:unhideWhenUsed/>
    <w:rsid w:val="005F2A80"/>
    <w:pPr>
      <w:spacing w:after="120"/>
      <w:ind w:left="283"/>
    </w:pPr>
  </w:style>
  <w:style w:type="character" w:customStyle="1" w:styleId="SangradetextonormalCar">
    <w:name w:val="Sangría de texto normal Car"/>
    <w:basedOn w:val="Fuentedeprrafopredeter"/>
    <w:link w:val="Sangradetextonormal"/>
    <w:uiPriority w:val="99"/>
    <w:semiHidden/>
    <w:rsid w:val="005F2A80"/>
    <w:rPr>
      <w:rFonts w:ascii="Arial" w:eastAsia="Times New Roman" w:hAnsi="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2E"/>
    <w:rPr>
      <w:rFonts w:ascii="Arial" w:eastAsia="Times New Roman" w:hAnsi="Arial"/>
      <w:sz w:val="24"/>
      <w:szCs w:val="24"/>
      <w:lang w:val="es-ES" w:eastAsia="es-ES"/>
    </w:rPr>
  </w:style>
  <w:style w:type="paragraph" w:styleId="Ttulo1">
    <w:name w:val="heading 1"/>
    <w:basedOn w:val="Normal"/>
    <w:next w:val="Normal"/>
    <w:link w:val="Ttulo1Car"/>
    <w:qFormat/>
    <w:rsid w:val="00852D39"/>
    <w:pPr>
      <w:keepNext/>
      <w:widowControl w:val="0"/>
      <w:spacing w:line="360" w:lineRule="auto"/>
      <w:jc w:val="center"/>
      <w:outlineLvl w:val="0"/>
    </w:pPr>
    <w:rPr>
      <w:b/>
      <w:bCs/>
      <w:snapToGrid w:val="0"/>
      <w:szCs w:val="20"/>
    </w:rPr>
  </w:style>
  <w:style w:type="paragraph" w:styleId="Ttulo2">
    <w:name w:val="heading 2"/>
    <w:basedOn w:val="Normal"/>
    <w:next w:val="Textoindependiente"/>
    <w:link w:val="Ttulo2Car"/>
    <w:qFormat/>
    <w:rsid w:val="00852D39"/>
    <w:pPr>
      <w:spacing w:after="170" w:line="360" w:lineRule="auto"/>
      <w:outlineLvl w:val="1"/>
    </w:pPr>
    <w:rPr>
      <w:b/>
      <w:kern w:val="18"/>
      <w:szCs w:val="20"/>
    </w:rPr>
  </w:style>
  <w:style w:type="paragraph" w:styleId="Ttulo3">
    <w:name w:val="heading 3"/>
    <w:basedOn w:val="Normal"/>
    <w:next w:val="Normal"/>
    <w:link w:val="Ttulo3Car"/>
    <w:qFormat/>
    <w:rsid w:val="00852D39"/>
    <w:pPr>
      <w:keepNext/>
      <w:spacing w:before="240" w:after="60"/>
      <w:outlineLvl w:val="2"/>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004E2E"/>
    <w:pPr>
      <w:spacing w:after="240" w:line="240" w:lineRule="atLeast"/>
      <w:jc w:val="both"/>
    </w:pPr>
    <w:rPr>
      <w:kern w:val="18"/>
      <w:szCs w:val="20"/>
      <w:lang w:val="es-ES_tradnl"/>
    </w:rPr>
  </w:style>
  <w:style w:type="character" w:customStyle="1" w:styleId="TextoindependienteCar">
    <w:name w:val="Texto independiente Car"/>
    <w:link w:val="Textoindependiente"/>
    <w:semiHidden/>
    <w:rsid w:val="00004E2E"/>
    <w:rPr>
      <w:rFonts w:ascii="Arial" w:eastAsia="Times New Roman" w:hAnsi="Arial" w:cs="Times New Roman"/>
      <w:kern w:val="18"/>
      <w:sz w:val="24"/>
      <w:szCs w:val="20"/>
      <w:lang w:val="es-ES_tradnl" w:eastAsia="es-ES"/>
    </w:rPr>
  </w:style>
  <w:style w:type="paragraph" w:styleId="Textoindependiente3">
    <w:name w:val="Body Text 3"/>
    <w:basedOn w:val="Normal"/>
    <w:link w:val="Textoindependiente3Car"/>
    <w:semiHidden/>
    <w:rsid w:val="00004E2E"/>
    <w:pPr>
      <w:spacing w:line="360" w:lineRule="auto"/>
      <w:jc w:val="right"/>
    </w:pPr>
  </w:style>
  <w:style w:type="character" w:customStyle="1" w:styleId="Textoindependiente3Car">
    <w:name w:val="Texto independiente 3 Car"/>
    <w:link w:val="Textoindependiente3"/>
    <w:semiHidden/>
    <w:rsid w:val="00004E2E"/>
    <w:rPr>
      <w:rFonts w:ascii="Arial" w:eastAsia="Times New Roman" w:hAnsi="Arial" w:cs="Times New Roman"/>
      <w:sz w:val="24"/>
      <w:szCs w:val="24"/>
      <w:lang w:val="es-ES" w:eastAsia="es-ES"/>
    </w:rPr>
  </w:style>
  <w:style w:type="character" w:customStyle="1" w:styleId="Ttulo1Car">
    <w:name w:val="Título 1 Car"/>
    <w:link w:val="Ttulo1"/>
    <w:rsid w:val="00852D39"/>
    <w:rPr>
      <w:rFonts w:ascii="Arial" w:eastAsia="Times New Roman" w:hAnsi="Arial" w:cs="Arial"/>
      <w:b/>
      <w:bCs/>
      <w:snapToGrid w:val="0"/>
      <w:sz w:val="24"/>
      <w:szCs w:val="20"/>
      <w:lang w:val="es-ES" w:eastAsia="es-ES"/>
    </w:rPr>
  </w:style>
  <w:style w:type="paragraph" w:styleId="Lista">
    <w:name w:val="List"/>
    <w:basedOn w:val="Normal"/>
    <w:semiHidden/>
    <w:rsid w:val="00852D39"/>
    <w:pPr>
      <w:spacing w:line="360" w:lineRule="auto"/>
      <w:ind w:left="283" w:hanging="283"/>
      <w:jc w:val="both"/>
    </w:pPr>
    <w:rPr>
      <w:kern w:val="18"/>
      <w:szCs w:val="20"/>
      <w:lang w:val="es-ES_tradnl"/>
    </w:rPr>
  </w:style>
  <w:style w:type="paragraph" w:styleId="Subttulo">
    <w:name w:val="Subtitle"/>
    <w:basedOn w:val="Normal"/>
    <w:link w:val="SubttuloCar"/>
    <w:qFormat/>
    <w:rsid w:val="00852D39"/>
    <w:pPr>
      <w:spacing w:line="360" w:lineRule="auto"/>
      <w:jc w:val="both"/>
    </w:pPr>
    <w:rPr>
      <w:rFonts w:ascii="Bookman Old Style" w:hAnsi="Bookman Old Style"/>
      <w:b/>
      <w:kern w:val="18"/>
      <w:szCs w:val="20"/>
    </w:rPr>
  </w:style>
  <w:style w:type="character" w:customStyle="1" w:styleId="SubttuloCar">
    <w:name w:val="Subtítulo Car"/>
    <w:link w:val="Subttulo"/>
    <w:rsid w:val="00852D39"/>
    <w:rPr>
      <w:rFonts w:ascii="Bookman Old Style" w:eastAsia="Times New Roman" w:hAnsi="Bookman Old Style" w:cs="Times New Roman"/>
      <w:b/>
      <w:kern w:val="18"/>
      <w:sz w:val="24"/>
      <w:szCs w:val="20"/>
      <w:lang w:val="es-ES" w:eastAsia="es-ES"/>
    </w:rPr>
  </w:style>
  <w:style w:type="character" w:customStyle="1" w:styleId="Ttulo2Car">
    <w:name w:val="Título 2 Car"/>
    <w:link w:val="Ttulo2"/>
    <w:rsid w:val="00852D39"/>
    <w:rPr>
      <w:rFonts w:ascii="Arial" w:eastAsia="Times New Roman" w:hAnsi="Arial" w:cs="Times New Roman"/>
      <w:b/>
      <w:kern w:val="18"/>
      <w:sz w:val="24"/>
      <w:szCs w:val="20"/>
      <w:lang w:val="es-ES" w:eastAsia="es-ES"/>
    </w:rPr>
  </w:style>
  <w:style w:type="character" w:customStyle="1" w:styleId="Ttulo3Car">
    <w:name w:val="Título 3 Car"/>
    <w:link w:val="Ttulo3"/>
    <w:rsid w:val="00852D39"/>
    <w:rPr>
      <w:rFonts w:ascii="Arial" w:eastAsia="Times New Roman" w:hAnsi="Arial" w:cs="Arial"/>
      <w:b/>
      <w:bCs/>
      <w:sz w:val="26"/>
      <w:szCs w:val="26"/>
      <w:lang w:val="es-ES" w:eastAsia="es-ES"/>
    </w:rPr>
  </w:style>
  <w:style w:type="paragraph" w:styleId="Textoindependiente2">
    <w:name w:val="Body Text 2"/>
    <w:basedOn w:val="Normal"/>
    <w:link w:val="Textoindependiente2Car"/>
    <w:semiHidden/>
    <w:rsid w:val="00852D39"/>
    <w:pPr>
      <w:spacing w:line="360" w:lineRule="auto"/>
    </w:pPr>
    <w:rPr>
      <w:rFonts w:ascii="Bookman Old Style" w:hAnsi="Bookman Old Style"/>
      <w:kern w:val="18"/>
      <w:szCs w:val="20"/>
    </w:rPr>
  </w:style>
  <w:style w:type="character" w:customStyle="1" w:styleId="Textoindependiente2Car">
    <w:name w:val="Texto independiente 2 Car"/>
    <w:link w:val="Textoindependiente2"/>
    <w:semiHidden/>
    <w:rsid w:val="00852D39"/>
    <w:rPr>
      <w:rFonts w:ascii="Bookman Old Style" w:eastAsia="Times New Roman" w:hAnsi="Bookman Old Style" w:cs="Times New Roman"/>
      <w:kern w:val="18"/>
      <w:sz w:val="24"/>
      <w:szCs w:val="20"/>
      <w:lang w:val="es-ES" w:eastAsia="es-ES"/>
    </w:rPr>
  </w:style>
  <w:style w:type="paragraph" w:styleId="Piedepgina">
    <w:name w:val="footer"/>
    <w:basedOn w:val="Normal"/>
    <w:link w:val="PiedepginaCar"/>
    <w:rsid w:val="00852D39"/>
    <w:pPr>
      <w:tabs>
        <w:tab w:val="center" w:pos="4419"/>
        <w:tab w:val="right" w:pos="8838"/>
      </w:tabs>
      <w:spacing w:line="360" w:lineRule="auto"/>
      <w:jc w:val="both"/>
    </w:pPr>
    <w:rPr>
      <w:kern w:val="18"/>
      <w:szCs w:val="20"/>
      <w:lang w:val="es-ES_tradnl"/>
    </w:rPr>
  </w:style>
  <w:style w:type="character" w:customStyle="1" w:styleId="PiedepginaCar">
    <w:name w:val="Pie de página Car"/>
    <w:link w:val="Piedepgina"/>
    <w:uiPriority w:val="99"/>
    <w:rsid w:val="00852D39"/>
    <w:rPr>
      <w:rFonts w:ascii="Arial" w:eastAsia="Times New Roman" w:hAnsi="Arial" w:cs="Times New Roman"/>
      <w:kern w:val="18"/>
      <w:sz w:val="24"/>
      <w:szCs w:val="20"/>
      <w:lang w:val="es-ES_tradnl" w:eastAsia="es-ES"/>
    </w:rPr>
  </w:style>
  <w:style w:type="paragraph" w:styleId="Encabezado">
    <w:name w:val="header"/>
    <w:basedOn w:val="Normal"/>
    <w:link w:val="EncabezadoCar"/>
    <w:semiHidden/>
    <w:rsid w:val="00852D39"/>
    <w:pPr>
      <w:tabs>
        <w:tab w:val="center" w:pos="4252"/>
        <w:tab w:val="right" w:pos="8504"/>
      </w:tabs>
    </w:pPr>
  </w:style>
  <w:style w:type="character" w:customStyle="1" w:styleId="EncabezadoCar">
    <w:name w:val="Encabezado Car"/>
    <w:link w:val="Encabezado"/>
    <w:semiHidden/>
    <w:rsid w:val="00852D39"/>
    <w:rPr>
      <w:rFonts w:ascii="Arial" w:eastAsia="Times New Roman" w:hAnsi="Arial" w:cs="Times New Roman"/>
      <w:sz w:val="24"/>
      <w:szCs w:val="24"/>
      <w:lang w:val="es-ES" w:eastAsia="es-ES"/>
    </w:rPr>
  </w:style>
  <w:style w:type="paragraph" w:customStyle="1" w:styleId="ecmsonormal">
    <w:name w:val="ec_msonormal"/>
    <w:basedOn w:val="Normal"/>
    <w:rsid w:val="00852D39"/>
    <w:pPr>
      <w:spacing w:before="100" w:beforeAutospacing="1" w:after="100" w:afterAutospacing="1"/>
    </w:pPr>
    <w:rPr>
      <w:rFonts w:ascii="Times New Roman" w:hAnsi="Times New Roman"/>
    </w:rPr>
  </w:style>
  <w:style w:type="paragraph" w:styleId="Textodeglobo">
    <w:name w:val="Balloon Text"/>
    <w:basedOn w:val="Normal"/>
    <w:link w:val="TextodegloboCar"/>
    <w:uiPriority w:val="99"/>
    <w:semiHidden/>
    <w:unhideWhenUsed/>
    <w:rsid w:val="00AD712C"/>
    <w:rPr>
      <w:rFonts w:ascii="Tahoma" w:hAnsi="Tahoma"/>
      <w:sz w:val="16"/>
      <w:szCs w:val="16"/>
    </w:rPr>
  </w:style>
  <w:style w:type="character" w:customStyle="1" w:styleId="TextodegloboCar">
    <w:name w:val="Texto de globo Car"/>
    <w:link w:val="Textodeglobo"/>
    <w:uiPriority w:val="99"/>
    <w:semiHidden/>
    <w:rsid w:val="00AD712C"/>
    <w:rPr>
      <w:rFonts w:ascii="Tahoma" w:eastAsia="Times New Roman" w:hAnsi="Tahoma" w:cs="Tahoma"/>
      <w:sz w:val="16"/>
      <w:szCs w:val="16"/>
      <w:lang w:val="es-ES" w:eastAsia="es-ES"/>
    </w:rPr>
  </w:style>
  <w:style w:type="paragraph" w:styleId="Prrafodelista">
    <w:name w:val="List Paragraph"/>
    <w:basedOn w:val="Normal"/>
    <w:uiPriority w:val="34"/>
    <w:qFormat/>
    <w:rsid w:val="00A35F7E"/>
    <w:pPr>
      <w:suppressAutoHyphens/>
      <w:ind w:left="720"/>
      <w:contextualSpacing/>
    </w:pPr>
    <w:rPr>
      <w:rFonts w:cs="Arial"/>
      <w:lang w:eastAsia="zh-CN"/>
    </w:rPr>
  </w:style>
  <w:style w:type="paragraph" w:customStyle="1" w:styleId="Bodyby">
    <w:name w:val="Body.by"/>
    <w:basedOn w:val="Normal"/>
    <w:rsid w:val="00AB260F"/>
    <w:pPr>
      <w:spacing w:after="260" w:line="260" w:lineRule="exact"/>
    </w:pPr>
    <w:rPr>
      <w:rFonts w:ascii="Times" w:hAnsi="Times"/>
      <w:sz w:val="22"/>
      <w:szCs w:val="20"/>
      <w:lang w:eastAsia="es-UY"/>
    </w:rPr>
  </w:style>
  <w:style w:type="paragraph" w:styleId="HTMLconformatoprevio">
    <w:name w:val="HTML Preformatted"/>
    <w:basedOn w:val="Normal"/>
    <w:link w:val="HTMLconformatoprevioCar"/>
    <w:uiPriority w:val="99"/>
    <w:unhideWhenUsed/>
    <w:rsid w:val="00AB2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onformatoprevioCar">
    <w:name w:val="HTML con formato previo Car"/>
    <w:link w:val="HTMLconformatoprevio"/>
    <w:uiPriority w:val="99"/>
    <w:rsid w:val="00AB260F"/>
    <w:rPr>
      <w:rFonts w:ascii="Courier New" w:eastAsia="Times New Roman" w:hAnsi="Courier New"/>
      <w:lang w:val="x-none" w:eastAsia="x-none"/>
    </w:rPr>
  </w:style>
  <w:style w:type="paragraph" w:styleId="Sangra2detindependiente">
    <w:name w:val="Body Text Indent 2"/>
    <w:basedOn w:val="Normal"/>
    <w:link w:val="Sangra2detindependienteCar"/>
    <w:uiPriority w:val="99"/>
    <w:semiHidden/>
    <w:unhideWhenUsed/>
    <w:rsid w:val="00AF202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F202B"/>
    <w:rPr>
      <w:rFonts w:ascii="Arial" w:eastAsia="Times New Roman" w:hAnsi="Arial"/>
      <w:sz w:val="24"/>
      <w:szCs w:val="24"/>
      <w:lang w:val="es-ES" w:eastAsia="es-ES"/>
    </w:rPr>
  </w:style>
  <w:style w:type="paragraph" w:styleId="Sangradetextonormal">
    <w:name w:val="Body Text Indent"/>
    <w:basedOn w:val="Normal"/>
    <w:link w:val="SangradetextonormalCar"/>
    <w:uiPriority w:val="99"/>
    <w:semiHidden/>
    <w:unhideWhenUsed/>
    <w:rsid w:val="005F2A80"/>
    <w:pPr>
      <w:spacing w:after="120"/>
      <w:ind w:left="283"/>
    </w:pPr>
  </w:style>
  <w:style w:type="character" w:customStyle="1" w:styleId="SangradetextonormalCar">
    <w:name w:val="Sangría de texto normal Car"/>
    <w:basedOn w:val="Fuentedeprrafopredeter"/>
    <w:link w:val="Sangradetextonormal"/>
    <w:uiPriority w:val="99"/>
    <w:semiHidden/>
    <w:rsid w:val="005F2A80"/>
    <w:rPr>
      <w:rFonts w:ascii="Arial" w:eastAsia="Times New Roman" w:hAnsi="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868505">
      <w:bodyDiv w:val="1"/>
      <w:marLeft w:val="0"/>
      <w:marRight w:val="0"/>
      <w:marTop w:val="0"/>
      <w:marBottom w:val="0"/>
      <w:divBdr>
        <w:top w:val="none" w:sz="0" w:space="0" w:color="auto"/>
        <w:left w:val="none" w:sz="0" w:space="0" w:color="auto"/>
        <w:bottom w:val="none" w:sz="0" w:space="0" w:color="auto"/>
        <w:right w:val="none" w:sz="0" w:space="0" w:color="auto"/>
      </w:divBdr>
    </w:div>
    <w:div w:id="1250773026">
      <w:bodyDiv w:val="1"/>
      <w:marLeft w:val="0"/>
      <w:marRight w:val="0"/>
      <w:marTop w:val="0"/>
      <w:marBottom w:val="0"/>
      <w:divBdr>
        <w:top w:val="none" w:sz="0" w:space="0" w:color="auto"/>
        <w:left w:val="none" w:sz="0" w:space="0" w:color="auto"/>
        <w:bottom w:val="none" w:sz="0" w:space="0" w:color="auto"/>
        <w:right w:val="none" w:sz="0" w:space="0" w:color="auto"/>
      </w:divBdr>
    </w:div>
    <w:div w:id="1577785111">
      <w:bodyDiv w:val="1"/>
      <w:marLeft w:val="0"/>
      <w:marRight w:val="0"/>
      <w:marTop w:val="0"/>
      <w:marBottom w:val="0"/>
      <w:divBdr>
        <w:top w:val="none" w:sz="0" w:space="0" w:color="auto"/>
        <w:left w:val="none" w:sz="0" w:space="0" w:color="auto"/>
        <w:bottom w:val="none" w:sz="0" w:space="0" w:color="auto"/>
        <w:right w:val="none" w:sz="0" w:space="0" w:color="auto"/>
      </w:divBdr>
    </w:div>
    <w:div w:id="213359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3C6F4-1BE0-43AB-95F8-86C77308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4288</Words>
  <Characters>23586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12495209</dc:creator>
  <cp:lastModifiedBy>Tribunal1</cp:lastModifiedBy>
  <cp:revision>7</cp:revision>
  <cp:lastPrinted>2019-02-13T18:30:00Z</cp:lastPrinted>
  <dcterms:created xsi:type="dcterms:W3CDTF">2019-02-13T18:30:00Z</dcterms:created>
  <dcterms:modified xsi:type="dcterms:W3CDTF">2019-03-11T16:59:00Z</dcterms:modified>
</cp:coreProperties>
</file>