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CD" w:rsidRPr="00786EEB" w:rsidRDefault="000A09CD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311/19</w:t>
      </w:r>
    </w:p>
    <w:p w:rsidR="000A09CD" w:rsidRDefault="000A09C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A09CD" w:rsidRPr="00762B34" w:rsidRDefault="000A09C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A09CD" w:rsidRPr="00762B34" w:rsidRDefault="000A09C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A09CD" w:rsidRPr="00762B34" w:rsidRDefault="000A09C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A09CD" w:rsidRPr="00762B34" w:rsidRDefault="000A09C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A09CD" w:rsidRPr="00762B34" w:rsidRDefault="000A09C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30 DE ENERO </w:t>
      </w:r>
      <w:r>
        <w:rPr>
          <w:rFonts w:ascii="Helvetica" w:hAnsi="Helvetica"/>
          <w:b/>
          <w:lang w:val="es-ES_tradnl"/>
        </w:rPr>
        <w:t>DE 2019</w:t>
      </w:r>
    </w:p>
    <w:p w:rsidR="000A09CD" w:rsidRPr="00762B34" w:rsidRDefault="000A09C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A09CD" w:rsidRPr="00762B34" w:rsidRDefault="000A09CD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2018-17-1-0002760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5733/18</w:t>
      </w:r>
      <w:r w:rsidRPr="00762B34">
        <w:rPr>
          <w:rFonts w:cs="Arial"/>
          <w:b/>
          <w:lang w:val="en-US"/>
        </w:rPr>
        <w:t>)</w:t>
      </w:r>
    </w:p>
    <w:p w:rsidR="000A09CD" w:rsidRDefault="000A09C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A09CD" w:rsidRDefault="000B1D03" w:rsidP="000A09C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los antecedentes remitidos por la Administración de Servicios de Salud del Estado (A.S.S.E.), relacionados con el convenio de complementación suscrito con la Cooperativa  Regional de Asistenci</w:t>
      </w:r>
      <w:r w:rsidR="000A09CD">
        <w:rPr>
          <w:rFonts w:cs="Arial"/>
        </w:rPr>
        <w:t>a Médica del Este (C.R.A.M.E.);</w:t>
      </w:r>
    </w:p>
    <w:p w:rsidR="000A09CD" w:rsidRDefault="000B1D03" w:rsidP="000A09C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RESULTANDO: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</w:t>
      </w:r>
      <w:r w:rsidRPr="00C0136E">
        <w:rPr>
          <w:rFonts w:cs="Arial"/>
        </w:rPr>
        <w:t xml:space="preserve">que </w:t>
      </w:r>
      <w:r>
        <w:rPr>
          <w:rFonts w:cs="Arial"/>
        </w:rPr>
        <w:t>este Tribunal, con fecha 16 de mayo de 2018, acordó n</w:t>
      </w:r>
      <w:r w:rsidRPr="0011063D">
        <w:rPr>
          <w:rFonts w:cs="Arial"/>
        </w:rPr>
        <w:t>o formular observaciones al convenio</w:t>
      </w:r>
      <w:r>
        <w:rPr>
          <w:rFonts w:cs="Arial"/>
        </w:rPr>
        <w:t xml:space="preserve"> de complementación suscrito </w:t>
      </w:r>
      <w:r w:rsidR="00013525">
        <w:rPr>
          <w:rFonts w:cs="Arial"/>
        </w:rPr>
        <w:t xml:space="preserve">por ASSE </w:t>
      </w:r>
      <w:r>
        <w:rPr>
          <w:rFonts w:cs="Arial"/>
        </w:rPr>
        <w:t xml:space="preserve">con C.R.A.M.E., cometiendo </w:t>
      </w:r>
      <w:r w:rsidRPr="0011063D">
        <w:rPr>
          <w:rFonts w:cs="Arial"/>
        </w:rPr>
        <w:t xml:space="preserve">a la Contadora Delegada la intervención del gasto resultante de la implementación del acuerdo, previo control de </w:t>
      </w:r>
      <w:r w:rsidR="000A09CD">
        <w:rPr>
          <w:rFonts w:cs="Arial"/>
        </w:rPr>
        <w:t>su imputación con cargo a G</w:t>
      </w:r>
      <w:r w:rsidRPr="0011063D">
        <w:rPr>
          <w:rFonts w:cs="Arial"/>
        </w:rPr>
        <w:t>rupo adecuado y con disponibilidad suficiente, así como del cumpl</w:t>
      </w:r>
      <w:r w:rsidR="000A09CD">
        <w:rPr>
          <w:rFonts w:cs="Arial"/>
        </w:rPr>
        <w:t>imiento de lo dispuesto en los A</w:t>
      </w:r>
      <w:r w:rsidRPr="0011063D">
        <w:rPr>
          <w:rFonts w:cs="Arial"/>
        </w:rPr>
        <w:t>rtículos 46 y 72 del TOCAF</w:t>
      </w:r>
      <w:r>
        <w:rPr>
          <w:rFonts w:cs="Arial"/>
        </w:rPr>
        <w:t>;</w:t>
      </w:r>
    </w:p>
    <w:p w:rsidR="000A09CD" w:rsidRDefault="000B1D03" w:rsidP="000A09CD">
      <w:pPr>
        <w:spacing w:line="360" w:lineRule="auto"/>
        <w:ind w:firstLine="2835"/>
        <w:jc w:val="both"/>
        <w:rPr>
          <w:rFonts w:cs="Arial"/>
        </w:rPr>
      </w:pPr>
      <w:r w:rsidRPr="0063305D">
        <w:rPr>
          <w:rFonts w:cs="Arial"/>
          <w:b/>
        </w:rPr>
        <w:t>2)</w:t>
      </w:r>
      <w:r>
        <w:rPr>
          <w:rFonts w:cs="Arial"/>
        </w:rPr>
        <w:t xml:space="preserve"> que posteriormente, se remitió una </w:t>
      </w:r>
      <w:r w:rsidR="00B13E71">
        <w:rPr>
          <w:rFonts w:cs="Arial"/>
        </w:rPr>
        <w:t>modificación</w:t>
      </w:r>
      <w:r>
        <w:rPr>
          <w:rFonts w:cs="Arial"/>
        </w:rPr>
        <w:t xml:space="preserve"> al convenio referido, incluyendo </w:t>
      </w:r>
      <w:r w:rsidR="00013525">
        <w:rPr>
          <w:rFonts w:cs="Arial"/>
        </w:rPr>
        <w:t xml:space="preserve">el </w:t>
      </w:r>
      <w:r>
        <w:rPr>
          <w:rFonts w:cs="Arial"/>
        </w:rPr>
        <w:t xml:space="preserve">cambio </w:t>
      </w:r>
      <w:r w:rsidR="00013525">
        <w:rPr>
          <w:rFonts w:cs="Arial"/>
        </w:rPr>
        <w:t>de</w:t>
      </w:r>
      <w:r>
        <w:rPr>
          <w:rFonts w:cs="Arial"/>
        </w:rPr>
        <w:t xml:space="preserve">  la cláusula </w:t>
      </w:r>
      <w:r w:rsidR="00AD75EA">
        <w:rPr>
          <w:rFonts w:cs="Arial"/>
        </w:rPr>
        <w:t>séptima del mismo, la cual quedó</w:t>
      </w:r>
      <w:r>
        <w:rPr>
          <w:rFonts w:cs="Arial"/>
        </w:rPr>
        <w:t xml:space="preserve"> redactada de la siguiente manera: “</w:t>
      </w:r>
      <w:r w:rsidRPr="00232A76">
        <w:rPr>
          <w:rFonts w:cs="Arial"/>
          <w:i/>
        </w:rPr>
        <w:t>Este convenio comenzará a regir a partir del día siguiente a la intervención del TCR y tendrá un plazo de un año contado a partir de la misma, y pudiendo renovar por un plazo similar previo acuerdo de partes con antelación al vencimiento general</w:t>
      </w:r>
      <w:r>
        <w:rPr>
          <w:rFonts w:cs="Arial"/>
        </w:rPr>
        <w:t>”;</w:t>
      </w:r>
    </w:p>
    <w:p w:rsidR="000A09CD" w:rsidRDefault="000B1D03" w:rsidP="000A09CD">
      <w:pPr>
        <w:spacing w:line="360" w:lineRule="auto"/>
        <w:ind w:firstLine="2835"/>
        <w:jc w:val="both"/>
        <w:rPr>
          <w:rFonts w:cs="Arial"/>
        </w:rPr>
      </w:pPr>
      <w:r w:rsidRPr="000B1D03">
        <w:rPr>
          <w:rFonts w:cs="Arial"/>
          <w:b/>
        </w:rPr>
        <w:t>3)</w:t>
      </w:r>
      <w:r w:rsidRPr="000B1D03">
        <w:rPr>
          <w:rFonts w:cs="Arial"/>
          <w:b/>
          <w:bCs/>
        </w:rPr>
        <w:t xml:space="preserve"> </w:t>
      </w:r>
      <w:r>
        <w:rPr>
          <w:rFonts w:cs="Arial"/>
        </w:rPr>
        <w:t xml:space="preserve"> </w:t>
      </w:r>
      <w:r w:rsidRPr="00C0136E">
        <w:rPr>
          <w:rFonts w:cs="Arial"/>
        </w:rPr>
        <w:t xml:space="preserve">que </w:t>
      </w:r>
      <w:r>
        <w:rPr>
          <w:rFonts w:cs="Arial"/>
        </w:rPr>
        <w:t>este Tribunal, con fecha 18 de octubre de 2018, acordó n</w:t>
      </w:r>
      <w:r w:rsidRPr="0011063D">
        <w:rPr>
          <w:rFonts w:cs="Arial"/>
        </w:rPr>
        <w:t>o formular observaciones a</w:t>
      </w:r>
      <w:r>
        <w:rPr>
          <w:rFonts w:cs="Arial"/>
        </w:rPr>
        <w:t xml:space="preserve"> </w:t>
      </w:r>
      <w:r w:rsidRPr="0011063D">
        <w:rPr>
          <w:rFonts w:cs="Arial"/>
        </w:rPr>
        <w:t>l</w:t>
      </w:r>
      <w:r>
        <w:rPr>
          <w:rFonts w:cs="Arial"/>
        </w:rPr>
        <w:t>a modificación remitida</w:t>
      </w:r>
      <w:r w:rsidR="009A7E1F">
        <w:rPr>
          <w:rFonts w:cs="Arial"/>
        </w:rPr>
        <w:t xml:space="preserve"> </w:t>
      </w:r>
      <w:r>
        <w:rPr>
          <w:rFonts w:cs="Arial"/>
        </w:rPr>
        <w:t>y estar a lo dispuesto  por Resolución  del 16 de mayo de 2018</w:t>
      </w:r>
      <w:r w:rsidR="009A7E1F">
        <w:rPr>
          <w:rFonts w:cs="Arial"/>
        </w:rPr>
        <w:t>;</w:t>
      </w:r>
    </w:p>
    <w:p w:rsidR="000A09CD" w:rsidRDefault="000B1D03" w:rsidP="000A09CD">
      <w:pPr>
        <w:spacing w:line="360" w:lineRule="auto"/>
        <w:ind w:firstLine="2835"/>
        <w:jc w:val="both"/>
        <w:rPr>
          <w:rFonts w:cs="Arial"/>
        </w:rPr>
      </w:pPr>
      <w:r w:rsidRPr="006D5FDD">
        <w:rPr>
          <w:rFonts w:cs="Arial"/>
          <w:b/>
          <w:bCs/>
        </w:rPr>
        <w:t>4)</w:t>
      </w:r>
      <w:r w:rsidRPr="007903B9">
        <w:rPr>
          <w:rFonts w:cs="Arial"/>
        </w:rPr>
        <w:t xml:space="preserve"> que</w:t>
      </w:r>
      <w:r w:rsidR="009A7E1F" w:rsidRPr="007903B9">
        <w:rPr>
          <w:rFonts w:cs="Arial"/>
        </w:rPr>
        <w:t xml:space="preserve"> en esta oportunidad</w:t>
      </w:r>
      <w:r w:rsidR="00AD75EA">
        <w:rPr>
          <w:rFonts w:cs="Arial"/>
        </w:rPr>
        <w:t>,</w:t>
      </w:r>
      <w:r w:rsidR="009A7E1F" w:rsidRPr="007903B9">
        <w:rPr>
          <w:rFonts w:cs="Arial"/>
        </w:rPr>
        <w:t xml:space="preserve"> la Contadora Delegada en A.S.S.E. remite las presentes actuaciones a consideración de este Tribunal, señalando que</w:t>
      </w:r>
      <w:r w:rsidR="00AD75EA">
        <w:rPr>
          <w:rFonts w:cs="Arial"/>
        </w:rPr>
        <w:t>,</w:t>
      </w:r>
      <w:r w:rsidR="009A7E1F" w:rsidRPr="007903B9">
        <w:rPr>
          <w:rFonts w:cs="Arial"/>
        </w:rPr>
        <w:t xml:space="preserve"> al </w:t>
      </w:r>
      <w:r w:rsidR="007903B9" w:rsidRPr="007903B9">
        <w:rPr>
          <w:rFonts w:cs="Arial"/>
        </w:rPr>
        <w:t>proceder</w:t>
      </w:r>
      <w:r w:rsidR="009A7E1F" w:rsidRPr="007903B9">
        <w:rPr>
          <w:rFonts w:cs="Arial"/>
        </w:rPr>
        <w:t xml:space="preserve"> </w:t>
      </w:r>
      <w:r w:rsidR="00AD75EA">
        <w:rPr>
          <w:rFonts w:cs="Arial"/>
        </w:rPr>
        <w:t>-</w:t>
      </w:r>
      <w:r w:rsidR="009A7E1F" w:rsidRPr="007903B9">
        <w:rPr>
          <w:rFonts w:cs="Arial"/>
        </w:rPr>
        <w:t xml:space="preserve">de acuerdo </w:t>
      </w:r>
      <w:r w:rsidR="000A09CD">
        <w:rPr>
          <w:rFonts w:cs="Arial"/>
        </w:rPr>
        <w:t>con</w:t>
      </w:r>
      <w:r w:rsidR="009A7E1F" w:rsidRPr="007903B9">
        <w:rPr>
          <w:rFonts w:cs="Arial"/>
        </w:rPr>
        <w:t xml:space="preserve"> lo dispuesto por este Tribunal por </w:t>
      </w:r>
      <w:r w:rsidR="007903B9" w:rsidRPr="007903B9">
        <w:rPr>
          <w:rFonts w:cs="Arial"/>
        </w:rPr>
        <w:lastRenderedPageBreak/>
        <w:t>Resolución</w:t>
      </w:r>
      <w:r w:rsidR="009A7E1F" w:rsidRPr="007903B9">
        <w:rPr>
          <w:rFonts w:cs="Arial"/>
        </w:rPr>
        <w:t xml:space="preserve"> del 16 de </w:t>
      </w:r>
      <w:r w:rsidR="007903B9" w:rsidRPr="007903B9">
        <w:rPr>
          <w:rFonts w:cs="Arial"/>
        </w:rPr>
        <w:t>mayo</w:t>
      </w:r>
      <w:r w:rsidR="009A7E1F" w:rsidRPr="007903B9">
        <w:rPr>
          <w:rFonts w:cs="Arial"/>
        </w:rPr>
        <w:t xml:space="preserve"> de 2018</w:t>
      </w:r>
      <w:r w:rsidR="00AD75EA">
        <w:rPr>
          <w:rFonts w:cs="Arial"/>
        </w:rPr>
        <w:t>-</w:t>
      </w:r>
      <w:r w:rsidR="009A7E1F" w:rsidRPr="007903B9">
        <w:rPr>
          <w:rFonts w:cs="Arial"/>
        </w:rPr>
        <w:t xml:space="preserve"> al contralor de lo dispuesto </w:t>
      </w:r>
      <w:r w:rsidR="00013525">
        <w:rPr>
          <w:rFonts w:cs="Arial"/>
        </w:rPr>
        <w:t>por</w:t>
      </w:r>
      <w:r w:rsidR="000A09CD">
        <w:rPr>
          <w:rFonts w:cs="Arial"/>
        </w:rPr>
        <w:t xml:space="preserve"> los A</w:t>
      </w:r>
      <w:r w:rsidR="009A7E1F" w:rsidRPr="007903B9">
        <w:rPr>
          <w:rFonts w:cs="Arial"/>
        </w:rPr>
        <w:t xml:space="preserve">rtículos </w:t>
      </w:r>
      <w:r w:rsidR="007903B9">
        <w:rPr>
          <w:rFonts w:cs="Arial"/>
        </w:rPr>
        <w:t xml:space="preserve">46 y </w:t>
      </w:r>
      <w:r w:rsidR="00AD75EA">
        <w:rPr>
          <w:rFonts w:cs="Arial"/>
        </w:rPr>
        <w:t>72 del T</w:t>
      </w:r>
      <w:r w:rsidR="007903B9">
        <w:rPr>
          <w:rFonts w:cs="Arial"/>
        </w:rPr>
        <w:t>O</w:t>
      </w:r>
      <w:r w:rsidR="009A7E1F" w:rsidRPr="007903B9">
        <w:rPr>
          <w:rFonts w:cs="Arial"/>
        </w:rPr>
        <w:t xml:space="preserve">CAF, </w:t>
      </w:r>
      <w:r w:rsidR="007903B9" w:rsidRPr="007903B9">
        <w:rPr>
          <w:rFonts w:cs="Arial"/>
        </w:rPr>
        <w:t>constató</w:t>
      </w:r>
      <w:r w:rsidR="00013525">
        <w:rPr>
          <w:rFonts w:cs="Arial"/>
        </w:rPr>
        <w:t xml:space="preserve"> </w:t>
      </w:r>
      <w:r w:rsidR="009A7E1F" w:rsidRPr="007903B9">
        <w:rPr>
          <w:rFonts w:cs="Arial"/>
        </w:rPr>
        <w:t xml:space="preserve">que dos de los integrantes de la </w:t>
      </w:r>
      <w:r w:rsidR="007903B9" w:rsidRPr="007903B9">
        <w:rPr>
          <w:rFonts w:cs="Arial"/>
        </w:rPr>
        <w:t>Comisión</w:t>
      </w:r>
      <w:r w:rsidR="009A7E1F" w:rsidRPr="007903B9">
        <w:rPr>
          <w:rFonts w:cs="Arial"/>
        </w:rPr>
        <w:t xml:space="preserve"> </w:t>
      </w:r>
      <w:r w:rsidR="007903B9" w:rsidRPr="007903B9">
        <w:rPr>
          <w:rFonts w:cs="Arial"/>
        </w:rPr>
        <w:t>Administradora</w:t>
      </w:r>
      <w:r w:rsidR="009A7E1F" w:rsidRPr="007903B9">
        <w:rPr>
          <w:rFonts w:cs="Arial"/>
        </w:rPr>
        <w:t xml:space="preserve"> de CRAME,</w:t>
      </w:r>
      <w:r w:rsidR="007903B9" w:rsidRPr="007903B9">
        <w:rPr>
          <w:rFonts w:cs="Arial"/>
        </w:rPr>
        <w:t xml:space="preserve"> </w:t>
      </w:r>
      <w:r w:rsidR="009A7E1F" w:rsidRPr="007903B9">
        <w:rPr>
          <w:rFonts w:cs="Arial"/>
        </w:rPr>
        <w:t>Sr</w:t>
      </w:r>
      <w:r w:rsidR="007903B9">
        <w:rPr>
          <w:rFonts w:cs="Arial"/>
        </w:rPr>
        <w:t>es</w:t>
      </w:r>
      <w:r w:rsidR="009A7E1F" w:rsidRPr="007903B9">
        <w:rPr>
          <w:rFonts w:cs="Arial"/>
        </w:rPr>
        <w:t>. Gustavo F</w:t>
      </w:r>
      <w:r w:rsidR="00AD75EA">
        <w:rPr>
          <w:rFonts w:cs="Arial"/>
        </w:rPr>
        <w:t>é</w:t>
      </w:r>
      <w:r w:rsidR="009A7E1F" w:rsidRPr="007903B9">
        <w:rPr>
          <w:rFonts w:cs="Arial"/>
        </w:rPr>
        <w:t>li</w:t>
      </w:r>
      <w:r w:rsidR="00AD75EA">
        <w:rPr>
          <w:rFonts w:cs="Arial"/>
        </w:rPr>
        <w:t>x</w:t>
      </w:r>
      <w:r w:rsidR="009A7E1F" w:rsidRPr="007903B9">
        <w:rPr>
          <w:rFonts w:cs="Arial"/>
        </w:rPr>
        <w:t xml:space="preserve"> </w:t>
      </w:r>
      <w:r w:rsidR="007903B9" w:rsidRPr="007903B9">
        <w:rPr>
          <w:rFonts w:cs="Arial"/>
        </w:rPr>
        <w:t>Rodríguez</w:t>
      </w:r>
      <w:r w:rsidR="009A7E1F" w:rsidRPr="007903B9">
        <w:rPr>
          <w:rFonts w:cs="Arial"/>
        </w:rPr>
        <w:t xml:space="preserve"> </w:t>
      </w:r>
      <w:proofErr w:type="spellStart"/>
      <w:r w:rsidR="009A7E1F" w:rsidRPr="007903B9">
        <w:rPr>
          <w:rFonts w:cs="Arial"/>
        </w:rPr>
        <w:t>Guinovart</w:t>
      </w:r>
      <w:proofErr w:type="spellEnd"/>
      <w:r w:rsidR="009A7E1F" w:rsidRPr="007903B9">
        <w:rPr>
          <w:rFonts w:cs="Arial"/>
        </w:rPr>
        <w:t xml:space="preserve"> (Secretario y Apoderad</w:t>
      </w:r>
      <w:r w:rsidR="007903B9" w:rsidRPr="007903B9">
        <w:rPr>
          <w:rFonts w:cs="Arial"/>
        </w:rPr>
        <w:t>o</w:t>
      </w:r>
      <w:r w:rsidR="009A7E1F" w:rsidRPr="007903B9">
        <w:rPr>
          <w:rFonts w:cs="Arial"/>
        </w:rPr>
        <w:t xml:space="preserve">) y Marcelo Arturo </w:t>
      </w:r>
      <w:r w:rsidR="007903B9" w:rsidRPr="007903B9">
        <w:rPr>
          <w:rFonts w:cs="Arial"/>
        </w:rPr>
        <w:t>Rodríguez</w:t>
      </w:r>
      <w:r w:rsidR="009A7E1F" w:rsidRPr="007903B9">
        <w:rPr>
          <w:rFonts w:cs="Arial"/>
        </w:rPr>
        <w:t xml:space="preserve"> </w:t>
      </w:r>
      <w:r w:rsidR="007903B9" w:rsidRPr="007903B9">
        <w:rPr>
          <w:rFonts w:cs="Arial"/>
        </w:rPr>
        <w:t>Hernández</w:t>
      </w:r>
      <w:r w:rsidR="009A7E1F" w:rsidRPr="007903B9">
        <w:rPr>
          <w:rFonts w:cs="Arial"/>
        </w:rPr>
        <w:t xml:space="preserve"> (Vicepresidente) son</w:t>
      </w:r>
      <w:r w:rsidR="00013525">
        <w:rPr>
          <w:rFonts w:cs="Arial"/>
        </w:rPr>
        <w:t xml:space="preserve"> -</w:t>
      </w:r>
      <w:r w:rsidR="000A09CD">
        <w:rPr>
          <w:rFonts w:cs="Arial"/>
        </w:rPr>
        <w:t>de acuerdo con</w:t>
      </w:r>
      <w:r w:rsidR="009A7E1F" w:rsidRPr="007903B9">
        <w:rPr>
          <w:rFonts w:cs="Arial"/>
        </w:rPr>
        <w:t xml:space="preserve"> lo verificado en </w:t>
      </w:r>
      <w:r w:rsidR="007903B9" w:rsidRPr="007903B9">
        <w:rPr>
          <w:rFonts w:cs="Arial"/>
        </w:rPr>
        <w:t>Programa</w:t>
      </w:r>
      <w:r w:rsidR="009A7E1F" w:rsidRPr="007903B9">
        <w:rPr>
          <w:rFonts w:cs="Arial"/>
        </w:rPr>
        <w:t xml:space="preserve"> de Recursos Humanos de A</w:t>
      </w:r>
      <w:r w:rsidR="007903B9">
        <w:rPr>
          <w:rFonts w:cs="Arial"/>
        </w:rPr>
        <w:t>.</w:t>
      </w:r>
      <w:r w:rsidR="009A7E1F" w:rsidRPr="007903B9">
        <w:rPr>
          <w:rFonts w:cs="Arial"/>
        </w:rPr>
        <w:t>S</w:t>
      </w:r>
      <w:r w:rsidR="007903B9">
        <w:rPr>
          <w:rFonts w:cs="Arial"/>
        </w:rPr>
        <w:t>.</w:t>
      </w:r>
      <w:r w:rsidR="009A7E1F" w:rsidRPr="007903B9">
        <w:rPr>
          <w:rFonts w:cs="Arial"/>
        </w:rPr>
        <w:t>S</w:t>
      </w:r>
      <w:r w:rsidR="007903B9">
        <w:rPr>
          <w:rFonts w:cs="Arial"/>
        </w:rPr>
        <w:t>.</w:t>
      </w:r>
      <w:r w:rsidR="009A7E1F" w:rsidRPr="007903B9">
        <w:rPr>
          <w:rFonts w:cs="Arial"/>
        </w:rPr>
        <w:t>E</w:t>
      </w:r>
      <w:r w:rsidR="007903B9">
        <w:rPr>
          <w:rFonts w:cs="Arial"/>
        </w:rPr>
        <w:t>.</w:t>
      </w:r>
      <w:r w:rsidR="00013525">
        <w:rPr>
          <w:rFonts w:cs="Arial"/>
        </w:rPr>
        <w:t>-</w:t>
      </w:r>
      <w:r w:rsidR="000A09CD">
        <w:rPr>
          <w:rFonts w:cs="Arial"/>
        </w:rPr>
        <w:t xml:space="preserve"> </w:t>
      </w:r>
      <w:r w:rsidR="009A7E1F" w:rsidRPr="007903B9">
        <w:rPr>
          <w:rFonts w:cs="Arial"/>
        </w:rPr>
        <w:t>funcionarios de</w:t>
      </w:r>
      <w:r w:rsidR="007903B9">
        <w:rPr>
          <w:rFonts w:cs="Arial"/>
        </w:rPr>
        <w:t xml:space="preserve">l </w:t>
      </w:r>
      <w:r w:rsidR="007903B9" w:rsidRPr="007903B9">
        <w:rPr>
          <w:rFonts w:cs="Arial"/>
        </w:rPr>
        <w:t>Hospital</w:t>
      </w:r>
      <w:r w:rsidR="009A7E1F" w:rsidRPr="007903B9">
        <w:rPr>
          <w:rFonts w:cs="Arial"/>
        </w:rPr>
        <w:t xml:space="preserve"> Pasteur</w:t>
      </w:r>
      <w:r w:rsidR="007903B9">
        <w:rPr>
          <w:rFonts w:cs="Arial"/>
        </w:rPr>
        <w:t xml:space="preserve"> (UE 06)</w:t>
      </w:r>
      <w:r w:rsidR="007903B9" w:rsidRPr="007903B9">
        <w:rPr>
          <w:rFonts w:cs="Arial"/>
        </w:rPr>
        <w:t>;</w:t>
      </w:r>
    </w:p>
    <w:p w:rsidR="000A09CD" w:rsidRDefault="000B1D03" w:rsidP="000A09CD">
      <w:pPr>
        <w:spacing w:line="360" w:lineRule="auto"/>
        <w:ind w:firstLine="851"/>
        <w:jc w:val="both"/>
        <w:rPr>
          <w:rFonts w:cs="Arial"/>
        </w:rPr>
      </w:pPr>
      <w:r>
        <w:rPr>
          <w:b/>
        </w:rPr>
        <w:t xml:space="preserve">CONSIDERANDO: </w:t>
      </w:r>
      <w:r w:rsidR="00B13E71">
        <w:rPr>
          <w:rFonts w:cs="Arial"/>
          <w:b/>
          <w:bCs/>
        </w:rPr>
        <w:t>1)</w:t>
      </w:r>
      <w:r w:rsidR="00B13E71">
        <w:rPr>
          <w:rFonts w:cs="Arial"/>
        </w:rPr>
        <w:t xml:space="preserve"> que este Tribunal</w:t>
      </w:r>
      <w:r w:rsidR="00013525">
        <w:rPr>
          <w:rFonts w:cs="Arial"/>
        </w:rPr>
        <w:t>,</w:t>
      </w:r>
      <w:r w:rsidR="00B13E71">
        <w:rPr>
          <w:rFonts w:cs="Arial"/>
        </w:rPr>
        <w:t xml:space="preserve"> por Resolución N° 4270/17 dictada el 20 de diciembre de 2017 re</w:t>
      </w:r>
      <w:r w:rsidR="000A09CD">
        <w:rPr>
          <w:rFonts w:cs="Arial"/>
        </w:rPr>
        <w:t>lativa a la interpretación del A</w:t>
      </w:r>
      <w:r w:rsidR="00B13E71">
        <w:rPr>
          <w:rFonts w:cs="Arial"/>
        </w:rPr>
        <w:t xml:space="preserve">rtículo 46 del TOCAF, señaló  que </w:t>
      </w:r>
      <w:r w:rsidR="00B13E71">
        <w:rPr>
          <w:rFonts w:cs="Arial"/>
          <w:i/>
        </w:rPr>
        <w:t>“…es difícil establecer reglas generales para caracterizar las contrataciones sobres casos hipotéticos, sin entrar al análisis de cada contrato con las complejidades y particularidades que presenta”</w:t>
      </w:r>
      <w:r w:rsidR="00B13E71">
        <w:rPr>
          <w:rFonts w:cs="Arial"/>
        </w:rPr>
        <w:t xml:space="preserve"> por lo que, </w:t>
      </w:r>
      <w:r w:rsidR="00B13E71">
        <w:rPr>
          <w:rFonts w:cs="Arial"/>
          <w:i/>
        </w:rPr>
        <w:t>“si el expediente que llega a conocimiento de los Contadores Delegados les plantea dudas, los contratos respectivos deben ser remitidos a consideración del Tribunal”</w:t>
      </w:r>
      <w:r w:rsidR="00B13E71">
        <w:rPr>
          <w:rFonts w:cs="Arial"/>
        </w:rPr>
        <w:t>;</w:t>
      </w:r>
    </w:p>
    <w:p w:rsidR="000A09CD" w:rsidRDefault="00B13E71" w:rsidP="000A09CD">
      <w:pPr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</w:rPr>
        <w:t xml:space="preserve">2) </w:t>
      </w:r>
      <w:r>
        <w:rPr>
          <w:rFonts w:cs="Arial"/>
        </w:rPr>
        <w:t xml:space="preserve">que </w:t>
      </w:r>
      <w:r w:rsidR="000A09CD">
        <w:rPr>
          <w:rFonts w:cs="Arial"/>
        </w:rPr>
        <w:t>el A</w:t>
      </w:r>
      <w:r w:rsidRPr="007242F7">
        <w:rPr>
          <w:rFonts w:cs="Arial"/>
        </w:rPr>
        <w:t xml:space="preserve">rtículo 46 del TOCAF establece </w:t>
      </w:r>
      <w:r>
        <w:rPr>
          <w:rFonts w:cs="Arial"/>
        </w:rPr>
        <w:t xml:space="preserve">que </w:t>
      </w:r>
      <w:r w:rsidRPr="007242F7">
        <w:rPr>
          <w:rFonts w:cs="Arial"/>
        </w:rPr>
        <w:t>“</w:t>
      </w:r>
      <w:r>
        <w:rPr>
          <w:rFonts w:cs="Arial"/>
        </w:rPr>
        <w:t>…</w:t>
      </w:r>
      <w:r>
        <w:rPr>
          <w:rFonts w:cs="Arial"/>
          <w:i/>
        </w:rPr>
        <w:t>e</w:t>
      </w:r>
      <w:r w:rsidRPr="00A8244C">
        <w:rPr>
          <w:rFonts w:cs="Arial"/>
          <w:i/>
        </w:rPr>
        <w:t>stán capacitados para contratar con el Estado las personas físicas o jurídicas, nacionales o extranjeras, que teniendo el ejercicio de la capacidad jurídica  que señala el derecho común, no estén comprendidas en alguna disposición que expresamente se lo impida o en los siguientes casos: Ser funcionario público de la Administración contratante o mantener un vínculo laboral de cualquier naturaleza con la misma, no siendo admisibles las ofertas presentadas por este a título personal, o por personas físicas o jurídicas que la persona integre o con las que esté vinculada por razones de representación, dirección, asesoramiento o dependencia. No obstante, en este último caso de dependencia  podrá darse curso a las ofertas presentadas cuando no exista conflicto de intereses y la persona no tenga participación en el proceso de adquisición. De las circunstancias mencionadas, deberá dejarse constancia expresa en el expediente</w:t>
      </w:r>
      <w:r>
        <w:rPr>
          <w:rFonts w:cs="Arial"/>
          <w:i/>
        </w:rPr>
        <w:t>…</w:t>
      </w:r>
      <w:r>
        <w:rPr>
          <w:rFonts w:cs="Arial"/>
        </w:rPr>
        <w:t>”;</w:t>
      </w:r>
    </w:p>
    <w:p w:rsidR="00B13E71" w:rsidRDefault="00B13E71" w:rsidP="000A09CD">
      <w:pPr>
        <w:spacing w:line="360" w:lineRule="auto"/>
        <w:ind w:firstLine="3119"/>
        <w:jc w:val="both"/>
        <w:rPr>
          <w:rFonts w:cs="Arial"/>
        </w:rPr>
      </w:pPr>
      <w:r>
        <w:rPr>
          <w:rFonts w:cs="Arial"/>
          <w:b/>
        </w:rPr>
        <w:lastRenderedPageBreak/>
        <w:t>3</w:t>
      </w:r>
      <w:r w:rsidRPr="00770472">
        <w:rPr>
          <w:rFonts w:cs="Arial"/>
          <w:b/>
        </w:rPr>
        <w:t>)</w:t>
      </w:r>
      <w:r>
        <w:rPr>
          <w:rFonts w:cs="Arial"/>
        </w:rPr>
        <w:t xml:space="preserve"> que teniendo en cuenta lo dispuesto por la norma que viene de transcribirse, se advierte que, a la luz de</w:t>
      </w:r>
      <w:r w:rsidRPr="00B13E71">
        <w:rPr>
          <w:rFonts w:cs="Arial"/>
        </w:rPr>
        <w:t xml:space="preserve"> </w:t>
      </w:r>
      <w:r>
        <w:rPr>
          <w:rFonts w:cs="Arial"/>
        </w:rPr>
        <w:t xml:space="preserve"> lo constatado por la Contadora Delegada en A.S.S.E. en la especie, la contratación </w:t>
      </w:r>
      <w:r w:rsidR="00013525">
        <w:rPr>
          <w:rFonts w:cs="Arial"/>
        </w:rPr>
        <w:t>con</w:t>
      </w:r>
      <w:r>
        <w:rPr>
          <w:rFonts w:cs="Arial"/>
        </w:rPr>
        <w:t xml:space="preserve"> la Cooperativa  Regional de Asistencia Médica del Este supone la vulneración de dicha norma, </w:t>
      </w:r>
      <w:r w:rsidR="00013525">
        <w:rPr>
          <w:rFonts w:cs="Arial"/>
        </w:rPr>
        <w:t>desde que dicha</w:t>
      </w:r>
      <w:r>
        <w:rPr>
          <w:rFonts w:cs="Arial"/>
        </w:rPr>
        <w:t xml:space="preserve"> persona jurídica </w:t>
      </w:r>
      <w:r w:rsidR="006D5FDD">
        <w:rPr>
          <w:rFonts w:cs="Arial"/>
        </w:rPr>
        <w:t>tiene vinculación con los Sres.</w:t>
      </w:r>
      <w:r w:rsidR="006D5FDD" w:rsidRPr="006D5FDD">
        <w:rPr>
          <w:rFonts w:cs="Arial"/>
        </w:rPr>
        <w:t xml:space="preserve"> </w:t>
      </w:r>
      <w:r w:rsidR="006D5FDD" w:rsidRPr="007903B9">
        <w:rPr>
          <w:rFonts w:cs="Arial"/>
        </w:rPr>
        <w:t xml:space="preserve">Gustavo </w:t>
      </w:r>
      <w:r w:rsidR="00D16F1F" w:rsidRPr="007903B9">
        <w:rPr>
          <w:rFonts w:cs="Arial"/>
        </w:rPr>
        <w:t>Féli</w:t>
      </w:r>
      <w:r w:rsidR="00D16F1F">
        <w:rPr>
          <w:rFonts w:cs="Arial"/>
        </w:rPr>
        <w:t>x</w:t>
      </w:r>
      <w:r w:rsidR="006D5FDD" w:rsidRPr="007903B9">
        <w:rPr>
          <w:rFonts w:cs="Arial"/>
        </w:rPr>
        <w:t xml:space="preserve"> Rodríguez </w:t>
      </w:r>
      <w:proofErr w:type="spellStart"/>
      <w:r w:rsidR="006D5FDD" w:rsidRPr="007903B9">
        <w:rPr>
          <w:rFonts w:cs="Arial"/>
        </w:rPr>
        <w:t>Guinovart</w:t>
      </w:r>
      <w:proofErr w:type="spellEnd"/>
      <w:r w:rsidR="006D5FDD" w:rsidRPr="007903B9">
        <w:rPr>
          <w:rFonts w:cs="Arial"/>
        </w:rPr>
        <w:t xml:space="preserve"> (Secretario y Apoderado</w:t>
      </w:r>
      <w:r w:rsidR="006D5FDD">
        <w:rPr>
          <w:rFonts w:cs="Arial"/>
        </w:rPr>
        <w:t xml:space="preserve"> de </w:t>
      </w:r>
      <w:r w:rsidR="004C24E7">
        <w:rPr>
          <w:rFonts w:cs="Arial"/>
        </w:rPr>
        <w:t xml:space="preserve">la </w:t>
      </w:r>
      <w:r w:rsidR="006D5FDD">
        <w:rPr>
          <w:rFonts w:cs="Arial"/>
        </w:rPr>
        <w:t>Cooperativa</w:t>
      </w:r>
      <w:r w:rsidR="006D5FDD" w:rsidRPr="007903B9">
        <w:rPr>
          <w:rFonts w:cs="Arial"/>
        </w:rPr>
        <w:t>) y Marcelo Arturo Rodríguez Hernández (Vicepresidente</w:t>
      </w:r>
      <w:r w:rsidR="006D5FDD">
        <w:rPr>
          <w:rFonts w:cs="Arial"/>
        </w:rPr>
        <w:t xml:space="preserve"> de la </w:t>
      </w:r>
      <w:r w:rsidR="00B86A7E">
        <w:rPr>
          <w:rFonts w:cs="Arial"/>
        </w:rPr>
        <w:t>Cooperativa</w:t>
      </w:r>
      <w:r w:rsidR="00D16F1F">
        <w:rPr>
          <w:rFonts w:cs="Arial"/>
        </w:rPr>
        <w:t xml:space="preserve">), </w:t>
      </w:r>
      <w:r w:rsidR="00013525">
        <w:rPr>
          <w:rFonts w:cs="Arial"/>
        </w:rPr>
        <w:t xml:space="preserve">que, a su vez, </w:t>
      </w:r>
      <w:r w:rsidR="006D5FDD">
        <w:rPr>
          <w:rFonts w:cs="Arial"/>
        </w:rPr>
        <w:t>son</w:t>
      </w:r>
      <w:r>
        <w:rPr>
          <w:rFonts w:cs="Arial"/>
        </w:rPr>
        <w:t xml:space="preserve"> funcionario</w:t>
      </w:r>
      <w:r w:rsidR="006D5FDD">
        <w:rPr>
          <w:rFonts w:cs="Arial"/>
        </w:rPr>
        <w:t>s</w:t>
      </w:r>
      <w:r>
        <w:rPr>
          <w:rFonts w:cs="Arial"/>
        </w:rPr>
        <w:t xml:space="preserve"> público</w:t>
      </w:r>
      <w:r w:rsidR="006D5FDD">
        <w:rPr>
          <w:rFonts w:cs="Arial"/>
        </w:rPr>
        <w:t>s</w:t>
      </w:r>
      <w:r>
        <w:rPr>
          <w:rFonts w:cs="Arial"/>
        </w:rPr>
        <w:t xml:space="preserve"> de la contratante A.S.S.E.</w:t>
      </w:r>
      <w:r w:rsidR="00D16F1F">
        <w:rPr>
          <w:rFonts w:cs="Arial"/>
        </w:rPr>
        <w:t>, por lo que corresponde observar el gasto emergente</w:t>
      </w:r>
      <w:r>
        <w:rPr>
          <w:rFonts w:cs="Arial"/>
        </w:rPr>
        <w:t>;</w:t>
      </w:r>
    </w:p>
    <w:p w:rsidR="000B1D03" w:rsidRDefault="000B1D03" w:rsidP="000A09C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 xml:space="preserve">ATENTO: </w:t>
      </w:r>
      <w:r>
        <w:rPr>
          <w:rFonts w:cs="Arial"/>
        </w:rPr>
        <w:t>a lo precedentemente ex</w:t>
      </w:r>
      <w:r w:rsidR="000A09CD">
        <w:rPr>
          <w:rFonts w:cs="Arial"/>
        </w:rPr>
        <w:t>puesto y a lo dispuesto por el Artículo 211 L</w:t>
      </w:r>
      <w:r>
        <w:rPr>
          <w:rFonts w:cs="Arial"/>
        </w:rPr>
        <w:t xml:space="preserve">iteral B) de </w:t>
      </w:r>
      <w:r w:rsidR="000A09CD">
        <w:rPr>
          <w:rFonts w:cs="Arial"/>
        </w:rPr>
        <w:t>la Constitución de la República;</w:t>
      </w:r>
    </w:p>
    <w:p w:rsidR="000B1D03" w:rsidRDefault="000A09CD" w:rsidP="000B1D0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B86A7E" w:rsidRDefault="00B86A7E" w:rsidP="000A09C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cs="Arial"/>
        </w:rPr>
      </w:pPr>
      <w:r>
        <w:rPr>
          <w:rFonts w:cs="Arial"/>
        </w:rPr>
        <w:t>Evacuar la consulta en los términos de los presentes Considerando</w:t>
      </w:r>
      <w:r w:rsidR="000A09CD">
        <w:rPr>
          <w:rFonts w:cs="Arial"/>
        </w:rPr>
        <w:t>s</w:t>
      </w:r>
      <w:r>
        <w:rPr>
          <w:rFonts w:cs="Arial"/>
        </w:rPr>
        <w:t>;</w:t>
      </w:r>
    </w:p>
    <w:p w:rsidR="00B86A7E" w:rsidRDefault="00B86A7E" w:rsidP="000A09C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cs="Arial"/>
        </w:rPr>
      </w:pPr>
      <w:r>
        <w:rPr>
          <w:rFonts w:cs="Arial"/>
        </w:rPr>
        <w:t>Comunicar a</w:t>
      </w:r>
      <w:r w:rsidR="00013525">
        <w:rPr>
          <w:rFonts w:cs="Arial"/>
        </w:rPr>
        <w:t>l</w:t>
      </w:r>
      <w:r>
        <w:rPr>
          <w:rFonts w:cs="Arial"/>
        </w:rPr>
        <w:t xml:space="preserve"> Contador Delegado</w:t>
      </w:r>
      <w:r w:rsidR="000A09CD">
        <w:rPr>
          <w:rFonts w:cs="Arial"/>
        </w:rPr>
        <w:t>;</w:t>
      </w:r>
    </w:p>
    <w:p w:rsidR="00595020" w:rsidRDefault="00595020" w:rsidP="000A09C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cs="Arial"/>
        </w:rPr>
      </w:pPr>
      <w:r>
        <w:rPr>
          <w:rFonts w:cs="Arial"/>
        </w:rPr>
        <w:t>Devolver las actuaciones.</w:t>
      </w:r>
    </w:p>
    <w:p w:rsidR="000A09CD" w:rsidRDefault="000A09CD" w:rsidP="000A09CD">
      <w:pPr>
        <w:spacing w:line="360" w:lineRule="auto"/>
        <w:rPr>
          <w:rFonts w:cs="Arial"/>
        </w:rPr>
      </w:pPr>
    </w:p>
    <w:p w:rsidR="000A09CD" w:rsidRDefault="000A09CD" w:rsidP="000A09CD">
      <w:pPr>
        <w:spacing w:line="360" w:lineRule="auto"/>
        <w:rPr>
          <w:rFonts w:cs="Arial"/>
        </w:rPr>
      </w:pPr>
    </w:p>
    <w:p w:rsidR="000A09CD" w:rsidRDefault="000A09CD" w:rsidP="000A09CD">
      <w:pPr>
        <w:spacing w:line="360" w:lineRule="auto"/>
        <w:rPr>
          <w:rFonts w:cs="Arial"/>
        </w:rPr>
      </w:pPr>
    </w:p>
    <w:p w:rsidR="000A09CD" w:rsidRDefault="000A09CD" w:rsidP="000A09CD">
      <w:pPr>
        <w:spacing w:line="360" w:lineRule="auto"/>
        <w:rPr>
          <w:rFonts w:cs="Arial"/>
        </w:rPr>
      </w:pPr>
    </w:p>
    <w:p w:rsidR="000A09CD" w:rsidRDefault="000A09CD" w:rsidP="000A09CD">
      <w:pPr>
        <w:spacing w:line="360" w:lineRule="auto"/>
        <w:ind w:hanging="567"/>
        <w:rPr>
          <w:rFonts w:cs="Arial"/>
        </w:rPr>
      </w:pPr>
      <w:proofErr w:type="gramStart"/>
      <w:r>
        <w:rPr>
          <w:rFonts w:cs="Arial"/>
        </w:rPr>
        <w:t>dc</w:t>
      </w:r>
      <w:bookmarkStart w:id="0" w:name="_GoBack"/>
      <w:bookmarkEnd w:id="0"/>
      <w:proofErr w:type="gramEnd"/>
    </w:p>
    <w:sectPr w:rsidR="000A09CD" w:rsidSect="000A09CD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CD" w:rsidRDefault="000A09CD" w:rsidP="000A09CD">
      <w:r>
        <w:separator/>
      </w:r>
    </w:p>
  </w:endnote>
  <w:endnote w:type="continuationSeparator" w:id="0">
    <w:p w:rsidR="000A09CD" w:rsidRDefault="000A09CD" w:rsidP="000A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843892"/>
      <w:docPartObj>
        <w:docPartGallery w:val="Page Numbers (Bottom of Page)"/>
        <w:docPartUnique/>
      </w:docPartObj>
    </w:sdtPr>
    <w:sdtContent>
      <w:p w:rsidR="000A09CD" w:rsidRDefault="000A09C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A09CD" w:rsidRDefault="000A0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CD" w:rsidRDefault="000A09CD" w:rsidP="000A09CD">
      <w:r>
        <w:separator/>
      </w:r>
    </w:p>
  </w:footnote>
  <w:footnote w:type="continuationSeparator" w:id="0">
    <w:p w:rsidR="000A09CD" w:rsidRDefault="000A09CD" w:rsidP="000A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9480F"/>
    <w:multiLevelType w:val="hybridMultilevel"/>
    <w:tmpl w:val="7408E1EC"/>
    <w:lvl w:ilvl="0" w:tplc="0C0A0011">
      <w:start w:val="1"/>
      <w:numFmt w:val="decimal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03"/>
    <w:rsid w:val="00013525"/>
    <w:rsid w:val="000A09CD"/>
    <w:rsid w:val="000B1D03"/>
    <w:rsid w:val="004C24E7"/>
    <w:rsid w:val="00595020"/>
    <w:rsid w:val="006D5FDD"/>
    <w:rsid w:val="006E69B1"/>
    <w:rsid w:val="007903B9"/>
    <w:rsid w:val="0098147A"/>
    <w:rsid w:val="009A7E1F"/>
    <w:rsid w:val="00AD75EA"/>
    <w:rsid w:val="00B13E71"/>
    <w:rsid w:val="00B86A7E"/>
    <w:rsid w:val="00CE6C57"/>
    <w:rsid w:val="00D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6A7E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0B1D03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1D0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B1D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B1D0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6A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0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9C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9C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0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6A7E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0B1D03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B1D0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B1D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B1D0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6A7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A0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9C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9CD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0F8D-3F8C-4743-83FD-2AEEFA6A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2019-02-05T18:44:00Z</cp:lastPrinted>
  <dcterms:created xsi:type="dcterms:W3CDTF">2019-02-05T18:44:00Z</dcterms:created>
  <dcterms:modified xsi:type="dcterms:W3CDTF">2019-02-05T18:44:00Z</dcterms:modified>
</cp:coreProperties>
</file>