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E8F" w:rsidRPr="003F3A3F" w:rsidRDefault="00925E8F" w:rsidP="00925E8F">
      <w:pPr>
        <w:tabs>
          <w:tab w:val="center" w:pos="4253"/>
        </w:tabs>
        <w:suppressAutoHyphens/>
        <w:spacing w:line="360" w:lineRule="auto"/>
        <w:jc w:val="right"/>
        <w:rPr>
          <w:b/>
          <w:sz w:val="28"/>
          <w:szCs w:val="28"/>
          <w:lang w:val="es-ES_tradnl"/>
        </w:rPr>
      </w:pPr>
      <w:r w:rsidRPr="003F3A3F">
        <w:rPr>
          <w:b/>
          <w:sz w:val="28"/>
          <w:szCs w:val="28"/>
          <w:lang w:val="es-ES_tradnl"/>
        </w:rPr>
        <w:t xml:space="preserve">RES. </w:t>
      </w:r>
      <w:r>
        <w:rPr>
          <w:b/>
          <w:sz w:val="28"/>
          <w:szCs w:val="28"/>
          <w:lang w:val="es-ES_tradnl"/>
        </w:rPr>
        <w:t>237</w:t>
      </w:r>
      <w:r w:rsidRPr="003F3A3F">
        <w:rPr>
          <w:b/>
          <w:sz w:val="28"/>
          <w:szCs w:val="28"/>
          <w:lang w:val="es-ES_tradnl"/>
        </w:rPr>
        <w:t>/19</w:t>
      </w:r>
    </w:p>
    <w:p w:rsidR="00925E8F" w:rsidRPr="000F48AC" w:rsidRDefault="00925E8F" w:rsidP="00925E8F">
      <w:pPr>
        <w:tabs>
          <w:tab w:val="center" w:pos="4253"/>
        </w:tabs>
        <w:suppressAutoHyphens/>
        <w:spacing w:line="480" w:lineRule="auto"/>
        <w:jc w:val="center"/>
        <w:rPr>
          <w:b/>
          <w:lang w:val="es-ES_tradnl"/>
        </w:rPr>
      </w:pPr>
      <w:r w:rsidRPr="000F48AC">
        <w:rPr>
          <w:b/>
          <w:lang w:val="es-ES_tradnl"/>
        </w:rPr>
        <w:t>RESOLUCION ADOPTADA POR EL</w:t>
      </w:r>
    </w:p>
    <w:p w:rsidR="00925E8F" w:rsidRPr="000F48AC" w:rsidRDefault="00925E8F" w:rsidP="00925E8F">
      <w:pPr>
        <w:tabs>
          <w:tab w:val="center" w:pos="4253"/>
        </w:tabs>
        <w:suppressAutoHyphens/>
        <w:spacing w:line="480" w:lineRule="auto"/>
        <w:jc w:val="center"/>
        <w:rPr>
          <w:b/>
          <w:lang w:val="es-ES_tradnl"/>
        </w:rPr>
      </w:pPr>
      <w:r w:rsidRPr="000F48AC">
        <w:rPr>
          <w:b/>
          <w:lang w:val="es-ES_tradnl"/>
        </w:rPr>
        <w:t>TRIBUNAL DE CUENTAS</w:t>
      </w:r>
    </w:p>
    <w:p w:rsidR="00925E8F" w:rsidRPr="000F48AC" w:rsidRDefault="00925E8F" w:rsidP="00925E8F">
      <w:pPr>
        <w:tabs>
          <w:tab w:val="center" w:pos="4253"/>
        </w:tabs>
        <w:suppressAutoHyphens/>
        <w:spacing w:line="480" w:lineRule="auto"/>
        <w:jc w:val="center"/>
        <w:rPr>
          <w:b/>
          <w:lang w:val="es-ES_tradnl"/>
        </w:rPr>
      </w:pPr>
      <w:r w:rsidRPr="000F48AC">
        <w:rPr>
          <w:b/>
          <w:lang w:val="es-ES_tradnl"/>
        </w:rPr>
        <w:t xml:space="preserve">EN SESION DE FECHA </w:t>
      </w:r>
      <w:r>
        <w:rPr>
          <w:b/>
          <w:lang w:val="es-ES_tradnl"/>
        </w:rPr>
        <w:t>23</w:t>
      </w:r>
      <w:r w:rsidRPr="0058790E">
        <w:rPr>
          <w:b/>
          <w:lang w:val="es-ES_tradnl"/>
        </w:rPr>
        <w:t xml:space="preserve"> </w:t>
      </w:r>
      <w:r w:rsidRPr="000F48AC">
        <w:rPr>
          <w:b/>
          <w:lang w:val="es-ES_tradnl"/>
        </w:rPr>
        <w:t xml:space="preserve">DE </w:t>
      </w:r>
      <w:r>
        <w:rPr>
          <w:b/>
          <w:lang w:val="es-ES_tradnl"/>
        </w:rPr>
        <w:t>ENERO DE 2019</w:t>
      </w:r>
    </w:p>
    <w:p w:rsidR="00925E8F" w:rsidRDefault="00925E8F" w:rsidP="00925E8F">
      <w:pPr>
        <w:tabs>
          <w:tab w:val="center" w:pos="4253"/>
        </w:tabs>
        <w:suppressAutoHyphens/>
        <w:spacing w:line="360" w:lineRule="auto"/>
        <w:jc w:val="center"/>
        <w:rPr>
          <w:b/>
        </w:rPr>
      </w:pPr>
      <w:r w:rsidRPr="00BB4DEC">
        <w:rPr>
          <w:b/>
        </w:rPr>
        <w:t>(E. E. Nº 201</w:t>
      </w:r>
      <w:r>
        <w:rPr>
          <w:b/>
        </w:rPr>
        <w:t>8</w:t>
      </w:r>
      <w:r w:rsidRPr="00BB4DEC">
        <w:rPr>
          <w:b/>
        </w:rPr>
        <w:t>-17-1-000</w:t>
      </w:r>
      <w:r>
        <w:rPr>
          <w:b/>
        </w:rPr>
        <w:t>7529</w:t>
      </w:r>
      <w:r w:rsidRPr="00BB4DEC">
        <w:rPr>
          <w:b/>
        </w:rPr>
        <w:t xml:space="preserve">, </w:t>
      </w:r>
      <w:proofErr w:type="spellStart"/>
      <w:r w:rsidRPr="00BB4DEC">
        <w:rPr>
          <w:b/>
        </w:rPr>
        <w:t>Ent</w:t>
      </w:r>
      <w:proofErr w:type="spellEnd"/>
      <w:r w:rsidRPr="00BB4DEC">
        <w:rPr>
          <w:b/>
        </w:rPr>
        <w:t xml:space="preserve">. N° </w:t>
      </w:r>
      <w:r>
        <w:rPr>
          <w:b/>
        </w:rPr>
        <w:t>5764</w:t>
      </w:r>
      <w:r w:rsidRPr="00BB4DEC">
        <w:rPr>
          <w:b/>
        </w:rPr>
        <w:t>/18)</w:t>
      </w:r>
    </w:p>
    <w:p w:rsidR="00925E8F" w:rsidRPr="00BB4DEC" w:rsidRDefault="00925E8F" w:rsidP="00925E8F">
      <w:pPr>
        <w:tabs>
          <w:tab w:val="center" w:pos="4253"/>
        </w:tabs>
        <w:suppressAutoHyphens/>
        <w:spacing w:line="360" w:lineRule="auto"/>
        <w:jc w:val="center"/>
        <w:rPr>
          <w:b/>
        </w:rPr>
      </w:pPr>
    </w:p>
    <w:p w:rsidR="00F523A9" w:rsidRDefault="00F523A9" w:rsidP="00925E8F">
      <w:pPr>
        <w:spacing w:line="360" w:lineRule="auto"/>
        <w:ind w:firstLine="851"/>
        <w:jc w:val="both"/>
        <w:rPr>
          <w:b/>
          <w:bCs/>
        </w:rPr>
      </w:pPr>
      <w:r>
        <w:rPr>
          <w:b/>
          <w:bCs/>
        </w:rPr>
        <w:t>VISTO:</w:t>
      </w:r>
      <w:r>
        <w:t xml:space="preserve"> </w:t>
      </w:r>
      <w:r w:rsidR="007D6531">
        <w:t xml:space="preserve">las actuaciones </w:t>
      </w:r>
      <w:r w:rsidR="00DB3C14">
        <w:t xml:space="preserve"> </w:t>
      </w:r>
      <w:r>
        <w:t>remitid</w:t>
      </w:r>
      <w:r w:rsidR="007D6531">
        <w:t>as</w:t>
      </w:r>
      <w:r>
        <w:t xml:space="preserve"> </w:t>
      </w:r>
      <w:r w:rsidR="00BD776D">
        <w:t>por la Junta</w:t>
      </w:r>
      <w:r>
        <w:t xml:space="preserve"> Departamental</w:t>
      </w:r>
      <w:r w:rsidR="00BD776D">
        <w:t xml:space="preserve"> de Cerro Largo</w:t>
      </w:r>
      <w:r w:rsidR="00DB3C14">
        <w:t>, relacionad</w:t>
      </w:r>
      <w:r w:rsidR="007D6531">
        <w:t>as</w:t>
      </w:r>
      <w:r w:rsidR="00DB3C14">
        <w:t xml:space="preserve"> con </w:t>
      </w:r>
      <w:r w:rsidR="00BC47A8">
        <w:t xml:space="preserve">el Decreto 38/18 por el que </w:t>
      </w:r>
      <w:r w:rsidR="00BC47A8">
        <w:rPr>
          <w:lang w:val="es-MX"/>
        </w:rPr>
        <w:t>se concede la venia solicitada por el Ejecutivo Departamental para</w:t>
      </w:r>
      <w:r w:rsidR="00557535">
        <w:t>: 1)</w:t>
      </w:r>
      <w:r>
        <w:t xml:space="preserve"> desafectar del dominio público </w:t>
      </w:r>
      <w:r w:rsidR="00925E8F">
        <w:t xml:space="preserve"> </w:t>
      </w:r>
      <w:r w:rsidR="00DB3C14">
        <w:t xml:space="preserve">la </w:t>
      </w:r>
      <w:r w:rsidR="00925E8F">
        <w:t xml:space="preserve"> </w:t>
      </w:r>
      <w:r w:rsidR="00DB3C14">
        <w:t xml:space="preserve">Fracción </w:t>
      </w:r>
      <w:r w:rsidR="00925E8F">
        <w:t xml:space="preserve"> </w:t>
      </w:r>
      <w:r w:rsidR="00DB3C14">
        <w:t xml:space="preserve">de </w:t>
      </w:r>
      <w:r w:rsidR="00925E8F">
        <w:t xml:space="preserve"> </w:t>
      </w:r>
      <w:r w:rsidR="00DB3C14">
        <w:t xml:space="preserve">campo </w:t>
      </w:r>
      <w:r w:rsidR="00925E8F">
        <w:t xml:space="preserve"> </w:t>
      </w:r>
      <w:r w:rsidR="00DB3C14">
        <w:t>que</w:t>
      </w:r>
      <w:r w:rsidR="00925E8F">
        <w:t xml:space="preserve"> </w:t>
      </w:r>
      <w:r w:rsidR="00DB3C14">
        <w:t xml:space="preserve"> ocupa</w:t>
      </w:r>
      <w:r w:rsidR="00925E8F">
        <w:t xml:space="preserve"> </w:t>
      </w:r>
      <w:r w:rsidR="00DB3C14">
        <w:t xml:space="preserve"> el </w:t>
      </w:r>
      <w:r w:rsidR="00925E8F">
        <w:t xml:space="preserve"> </w:t>
      </w:r>
      <w:r w:rsidR="00DB3C14">
        <w:t xml:space="preserve">Camino </w:t>
      </w:r>
      <w:r w:rsidR="00925E8F">
        <w:t xml:space="preserve"> </w:t>
      </w:r>
      <w:r w:rsidR="00DB3C14">
        <w:t>Vecinal</w:t>
      </w:r>
      <w:r w:rsidR="00925E8F">
        <w:t xml:space="preserve"> </w:t>
      </w:r>
      <w:r w:rsidR="00DB3C14">
        <w:t xml:space="preserve"> al </w:t>
      </w:r>
      <w:r w:rsidR="00925E8F">
        <w:t xml:space="preserve"> </w:t>
      </w:r>
      <w:r w:rsidR="00DB3C14">
        <w:t>Durazno</w:t>
      </w:r>
      <w:r w:rsidR="00557535">
        <w:t xml:space="preserve"> </w:t>
      </w:r>
      <w:r w:rsidR="00925E8F">
        <w:t xml:space="preserve"> </w:t>
      </w:r>
      <w:r w:rsidR="00557535">
        <w:t>y 2)</w:t>
      </w:r>
      <w:r w:rsidR="00925E8F">
        <w:t xml:space="preserve"> </w:t>
      </w:r>
      <w:r w:rsidR="00557535">
        <w:t xml:space="preserve">permutar dicha fracción, por la fracción de campo parte del Padrón Rural N° 606, </w:t>
      </w:r>
      <w:r w:rsidR="005067A5">
        <w:t xml:space="preserve">ambas fracciones ubicadas en </w:t>
      </w:r>
      <w:r w:rsidR="00557535">
        <w:t>la 9° Sección Judic</w:t>
      </w:r>
      <w:r w:rsidR="00925E8F">
        <w:t>ial y Catastral de Cerro Largo;</w:t>
      </w:r>
    </w:p>
    <w:p w:rsidR="002052DA" w:rsidRPr="008142C4" w:rsidRDefault="00BD776D" w:rsidP="00925E8F">
      <w:pPr>
        <w:spacing w:line="360" w:lineRule="auto"/>
        <w:ind w:firstLine="851"/>
        <w:jc w:val="both"/>
      </w:pPr>
      <w:r>
        <w:rPr>
          <w:b/>
          <w:bCs/>
        </w:rPr>
        <w:t>RESULTANDO:</w:t>
      </w:r>
      <w:r w:rsidRPr="006D7202">
        <w:rPr>
          <w:b/>
          <w:bCs/>
        </w:rPr>
        <w:t xml:space="preserve"> </w:t>
      </w:r>
      <w:r w:rsidR="002E21ED" w:rsidRPr="006D7202">
        <w:rPr>
          <w:b/>
        </w:rPr>
        <w:t xml:space="preserve">1) </w:t>
      </w:r>
      <w:r w:rsidR="006D7202">
        <w:t xml:space="preserve">que </w:t>
      </w:r>
      <w:r w:rsidR="007D6531">
        <w:t xml:space="preserve">se da cuenta que </w:t>
      </w:r>
      <w:r w:rsidR="00557535">
        <w:t xml:space="preserve">el padrón que se proyecta desafectar carece de número de padrón y consta de 17 </w:t>
      </w:r>
      <w:proofErr w:type="spellStart"/>
      <w:r w:rsidR="00557535">
        <w:t>mts</w:t>
      </w:r>
      <w:proofErr w:type="spellEnd"/>
      <w:r w:rsidR="00557535">
        <w:t xml:space="preserve">. </w:t>
      </w:r>
      <w:proofErr w:type="gramStart"/>
      <w:r w:rsidR="007D6531">
        <w:t>d</w:t>
      </w:r>
      <w:r w:rsidR="00557535">
        <w:t>e</w:t>
      </w:r>
      <w:proofErr w:type="gramEnd"/>
      <w:r w:rsidR="00557535">
        <w:t xml:space="preserve"> ancho, tramo que se ubica en zona aledaña al puente sobre el arroyo Pablo </w:t>
      </w:r>
      <w:proofErr w:type="spellStart"/>
      <w:r w:rsidR="00557535">
        <w:t>Paez</w:t>
      </w:r>
      <w:proofErr w:type="spellEnd"/>
      <w:r w:rsidR="00557535">
        <w:t>, en la 9° Sección Judicial y Catastral de Cerro Largo</w:t>
      </w:r>
      <w:r w:rsidR="00925E8F">
        <w:t>, y que</w:t>
      </w:r>
      <w:r w:rsidR="00557535">
        <w:t xml:space="preserve"> la</w:t>
      </w:r>
      <w:r w:rsidR="00F33897">
        <w:t xml:space="preserve"> </w:t>
      </w:r>
      <w:r w:rsidR="00557535">
        <w:t xml:space="preserve">fracción de campo identificada como parte del Padrón Rural N° 606, de la 9° Sección Judicial y Catastral de Cerro Largo, es de </w:t>
      </w:r>
      <w:r w:rsidR="00557535" w:rsidRPr="008142C4">
        <w:t>propiedad de A</w:t>
      </w:r>
      <w:r w:rsidR="009221B0">
        <w:t>GRILUNA SOCIEDAD ANÓNIMA</w:t>
      </w:r>
      <w:r w:rsidR="00925E8F">
        <w:t>;</w:t>
      </w:r>
    </w:p>
    <w:p w:rsidR="007C7CE9" w:rsidRPr="00E1177A" w:rsidRDefault="00925E8F" w:rsidP="00925E8F">
      <w:pPr>
        <w:spacing w:line="360" w:lineRule="auto"/>
        <w:ind w:firstLine="2694"/>
        <w:jc w:val="both"/>
      </w:pPr>
      <w:r>
        <w:t xml:space="preserve"> </w:t>
      </w:r>
      <w:r w:rsidR="007D6531" w:rsidRPr="00925E8F">
        <w:rPr>
          <w:b/>
        </w:rPr>
        <w:t>2</w:t>
      </w:r>
      <w:r w:rsidR="006D7202" w:rsidRPr="008142C4">
        <w:rPr>
          <w:b/>
        </w:rPr>
        <w:t xml:space="preserve">) </w:t>
      </w:r>
      <w:r w:rsidR="006D7202" w:rsidRPr="008142C4">
        <w:t>que</w:t>
      </w:r>
      <w:r w:rsidR="00F33897" w:rsidRPr="008142C4">
        <w:t xml:space="preserve"> </w:t>
      </w:r>
      <w:r w:rsidR="005D1384" w:rsidRPr="008142C4">
        <w:t>en enero de 2014,</w:t>
      </w:r>
      <w:r w:rsidR="007C7CE9" w:rsidRPr="008142C4">
        <w:t xml:space="preserve"> la Intendencia, </w:t>
      </w:r>
      <w:r w:rsidR="007C7CE9" w:rsidRPr="00E1177A">
        <w:t>AGRILUNA S</w:t>
      </w:r>
      <w:r w:rsidR="007D6531">
        <w:t>.</w:t>
      </w:r>
      <w:r w:rsidR="007C7CE9" w:rsidRPr="00E1177A">
        <w:t xml:space="preserve"> A</w:t>
      </w:r>
      <w:r w:rsidR="007D6531">
        <w:t>.</w:t>
      </w:r>
      <w:r w:rsidR="007C7CE9" w:rsidRPr="00E1177A">
        <w:t xml:space="preserve"> </w:t>
      </w:r>
      <w:r>
        <w:t xml:space="preserve">y FORESTAL ORIENTAL S.A. - UPM - </w:t>
      </w:r>
      <w:r w:rsidR="00905AA6">
        <w:t xml:space="preserve">suscribieron un contrato preliminar </w:t>
      </w:r>
      <w:r w:rsidR="007D6531">
        <w:t xml:space="preserve">en el que se establece </w:t>
      </w:r>
      <w:r w:rsidR="00905AA6">
        <w:t xml:space="preserve"> entre otras </w:t>
      </w:r>
      <w:r w:rsidR="007D6531">
        <w:t>condiciones, las</w:t>
      </w:r>
      <w:r w:rsidR="00905AA6">
        <w:t xml:space="preserve"> siguientes</w:t>
      </w:r>
      <w:r w:rsidR="007C7CE9" w:rsidRPr="00E1177A">
        <w:t>:</w:t>
      </w:r>
    </w:p>
    <w:p w:rsidR="00A10084" w:rsidRDefault="007D6531" w:rsidP="00925E8F">
      <w:pPr>
        <w:spacing w:line="360" w:lineRule="auto"/>
        <w:jc w:val="both"/>
      </w:pPr>
      <w:r>
        <w:rPr>
          <w:b/>
        </w:rPr>
        <w:t>2</w:t>
      </w:r>
      <w:r w:rsidR="00330AB2" w:rsidRPr="00E1177A">
        <w:rPr>
          <w:b/>
        </w:rPr>
        <w:t>.1)</w:t>
      </w:r>
      <w:r w:rsidR="00330AB2" w:rsidRPr="00E1177A">
        <w:t xml:space="preserve"> L</w:t>
      </w:r>
      <w:r w:rsidR="00A10084">
        <w:t>a</w:t>
      </w:r>
      <w:r w:rsidR="00330AB2" w:rsidRPr="00E1177A">
        <w:t xml:space="preserve"> Intendencia y AGRILUNA S.A. se comprometían</w:t>
      </w:r>
      <w:r w:rsidR="00667F2C">
        <w:t xml:space="preserve"> </w:t>
      </w:r>
      <w:r w:rsidR="00330AB2" w:rsidRPr="00E1177A">
        <w:t xml:space="preserve">a realizar la permuta de los </w:t>
      </w:r>
      <w:r w:rsidR="00A10084">
        <w:t>padrones relacionados en los Resultandos 1 y 2;</w:t>
      </w:r>
    </w:p>
    <w:p w:rsidR="00905AA6" w:rsidRDefault="007D6531" w:rsidP="00925E8F">
      <w:pPr>
        <w:spacing w:line="360" w:lineRule="auto"/>
        <w:jc w:val="both"/>
      </w:pPr>
      <w:r>
        <w:rPr>
          <w:b/>
        </w:rPr>
        <w:t>2</w:t>
      </w:r>
      <w:r w:rsidR="00A10084" w:rsidRPr="00905AA6">
        <w:rPr>
          <w:b/>
        </w:rPr>
        <w:t>.2)</w:t>
      </w:r>
      <w:r w:rsidR="00A10084">
        <w:t xml:space="preserve"> </w:t>
      </w:r>
      <w:r w:rsidR="00AE59C2" w:rsidRPr="00E1177A">
        <w:t xml:space="preserve">AGRILUNA S.A. </w:t>
      </w:r>
      <w:r w:rsidR="00AE59C2">
        <w:t>autorizó a la</w:t>
      </w:r>
      <w:r w:rsidR="00A10084">
        <w:t xml:space="preserve"> </w:t>
      </w:r>
      <w:r w:rsidR="00AE59C2" w:rsidRPr="00E1177A">
        <w:t>Intendencia</w:t>
      </w:r>
      <w:r w:rsidR="00AE59C2">
        <w:t xml:space="preserve"> a realizar, en la parte del inmueble </w:t>
      </w:r>
      <w:r w:rsidR="00905AA6">
        <w:t xml:space="preserve">relacionado en el Resultando 2, todas las obras necesarias para el cambio de trazado de parte del Camino al Durazno; </w:t>
      </w:r>
    </w:p>
    <w:p w:rsidR="00905AA6" w:rsidRDefault="007D6531" w:rsidP="00925E8F">
      <w:pPr>
        <w:spacing w:line="360" w:lineRule="auto"/>
        <w:jc w:val="both"/>
      </w:pPr>
      <w:r>
        <w:rPr>
          <w:b/>
        </w:rPr>
        <w:lastRenderedPageBreak/>
        <w:t>2</w:t>
      </w:r>
      <w:r w:rsidR="00905AA6" w:rsidRPr="00AE1E8E">
        <w:rPr>
          <w:b/>
        </w:rPr>
        <w:t>.3)</w:t>
      </w:r>
      <w:r w:rsidR="00905AA6">
        <w:t xml:space="preserve"> la </w:t>
      </w:r>
      <w:r w:rsidR="00667F2C">
        <w:t>I</w:t>
      </w:r>
      <w:r w:rsidR="00905AA6">
        <w:t>ntendencia</w:t>
      </w:r>
      <w:r w:rsidR="00667F2C">
        <w:t>, por su parte,</w:t>
      </w:r>
      <w:r w:rsidR="00905AA6">
        <w:t xml:space="preserve"> autoriz</w:t>
      </w:r>
      <w:r w:rsidR="00AE1E8E">
        <w:t>ó</w:t>
      </w:r>
      <w:r w:rsidR="00905AA6">
        <w:t xml:space="preserve"> a </w:t>
      </w:r>
      <w:r w:rsidR="00905AA6" w:rsidRPr="00E1177A">
        <w:t xml:space="preserve">AGRILUNA S.A. </w:t>
      </w:r>
      <w:r w:rsidR="00905AA6">
        <w:t xml:space="preserve">a ocupar </w:t>
      </w:r>
      <w:r w:rsidR="00667F2C">
        <w:t xml:space="preserve">el padrón </w:t>
      </w:r>
      <w:r w:rsidR="00905AA6">
        <w:t>relacionad</w:t>
      </w:r>
      <w:r w:rsidR="00667F2C">
        <w:t>o</w:t>
      </w:r>
      <w:r w:rsidR="00905AA6">
        <w:t xml:space="preserve"> en</w:t>
      </w:r>
      <w:r w:rsidR="00CD63DC">
        <w:t xml:space="preserve"> </w:t>
      </w:r>
      <w:r w:rsidR="00905AA6">
        <w:t>el Resultando 1);</w:t>
      </w:r>
    </w:p>
    <w:p w:rsidR="00925E8F" w:rsidRDefault="007D6531" w:rsidP="00925E8F">
      <w:pPr>
        <w:spacing w:line="360" w:lineRule="auto"/>
        <w:jc w:val="both"/>
      </w:pPr>
      <w:r>
        <w:rPr>
          <w:b/>
        </w:rPr>
        <w:t>2</w:t>
      </w:r>
      <w:r w:rsidR="00905AA6" w:rsidRPr="00CD63DC">
        <w:rPr>
          <w:b/>
        </w:rPr>
        <w:t>.4)</w:t>
      </w:r>
      <w:r w:rsidR="00905AA6">
        <w:t xml:space="preserve"> </w:t>
      </w:r>
      <w:r w:rsidR="00905AA6" w:rsidRPr="00E1177A">
        <w:t>FORESTAL ORIENTAL S.A.</w:t>
      </w:r>
      <w:r w:rsidR="00905AA6">
        <w:t xml:space="preserve">, </w:t>
      </w:r>
      <w:r w:rsidR="00FC14B4">
        <w:t xml:space="preserve">en virtud de estar </w:t>
      </w:r>
      <w:r w:rsidR="00905AA6">
        <w:t xml:space="preserve">interesada en el nuevo trazado del camino departamental, </w:t>
      </w:r>
      <w:r w:rsidR="00FC14B4">
        <w:t>prestaría su colaboración, asumiendo, entre otras cosas</w:t>
      </w:r>
      <w:r w:rsidR="00421C0A">
        <w:t>:</w:t>
      </w:r>
    </w:p>
    <w:p w:rsidR="00FC14B4" w:rsidRDefault="007D6531" w:rsidP="00925E8F">
      <w:pPr>
        <w:spacing w:line="360" w:lineRule="auto"/>
        <w:jc w:val="both"/>
      </w:pPr>
      <w:r>
        <w:rPr>
          <w:b/>
        </w:rPr>
        <w:t>2</w:t>
      </w:r>
      <w:r w:rsidR="00421C0A" w:rsidRPr="00C942D2">
        <w:rPr>
          <w:b/>
        </w:rPr>
        <w:t>.4.a)</w:t>
      </w:r>
      <w:r w:rsidR="00421C0A">
        <w:t xml:space="preserve"> </w:t>
      </w:r>
      <w:r w:rsidR="00FC14B4">
        <w:t>la</w:t>
      </w:r>
      <w:r w:rsidR="00905AA6">
        <w:t xml:space="preserve"> obligaci</w:t>
      </w:r>
      <w:r w:rsidR="00FC14B4">
        <w:t>ó</w:t>
      </w:r>
      <w:r w:rsidR="00905AA6">
        <w:t>n</w:t>
      </w:r>
      <w:r w:rsidR="00FC14B4">
        <w:t xml:space="preserve"> de pago de los gastos y honorarios de Agrimensor, así como la gestión de tareas de mensura, fraccionamiento y fusión del área objeto de permuta que se anexará al actual padrón N° 606;</w:t>
      </w:r>
    </w:p>
    <w:p w:rsidR="00421C0A" w:rsidRDefault="007D6531" w:rsidP="00925E8F">
      <w:pPr>
        <w:spacing w:line="360" w:lineRule="auto"/>
        <w:jc w:val="both"/>
      </w:pPr>
      <w:r>
        <w:rPr>
          <w:b/>
        </w:rPr>
        <w:t>2</w:t>
      </w:r>
      <w:r w:rsidR="00421C0A" w:rsidRPr="00C942D2">
        <w:rPr>
          <w:b/>
        </w:rPr>
        <w:t>.4.b)</w:t>
      </w:r>
      <w:r w:rsidR="00421C0A">
        <w:t xml:space="preserve"> </w:t>
      </w:r>
      <w:r w:rsidR="00C942D2">
        <w:t xml:space="preserve">la tarea de </w:t>
      </w:r>
      <w:r w:rsidR="00421C0A">
        <w:t xml:space="preserve">alambrar el perímetro que bordea el nuevo trazado del camino, bajo su entera responsabilidad, asumiendo </w:t>
      </w:r>
      <w:r w:rsidR="00C942D2">
        <w:t>el pago de salarios que se genere por concepto de la realización de dicho trabajo, así como toda otra suma que se reclame por concepto de accidentes laborales por parte de quien realice el mismo;</w:t>
      </w:r>
    </w:p>
    <w:p w:rsidR="00C942D2" w:rsidRDefault="007D6531" w:rsidP="00925E8F">
      <w:pPr>
        <w:spacing w:line="360" w:lineRule="auto"/>
        <w:jc w:val="both"/>
      </w:pPr>
      <w:r>
        <w:rPr>
          <w:b/>
        </w:rPr>
        <w:t>2</w:t>
      </w:r>
      <w:r w:rsidR="00C942D2" w:rsidRPr="00C942D2">
        <w:rPr>
          <w:b/>
        </w:rPr>
        <w:t>.4.c)</w:t>
      </w:r>
      <w:r w:rsidR="00C942D2">
        <w:t xml:space="preserve"> el pago de gastos, honorarios e impuestos que se generen en el negocio de permuta proyectado y que correspondan a la firma </w:t>
      </w:r>
      <w:r w:rsidR="00C942D2" w:rsidRPr="00E1177A">
        <w:t>AGRILUNA S.A.</w:t>
      </w:r>
      <w:r w:rsidR="00C942D2">
        <w:t>;</w:t>
      </w:r>
    </w:p>
    <w:p w:rsidR="00925E8F" w:rsidRDefault="00925E8F" w:rsidP="00925E8F">
      <w:pPr>
        <w:spacing w:line="360" w:lineRule="auto"/>
        <w:ind w:firstLine="2694"/>
        <w:jc w:val="both"/>
      </w:pPr>
      <w:r>
        <w:t xml:space="preserve"> </w:t>
      </w:r>
      <w:r w:rsidR="007D6531" w:rsidRPr="00925E8F">
        <w:rPr>
          <w:b/>
        </w:rPr>
        <w:t>3</w:t>
      </w:r>
      <w:r w:rsidR="006D7202" w:rsidRPr="00C942D2">
        <w:rPr>
          <w:b/>
        </w:rPr>
        <w:t xml:space="preserve">) </w:t>
      </w:r>
      <w:r w:rsidR="006D7202" w:rsidRPr="00C942D2">
        <w:t xml:space="preserve">que </w:t>
      </w:r>
      <w:r w:rsidR="00C942D2" w:rsidRPr="00C942D2">
        <w:t xml:space="preserve">el Ejecutivo Departamental, mediante Oficio N° 129/2018 de fecha 2/08/018, solicitó a la Junta Departamental la venia correspondiente previa a la desafectación del dominio  público del predio </w:t>
      </w:r>
      <w:r>
        <w:t>propiedad de la Intendencia;</w:t>
      </w:r>
    </w:p>
    <w:p w:rsidR="005067A5" w:rsidRPr="00EF50AF" w:rsidRDefault="00925E8F" w:rsidP="00925E8F">
      <w:pPr>
        <w:spacing w:line="360" w:lineRule="auto"/>
        <w:ind w:firstLine="2694"/>
        <w:jc w:val="both"/>
      </w:pPr>
      <w:r>
        <w:t xml:space="preserve"> </w:t>
      </w:r>
      <w:r w:rsidR="007D6531" w:rsidRPr="00925E8F">
        <w:rPr>
          <w:b/>
        </w:rPr>
        <w:t>4</w:t>
      </w:r>
      <w:r w:rsidR="004B29F8" w:rsidRPr="00EF50AF">
        <w:rPr>
          <w:b/>
        </w:rPr>
        <w:t xml:space="preserve">) </w:t>
      </w:r>
      <w:r w:rsidR="004B29F8" w:rsidRPr="00EF50AF">
        <w:t>que la Junta Departamental de</w:t>
      </w:r>
      <w:r w:rsidR="00F33897" w:rsidRPr="00EF50AF">
        <w:t xml:space="preserve"> Cerro Largo </w:t>
      </w:r>
      <w:r w:rsidR="005067A5" w:rsidRPr="00EF50AF">
        <w:t xml:space="preserve">aprobó, con fecha 13/12/018 y por unanimidad de 26 votos en 26 </w:t>
      </w:r>
      <w:r w:rsidR="00666367">
        <w:t>e</w:t>
      </w:r>
      <w:r w:rsidR="005067A5" w:rsidRPr="00EF50AF">
        <w:t>diles presentes, el Decreto N° 38/18, que otorgó la venia y autorización solicitada por el Ejecutivo Departamental, para:</w:t>
      </w:r>
    </w:p>
    <w:p w:rsidR="005067A5" w:rsidRPr="00EF50AF" w:rsidRDefault="007D6531" w:rsidP="00925E8F">
      <w:pPr>
        <w:spacing w:line="360" w:lineRule="auto"/>
        <w:jc w:val="both"/>
      </w:pPr>
      <w:r>
        <w:rPr>
          <w:b/>
        </w:rPr>
        <w:t>4</w:t>
      </w:r>
      <w:r w:rsidR="005067A5" w:rsidRPr="0091046F">
        <w:rPr>
          <w:b/>
        </w:rPr>
        <w:t>.1)</w:t>
      </w:r>
      <w:r w:rsidR="005067A5" w:rsidRPr="00EF50AF">
        <w:t xml:space="preserve"> desafectar del dominio público la Fracción de campo que ocupa el Camino Vecinal al Durazno (Resultando 1); y</w:t>
      </w:r>
    </w:p>
    <w:p w:rsidR="005067A5" w:rsidRDefault="007D6531" w:rsidP="00925E8F">
      <w:pPr>
        <w:spacing w:line="360" w:lineRule="auto"/>
        <w:jc w:val="both"/>
      </w:pPr>
      <w:r>
        <w:rPr>
          <w:b/>
        </w:rPr>
        <w:t>4</w:t>
      </w:r>
      <w:r w:rsidR="005067A5" w:rsidRPr="0091046F">
        <w:rPr>
          <w:b/>
        </w:rPr>
        <w:t>.2)</w:t>
      </w:r>
      <w:r w:rsidR="005067A5" w:rsidRPr="00EF50AF">
        <w:t xml:space="preserve"> permutar la fracción de campo desafectada por la fracción de campo </w:t>
      </w:r>
      <w:r w:rsidR="005067A5" w:rsidRPr="00DB25E4">
        <w:t>Padr</w:t>
      </w:r>
      <w:r w:rsidR="00D100F0">
        <w:t>ón Rural N° 606 (Resultando 2);</w:t>
      </w:r>
    </w:p>
    <w:p w:rsidR="0091046F" w:rsidRPr="00DB25E4" w:rsidRDefault="00D100F0" w:rsidP="00D100F0">
      <w:pPr>
        <w:spacing w:line="360" w:lineRule="auto"/>
        <w:ind w:firstLine="2694"/>
        <w:jc w:val="both"/>
      </w:pPr>
      <w:r>
        <w:rPr>
          <w:b/>
        </w:rPr>
        <w:t xml:space="preserve"> </w:t>
      </w:r>
      <w:r w:rsidR="007D6531">
        <w:rPr>
          <w:b/>
        </w:rPr>
        <w:t>5</w:t>
      </w:r>
      <w:r w:rsidR="0091046F" w:rsidRPr="0091046F">
        <w:rPr>
          <w:b/>
        </w:rPr>
        <w:t>)</w:t>
      </w:r>
      <w:r w:rsidR="0091046F">
        <w:t xml:space="preserve"> que no surge </w:t>
      </w:r>
      <w:r w:rsidR="00666367">
        <w:t>d</w:t>
      </w:r>
      <w:r w:rsidR="0091046F">
        <w:t>e las actuaciones</w:t>
      </w:r>
      <w:r w:rsidR="00666367">
        <w:t>,</w:t>
      </w:r>
      <w:r w:rsidR="0091046F">
        <w:t xml:space="preserve"> el val</w:t>
      </w:r>
      <w:r>
        <w:t>or de los inmuebles a permutar;</w:t>
      </w:r>
    </w:p>
    <w:p w:rsidR="000979B1" w:rsidRPr="00DB25E4" w:rsidRDefault="00BD776D" w:rsidP="00D100F0">
      <w:pPr>
        <w:widowControl w:val="0"/>
        <w:spacing w:line="360" w:lineRule="auto"/>
        <w:ind w:firstLine="851"/>
        <w:jc w:val="both"/>
        <w:rPr>
          <w:lang w:val="es-MX"/>
        </w:rPr>
      </w:pPr>
      <w:r w:rsidRPr="00DB25E4">
        <w:rPr>
          <w:b/>
          <w:bCs/>
        </w:rPr>
        <w:lastRenderedPageBreak/>
        <w:t xml:space="preserve">CONSIDERANDO: </w:t>
      </w:r>
      <w:r w:rsidRPr="00DB25E4">
        <w:rPr>
          <w:b/>
          <w:lang w:val="es-MX"/>
        </w:rPr>
        <w:t>1)</w:t>
      </w:r>
      <w:r w:rsidRPr="00DB25E4">
        <w:rPr>
          <w:lang w:val="es-MX"/>
        </w:rPr>
        <w:t xml:space="preserve"> que conforme a</w:t>
      </w:r>
      <w:r w:rsidR="00601AEF" w:rsidRPr="00DB25E4">
        <w:rPr>
          <w:lang w:val="es-MX"/>
        </w:rPr>
        <w:t xml:space="preserve"> </w:t>
      </w:r>
      <w:r w:rsidRPr="00DB25E4">
        <w:rPr>
          <w:lang w:val="es-MX"/>
        </w:rPr>
        <w:t>l</w:t>
      </w:r>
      <w:r w:rsidR="00601AEF" w:rsidRPr="00DB25E4">
        <w:rPr>
          <w:lang w:val="es-MX"/>
        </w:rPr>
        <w:t xml:space="preserve">o dispuesto en el </w:t>
      </w:r>
      <w:r w:rsidR="00666367">
        <w:rPr>
          <w:lang w:val="es-MX"/>
        </w:rPr>
        <w:t>a</w:t>
      </w:r>
      <w:r w:rsidR="00601AEF" w:rsidRPr="00DB25E4">
        <w:rPr>
          <w:lang w:val="es-MX"/>
        </w:rPr>
        <w:t>rt. 3</w:t>
      </w:r>
      <w:r w:rsidR="000979B1" w:rsidRPr="00DB25E4">
        <w:rPr>
          <w:lang w:val="es-MX"/>
        </w:rPr>
        <w:t>7</w:t>
      </w:r>
      <w:r w:rsidR="00601AEF" w:rsidRPr="00DB25E4">
        <w:rPr>
          <w:lang w:val="es-MX"/>
        </w:rPr>
        <w:t xml:space="preserve"> </w:t>
      </w:r>
      <w:proofErr w:type="spellStart"/>
      <w:r w:rsidR="00666367">
        <w:rPr>
          <w:lang w:val="es-MX"/>
        </w:rPr>
        <w:t>n</w:t>
      </w:r>
      <w:r w:rsidR="000979B1" w:rsidRPr="00DB25E4">
        <w:rPr>
          <w:lang w:val="es-MX"/>
        </w:rPr>
        <w:t>ral</w:t>
      </w:r>
      <w:proofErr w:type="spellEnd"/>
      <w:r w:rsidR="000979B1" w:rsidRPr="00DB25E4">
        <w:rPr>
          <w:lang w:val="es-MX"/>
        </w:rPr>
        <w:t>. 2</w:t>
      </w:r>
      <w:r w:rsidR="00601AEF" w:rsidRPr="00DB25E4">
        <w:rPr>
          <w:lang w:val="es-MX"/>
        </w:rPr>
        <w:t>) de la Ley 9.515</w:t>
      </w:r>
      <w:r w:rsidR="000979B1" w:rsidRPr="00DB25E4">
        <w:rPr>
          <w:lang w:val="es-MX"/>
        </w:rPr>
        <w:t>, de fecha 28/10/935</w:t>
      </w:r>
      <w:r w:rsidR="00601AEF" w:rsidRPr="00DB25E4">
        <w:rPr>
          <w:lang w:val="es-MX"/>
        </w:rPr>
        <w:t xml:space="preserve">, </w:t>
      </w:r>
      <w:r w:rsidR="000979B1" w:rsidRPr="00DB25E4">
        <w:rPr>
          <w:lang w:val="es-MX"/>
        </w:rPr>
        <w:t>el Intendente podrá enajenar o gravar cualquier bien departamental, previa autorización de los dos tercios de votos de los miembros de la Junta Departamental;</w:t>
      </w:r>
    </w:p>
    <w:p w:rsidR="00D100F0" w:rsidRDefault="00D100F0" w:rsidP="00D100F0">
      <w:pPr>
        <w:spacing w:line="360" w:lineRule="auto"/>
        <w:ind w:firstLine="2977"/>
        <w:jc w:val="both"/>
        <w:rPr>
          <w:rFonts w:cs="Times New Roman"/>
          <w:szCs w:val="20"/>
        </w:rPr>
      </w:pPr>
      <w:r>
        <w:rPr>
          <w:lang w:val="es-MX"/>
        </w:rPr>
        <w:t xml:space="preserve"> </w:t>
      </w:r>
      <w:r w:rsidR="00DB25E4">
        <w:rPr>
          <w:b/>
          <w:lang w:val="es-MX"/>
        </w:rPr>
        <w:t>2</w:t>
      </w:r>
      <w:r w:rsidR="00BB30CB" w:rsidRPr="001048FA">
        <w:rPr>
          <w:b/>
          <w:lang w:val="es-MX"/>
        </w:rPr>
        <w:t xml:space="preserve">) </w:t>
      </w:r>
      <w:r w:rsidR="00BD776D" w:rsidRPr="001048FA">
        <w:t>que</w:t>
      </w:r>
      <w:r w:rsidR="004A22EA" w:rsidRPr="004A22EA">
        <w:rPr>
          <w:rFonts w:cs="Times New Roman"/>
          <w:szCs w:val="20"/>
        </w:rPr>
        <w:t xml:space="preserve"> se dio cumplimiento a lo dispuesto por el </w:t>
      </w:r>
      <w:r w:rsidR="00666367">
        <w:rPr>
          <w:rFonts w:cs="Times New Roman"/>
          <w:szCs w:val="20"/>
        </w:rPr>
        <w:t>a</w:t>
      </w:r>
      <w:r w:rsidR="004A22EA" w:rsidRPr="004A22EA">
        <w:rPr>
          <w:rFonts w:cs="Times New Roman"/>
          <w:szCs w:val="20"/>
        </w:rPr>
        <w:t xml:space="preserve">rt. 19 </w:t>
      </w:r>
      <w:proofErr w:type="spellStart"/>
      <w:r w:rsidR="00666367">
        <w:rPr>
          <w:rFonts w:cs="Times New Roman"/>
          <w:szCs w:val="20"/>
        </w:rPr>
        <w:t>n</w:t>
      </w:r>
      <w:r w:rsidR="004A22EA" w:rsidRPr="004A22EA">
        <w:rPr>
          <w:rFonts w:cs="Times New Roman"/>
          <w:szCs w:val="20"/>
        </w:rPr>
        <w:t>ral</w:t>
      </w:r>
      <w:proofErr w:type="spellEnd"/>
      <w:r w:rsidR="004A22EA" w:rsidRPr="004A22EA">
        <w:rPr>
          <w:rFonts w:cs="Times New Roman"/>
          <w:szCs w:val="20"/>
        </w:rPr>
        <w:t>. 15 de la Ley Orgánica Municipal Nº 9.515</w:t>
      </w:r>
      <w:r w:rsidR="004A22EA">
        <w:rPr>
          <w:rFonts w:cs="Times New Roman"/>
          <w:szCs w:val="20"/>
        </w:rPr>
        <w:t xml:space="preserve"> de fecha 28/10/935</w:t>
      </w:r>
      <w:r w:rsidR="004A22EA" w:rsidRPr="004A22EA">
        <w:rPr>
          <w:rFonts w:cs="Times New Roman"/>
          <w:szCs w:val="20"/>
        </w:rPr>
        <w:t>;</w:t>
      </w:r>
    </w:p>
    <w:p w:rsidR="004A22EA" w:rsidRDefault="00D100F0" w:rsidP="00D100F0">
      <w:pPr>
        <w:spacing w:line="360" w:lineRule="auto"/>
        <w:ind w:firstLine="2977"/>
        <w:jc w:val="both"/>
        <w:rPr>
          <w:rFonts w:cs="Times New Roman"/>
          <w:szCs w:val="20"/>
        </w:rPr>
      </w:pPr>
      <w:r>
        <w:rPr>
          <w:rFonts w:cs="Times New Roman"/>
          <w:szCs w:val="20"/>
        </w:rPr>
        <w:t xml:space="preserve"> </w:t>
      </w:r>
      <w:r w:rsidR="004A22EA" w:rsidRPr="004A22EA">
        <w:rPr>
          <w:rFonts w:cs="Times New Roman"/>
          <w:b/>
          <w:szCs w:val="20"/>
        </w:rPr>
        <w:t xml:space="preserve">3) </w:t>
      </w:r>
      <w:r w:rsidR="004A22EA" w:rsidRPr="003B3B10">
        <w:rPr>
          <w:rFonts w:cs="Times New Roman"/>
          <w:szCs w:val="20"/>
        </w:rPr>
        <w:t>que</w:t>
      </w:r>
      <w:r>
        <w:rPr>
          <w:rFonts w:cs="Times New Roman"/>
          <w:szCs w:val="20"/>
        </w:rPr>
        <w:t xml:space="preserve"> no obstante no</w:t>
      </w:r>
      <w:r w:rsidR="00666367">
        <w:rPr>
          <w:rFonts w:cs="Times New Roman"/>
          <w:szCs w:val="20"/>
        </w:rPr>
        <w:t xml:space="preserve"> se dio cumplimiento a lo dispuesto por el a</w:t>
      </w:r>
      <w:r w:rsidR="003B3B10" w:rsidRPr="003B3B10">
        <w:rPr>
          <w:rFonts w:cs="Times New Roman"/>
          <w:szCs w:val="20"/>
        </w:rPr>
        <w:t xml:space="preserve">rt. 41 del T.O.C.A.F. (Resultando </w:t>
      </w:r>
      <w:r w:rsidR="00666367">
        <w:rPr>
          <w:rFonts w:cs="Times New Roman"/>
          <w:szCs w:val="20"/>
        </w:rPr>
        <w:t>5</w:t>
      </w:r>
      <w:r w:rsidR="003B3B10" w:rsidRPr="003B3B10">
        <w:rPr>
          <w:rFonts w:cs="Times New Roman"/>
          <w:szCs w:val="20"/>
        </w:rPr>
        <w:t>)</w:t>
      </w:r>
      <w:r w:rsidR="00666367">
        <w:rPr>
          <w:rFonts w:cs="Times New Roman"/>
          <w:szCs w:val="20"/>
        </w:rPr>
        <w:t>, al no haberse fijado los valores de los predios para determinar: si la permuta queda comprendida en la hipótesis que plantea dicha disposición (valor equivalente o una diferencia reducida), y el procedimiento d</w:t>
      </w:r>
      <w:r>
        <w:rPr>
          <w:rFonts w:cs="Times New Roman"/>
          <w:szCs w:val="20"/>
        </w:rPr>
        <w:t>e contratación que correspondía</w:t>
      </w:r>
      <w:r w:rsidR="00666367">
        <w:rPr>
          <w:rFonts w:cs="Times New Roman"/>
          <w:szCs w:val="20"/>
        </w:rPr>
        <w:t xml:space="preserve"> seguir por el monto, de acuerdo al art. 33 del </w:t>
      </w:r>
      <w:r>
        <w:rPr>
          <w:rFonts w:cs="Times New Roman"/>
          <w:szCs w:val="20"/>
        </w:rPr>
        <w:t>T.O.C.A.F;</w:t>
      </w:r>
    </w:p>
    <w:p w:rsidR="00BD776D" w:rsidRPr="00246CB2" w:rsidRDefault="00BD776D" w:rsidP="00D100F0">
      <w:pPr>
        <w:spacing w:line="360" w:lineRule="auto"/>
        <w:ind w:firstLine="851"/>
        <w:jc w:val="both"/>
        <w:rPr>
          <w:lang w:val="es-MX"/>
        </w:rPr>
      </w:pPr>
      <w:r w:rsidRPr="00246CB2">
        <w:rPr>
          <w:b/>
          <w:lang w:val="es-MX"/>
        </w:rPr>
        <w:t xml:space="preserve">ATENTO: </w:t>
      </w:r>
      <w:r w:rsidRPr="00246CB2">
        <w:rPr>
          <w:lang w:val="es-MX"/>
        </w:rPr>
        <w:t>a lo precedentemente expuesto;</w:t>
      </w:r>
    </w:p>
    <w:p w:rsidR="00BD776D" w:rsidRPr="00246CB2" w:rsidRDefault="00BD776D" w:rsidP="00925E8F">
      <w:pPr>
        <w:pStyle w:val="Ttulo2"/>
      </w:pPr>
      <w:r w:rsidRPr="00246CB2">
        <w:t>EL TRIBUNAL ACUERDA</w:t>
      </w:r>
    </w:p>
    <w:p w:rsidR="00BD014E" w:rsidRDefault="00D100F0" w:rsidP="00D100F0">
      <w:pPr>
        <w:pStyle w:val="Textoindependiente"/>
        <w:spacing w:line="360" w:lineRule="auto"/>
      </w:pPr>
      <w:r w:rsidRPr="00D100F0">
        <w:rPr>
          <w:b/>
          <w:lang w:val="es-MX"/>
        </w:rPr>
        <w:t>1)</w:t>
      </w:r>
      <w:r>
        <w:rPr>
          <w:lang w:val="es-MX"/>
        </w:rPr>
        <w:t xml:space="preserve"> </w:t>
      </w:r>
      <w:r w:rsidR="00BD014E">
        <w:t>Observar la permuta proyectada</w:t>
      </w:r>
      <w:r w:rsidR="00666367">
        <w:t xml:space="preserve"> por lo expresado en el Considerando 3</w:t>
      </w:r>
      <w:r w:rsidR="00BD014E">
        <w:t>;</w:t>
      </w:r>
    </w:p>
    <w:p w:rsidR="00BD776D" w:rsidRDefault="00D100F0" w:rsidP="00D100F0">
      <w:pPr>
        <w:pStyle w:val="Textoindependiente"/>
        <w:spacing w:line="360" w:lineRule="auto"/>
      </w:pPr>
      <w:r w:rsidRPr="00D100F0">
        <w:rPr>
          <w:b/>
        </w:rPr>
        <w:t>2)</w:t>
      </w:r>
      <w:r>
        <w:t xml:space="preserve"> </w:t>
      </w:r>
      <w:r w:rsidR="00BD776D" w:rsidRPr="00246CB2">
        <w:t>Devolver las actuaciones.</w:t>
      </w:r>
      <w:r w:rsidR="00BD776D">
        <w:t xml:space="preserve"> </w:t>
      </w:r>
    </w:p>
    <w:p w:rsidR="00BD776D" w:rsidRDefault="00BD776D" w:rsidP="00925E8F">
      <w:pPr>
        <w:pStyle w:val="Textoindependiente"/>
        <w:spacing w:line="360" w:lineRule="auto"/>
      </w:pPr>
    </w:p>
    <w:p w:rsidR="00BD776D" w:rsidRPr="00925E8F" w:rsidRDefault="00BD776D" w:rsidP="00925E8F">
      <w:pPr>
        <w:spacing w:line="360" w:lineRule="auto"/>
      </w:pPr>
    </w:p>
    <w:p w:rsidR="00F523A9" w:rsidRPr="00925E8F" w:rsidRDefault="00925E8F" w:rsidP="00925E8F">
      <w:pPr>
        <w:spacing w:line="360" w:lineRule="auto"/>
        <w:rPr>
          <w:lang w:val="es-MX"/>
        </w:rPr>
      </w:pPr>
      <w:proofErr w:type="gramStart"/>
      <w:r w:rsidRPr="00925E8F">
        <w:rPr>
          <w:bCs/>
        </w:rPr>
        <w:t>lm</w:t>
      </w:r>
      <w:bookmarkStart w:id="0" w:name="_GoBack"/>
      <w:bookmarkEnd w:id="0"/>
      <w:proofErr w:type="gramEnd"/>
    </w:p>
    <w:sectPr w:rsidR="00F523A9" w:rsidRPr="00925E8F" w:rsidSect="00925E8F">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E8F" w:rsidRDefault="00925E8F" w:rsidP="005C3863">
      <w:r>
        <w:separator/>
      </w:r>
    </w:p>
  </w:endnote>
  <w:endnote w:type="continuationSeparator" w:id="0">
    <w:p w:rsidR="00925E8F" w:rsidRDefault="00925E8F" w:rsidP="005C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653050"/>
      <w:docPartObj>
        <w:docPartGallery w:val="Page Numbers (Bottom of Page)"/>
        <w:docPartUnique/>
      </w:docPartObj>
    </w:sdtPr>
    <w:sdtContent>
      <w:p w:rsidR="00925E8F" w:rsidRDefault="00925E8F">
        <w:pPr>
          <w:pStyle w:val="Piedepgina"/>
          <w:jc w:val="center"/>
        </w:pPr>
        <w:r>
          <w:fldChar w:fldCharType="begin"/>
        </w:r>
        <w:r>
          <w:instrText>PAGE   \* MERGEFORMAT</w:instrText>
        </w:r>
        <w:r>
          <w:fldChar w:fldCharType="separate"/>
        </w:r>
        <w:r w:rsidR="00D100F0">
          <w:rPr>
            <w:noProof/>
          </w:rPr>
          <w:t>1</w:t>
        </w:r>
        <w:r>
          <w:fldChar w:fldCharType="end"/>
        </w:r>
      </w:p>
    </w:sdtContent>
  </w:sdt>
  <w:p w:rsidR="00925E8F" w:rsidRDefault="00925E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E8F" w:rsidRDefault="00925E8F" w:rsidP="005C3863">
      <w:r>
        <w:separator/>
      </w:r>
    </w:p>
  </w:footnote>
  <w:footnote w:type="continuationSeparator" w:id="0">
    <w:p w:rsidR="00925E8F" w:rsidRDefault="00925E8F" w:rsidP="005C38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F4C7F"/>
    <w:multiLevelType w:val="hybridMultilevel"/>
    <w:tmpl w:val="1328269E"/>
    <w:lvl w:ilvl="0" w:tplc="E91672E2">
      <w:start w:val="1"/>
      <w:numFmt w:val="decimal"/>
      <w:lvlText w:val="%1)"/>
      <w:lvlJc w:val="left"/>
      <w:pPr>
        <w:ind w:left="720" w:hanging="360"/>
      </w:pPr>
      <w:rPr>
        <w:rFonts w:ascii="Arial" w:eastAsia="Times New Roman" w:hAnsi="Arial" w:cs="Times New Roman"/>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76D"/>
    <w:rsid w:val="000366F6"/>
    <w:rsid w:val="0008557B"/>
    <w:rsid w:val="00096AF7"/>
    <w:rsid w:val="000979B1"/>
    <w:rsid w:val="001048FA"/>
    <w:rsid w:val="001B411A"/>
    <w:rsid w:val="002052DA"/>
    <w:rsid w:val="00246CB2"/>
    <w:rsid w:val="002E21ED"/>
    <w:rsid w:val="003168E5"/>
    <w:rsid w:val="00330AB2"/>
    <w:rsid w:val="003B1F65"/>
    <w:rsid w:val="003B3B10"/>
    <w:rsid w:val="00421C0A"/>
    <w:rsid w:val="004A22EA"/>
    <w:rsid w:val="004B29F8"/>
    <w:rsid w:val="004B2DD4"/>
    <w:rsid w:val="004B73A4"/>
    <w:rsid w:val="004C0EF4"/>
    <w:rsid w:val="004C2301"/>
    <w:rsid w:val="004D0AE2"/>
    <w:rsid w:val="004E3279"/>
    <w:rsid w:val="005067A5"/>
    <w:rsid w:val="00531998"/>
    <w:rsid w:val="00557535"/>
    <w:rsid w:val="005861DC"/>
    <w:rsid w:val="005C3863"/>
    <w:rsid w:val="005D1384"/>
    <w:rsid w:val="00601AEF"/>
    <w:rsid w:val="00666367"/>
    <w:rsid w:val="00667F2C"/>
    <w:rsid w:val="00671D34"/>
    <w:rsid w:val="006D7202"/>
    <w:rsid w:val="007C7CE9"/>
    <w:rsid w:val="007D6531"/>
    <w:rsid w:val="008142C4"/>
    <w:rsid w:val="00852DEA"/>
    <w:rsid w:val="008A2709"/>
    <w:rsid w:val="00905AA6"/>
    <w:rsid w:val="0091046F"/>
    <w:rsid w:val="009221B0"/>
    <w:rsid w:val="00925E8F"/>
    <w:rsid w:val="009F03FC"/>
    <w:rsid w:val="00A10084"/>
    <w:rsid w:val="00AB37E3"/>
    <w:rsid w:val="00AE1E8E"/>
    <w:rsid w:val="00AE59C2"/>
    <w:rsid w:val="00B153D0"/>
    <w:rsid w:val="00BB30CB"/>
    <w:rsid w:val="00BC47A8"/>
    <w:rsid w:val="00BD014E"/>
    <w:rsid w:val="00BD776D"/>
    <w:rsid w:val="00BE3A04"/>
    <w:rsid w:val="00C74D31"/>
    <w:rsid w:val="00C942D2"/>
    <w:rsid w:val="00CD63DC"/>
    <w:rsid w:val="00D100F0"/>
    <w:rsid w:val="00D57B9A"/>
    <w:rsid w:val="00DB25E4"/>
    <w:rsid w:val="00DB3C14"/>
    <w:rsid w:val="00DE21A1"/>
    <w:rsid w:val="00E1177A"/>
    <w:rsid w:val="00E4725A"/>
    <w:rsid w:val="00E855F9"/>
    <w:rsid w:val="00EF50AF"/>
    <w:rsid w:val="00F33897"/>
    <w:rsid w:val="00F523A9"/>
    <w:rsid w:val="00FC14B4"/>
    <w:rsid w:val="00FE01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76D"/>
    <w:pPr>
      <w:spacing w:after="0" w:line="240" w:lineRule="auto"/>
    </w:pPr>
    <w:rPr>
      <w:rFonts w:ascii="Arial" w:eastAsia="Times New Roman" w:hAnsi="Arial" w:cs="Arial"/>
      <w:sz w:val="24"/>
      <w:szCs w:val="24"/>
      <w:lang w:eastAsia="es-ES"/>
    </w:rPr>
  </w:style>
  <w:style w:type="paragraph" w:styleId="Ttulo1">
    <w:name w:val="heading 1"/>
    <w:basedOn w:val="Normal"/>
    <w:next w:val="Normal"/>
    <w:link w:val="Ttulo1Car"/>
    <w:qFormat/>
    <w:rsid w:val="00BD776D"/>
    <w:pPr>
      <w:keepNext/>
      <w:jc w:val="center"/>
      <w:outlineLvl w:val="0"/>
    </w:pPr>
    <w:rPr>
      <w:b/>
      <w:bCs/>
    </w:rPr>
  </w:style>
  <w:style w:type="paragraph" w:styleId="Ttulo2">
    <w:name w:val="heading 2"/>
    <w:basedOn w:val="Normal"/>
    <w:next w:val="Normal"/>
    <w:link w:val="Ttulo2Car"/>
    <w:semiHidden/>
    <w:unhideWhenUsed/>
    <w:qFormat/>
    <w:rsid w:val="00BD776D"/>
    <w:pPr>
      <w:keepNext/>
      <w:spacing w:line="360" w:lineRule="auto"/>
      <w:jc w:val="center"/>
      <w:outlineLvl w:val="1"/>
    </w:pPr>
    <w:rPr>
      <w:rFonts w:cs="Times New Roman"/>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776D"/>
    <w:rPr>
      <w:rFonts w:ascii="Arial" w:eastAsia="Times New Roman" w:hAnsi="Arial" w:cs="Arial"/>
      <w:b/>
      <w:bCs/>
      <w:sz w:val="24"/>
      <w:szCs w:val="24"/>
      <w:lang w:eastAsia="es-ES"/>
    </w:rPr>
  </w:style>
  <w:style w:type="character" w:customStyle="1" w:styleId="Ttulo2Car">
    <w:name w:val="Título 2 Car"/>
    <w:basedOn w:val="Fuentedeprrafopredeter"/>
    <w:link w:val="Ttulo2"/>
    <w:semiHidden/>
    <w:rsid w:val="00BD776D"/>
    <w:rPr>
      <w:rFonts w:ascii="Arial" w:eastAsia="Times New Roman" w:hAnsi="Arial" w:cs="Times New Roman"/>
      <w:b/>
      <w:sz w:val="24"/>
      <w:szCs w:val="24"/>
      <w:lang w:val="es-MX" w:eastAsia="es-ES"/>
    </w:rPr>
  </w:style>
  <w:style w:type="paragraph" w:styleId="Textoindependiente">
    <w:name w:val="Body Text"/>
    <w:basedOn w:val="Normal"/>
    <w:link w:val="TextoindependienteCar"/>
    <w:semiHidden/>
    <w:unhideWhenUsed/>
    <w:rsid w:val="00BD776D"/>
    <w:pPr>
      <w:jc w:val="both"/>
    </w:pPr>
    <w:rPr>
      <w:rFonts w:cs="Times New Roman"/>
    </w:rPr>
  </w:style>
  <w:style w:type="character" w:customStyle="1" w:styleId="TextoindependienteCar">
    <w:name w:val="Texto independiente Car"/>
    <w:basedOn w:val="Fuentedeprrafopredeter"/>
    <w:link w:val="Textoindependiente"/>
    <w:semiHidden/>
    <w:rsid w:val="00BD776D"/>
    <w:rPr>
      <w:rFonts w:ascii="Arial" w:eastAsia="Times New Roman" w:hAnsi="Arial" w:cs="Times New Roman"/>
      <w:sz w:val="24"/>
      <w:szCs w:val="24"/>
      <w:lang w:eastAsia="es-ES"/>
    </w:rPr>
  </w:style>
  <w:style w:type="character" w:styleId="Refdecomentario">
    <w:name w:val="annotation reference"/>
    <w:basedOn w:val="Fuentedeprrafopredeter"/>
    <w:uiPriority w:val="99"/>
    <w:semiHidden/>
    <w:unhideWhenUsed/>
    <w:rsid w:val="00AE59C2"/>
    <w:rPr>
      <w:sz w:val="16"/>
      <w:szCs w:val="16"/>
    </w:rPr>
  </w:style>
  <w:style w:type="paragraph" w:styleId="Textocomentario">
    <w:name w:val="annotation text"/>
    <w:basedOn w:val="Normal"/>
    <w:link w:val="TextocomentarioCar"/>
    <w:uiPriority w:val="99"/>
    <w:semiHidden/>
    <w:unhideWhenUsed/>
    <w:rsid w:val="00AE59C2"/>
    <w:rPr>
      <w:sz w:val="20"/>
      <w:szCs w:val="20"/>
    </w:rPr>
  </w:style>
  <w:style w:type="character" w:customStyle="1" w:styleId="TextocomentarioCar">
    <w:name w:val="Texto comentario Car"/>
    <w:basedOn w:val="Fuentedeprrafopredeter"/>
    <w:link w:val="Textocomentario"/>
    <w:uiPriority w:val="99"/>
    <w:semiHidden/>
    <w:rsid w:val="00AE59C2"/>
    <w:rPr>
      <w:rFonts w:ascii="Arial" w:eastAsia="Times New Roman" w:hAnsi="Arial" w:cs="Arial"/>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E59C2"/>
    <w:rPr>
      <w:b/>
      <w:bCs/>
    </w:rPr>
  </w:style>
  <w:style w:type="character" w:customStyle="1" w:styleId="AsuntodelcomentarioCar">
    <w:name w:val="Asunto del comentario Car"/>
    <w:basedOn w:val="TextocomentarioCar"/>
    <w:link w:val="Asuntodelcomentario"/>
    <w:uiPriority w:val="99"/>
    <w:semiHidden/>
    <w:rsid w:val="00AE59C2"/>
    <w:rPr>
      <w:rFonts w:ascii="Arial" w:eastAsia="Times New Roman" w:hAnsi="Arial" w:cs="Arial"/>
      <w:b/>
      <w:bCs/>
      <w:sz w:val="20"/>
      <w:szCs w:val="20"/>
      <w:lang w:eastAsia="es-ES"/>
    </w:rPr>
  </w:style>
  <w:style w:type="paragraph" w:styleId="Textodeglobo">
    <w:name w:val="Balloon Text"/>
    <w:basedOn w:val="Normal"/>
    <w:link w:val="TextodegloboCar"/>
    <w:uiPriority w:val="99"/>
    <w:semiHidden/>
    <w:unhideWhenUsed/>
    <w:rsid w:val="00AE59C2"/>
    <w:rPr>
      <w:rFonts w:ascii="Tahoma" w:hAnsi="Tahoma" w:cs="Tahoma"/>
      <w:sz w:val="16"/>
      <w:szCs w:val="16"/>
    </w:rPr>
  </w:style>
  <w:style w:type="character" w:customStyle="1" w:styleId="TextodegloboCar">
    <w:name w:val="Texto de globo Car"/>
    <w:basedOn w:val="Fuentedeprrafopredeter"/>
    <w:link w:val="Textodeglobo"/>
    <w:uiPriority w:val="99"/>
    <w:semiHidden/>
    <w:rsid w:val="00AE59C2"/>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5C3863"/>
    <w:pPr>
      <w:tabs>
        <w:tab w:val="center" w:pos="4252"/>
        <w:tab w:val="right" w:pos="8504"/>
      </w:tabs>
    </w:pPr>
  </w:style>
  <w:style w:type="character" w:customStyle="1" w:styleId="EncabezadoCar">
    <w:name w:val="Encabezado Car"/>
    <w:basedOn w:val="Fuentedeprrafopredeter"/>
    <w:link w:val="Encabezado"/>
    <w:uiPriority w:val="99"/>
    <w:rsid w:val="005C3863"/>
    <w:rPr>
      <w:rFonts w:ascii="Arial" w:eastAsia="Times New Roman" w:hAnsi="Arial" w:cs="Arial"/>
      <w:sz w:val="24"/>
      <w:szCs w:val="24"/>
      <w:lang w:eastAsia="es-ES"/>
    </w:rPr>
  </w:style>
  <w:style w:type="paragraph" w:styleId="Piedepgina">
    <w:name w:val="footer"/>
    <w:basedOn w:val="Normal"/>
    <w:link w:val="PiedepginaCar"/>
    <w:uiPriority w:val="99"/>
    <w:unhideWhenUsed/>
    <w:rsid w:val="005C3863"/>
    <w:pPr>
      <w:tabs>
        <w:tab w:val="center" w:pos="4252"/>
        <w:tab w:val="right" w:pos="8504"/>
      </w:tabs>
    </w:pPr>
  </w:style>
  <w:style w:type="character" w:customStyle="1" w:styleId="PiedepginaCar">
    <w:name w:val="Pie de página Car"/>
    <w:basedOn w:val="Fuentedeprrafopredeter"/>
    <w:link w:val="Piedepgina"/>
    <w:uiPriority w:val="99"/>
    <w:rsid w:val="005C3863"/>
    <w:rPr>
      <w:rFonts w:ascii="Arial" w:eastAsia="Times New Roman" w:hAnsi="Arial" w:cs="Arial"/>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76D"/>
    <w:pPr>
      <w:spacing w:after="0" w:line="240" w:lineRule="auto"/>
    </w:pPr>
    <w:rPr>
      <w:rFonts w:ascii="Arial" w:eastAsia="Times New Roman" w:hAnsi="Arial" w:cs="Arial"/>
      <w:sz w:val="24"/>
      <w:szCs w:val="24"/>
      <w:lang w:eastAsia="es-ES"/>
    </w:rPr>
  </w:style>
  <w:style w:type="paragraph" w:styleId="Ttulo1">
    <w:name w:val="heading 1"/>
    <w:basedOn w:val="Normal"/>
    <w:next w:val="Normal"/>
    <w:link w:val="Ttulo1Car"/>
    <w:qFormat/>
    <w:rsid w:val="00BD776D"/>
    <w:pPr>
      <w:keepNext/>
      <w:jc w:val="center"/>
      <w:outlineLvl w:val="0"/>
    </w:pPr>
    <w:rPr>
      <w:b/>
      <w:bCs/>
    </w:rPr>
  </w:style>
  <w:style w:type="paragraph" w:styleId="Ttulo2">
    <w:name w:val="heading 2"/>
    <w:basedOn w:val="Normal"/>
    <w:next w:val="Normal"/>
    <w:link w:val="Ttulo2Car"/>
    <w:semiHidden/>
    <w:unhideWhenUsed/>
    <w:qFormat/>
    <w:rsid w:val="00BD776D"/>
    <w:pPr>
      <w:keepNext/>
      <w:spacing w:line="360" w:lineRule="auto"/>
      <w:jc w:val="center"/>
      <w:outlineLvl w:val="1"/>
    </w:pPr>
    <w:rPr>
      <w:rFonts w:cs="Times New Roman"/>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776D"/>
    <w:rPr>
      <w:rFonts w:ascii="Arial" w:eastAsia="Times New Roman" w:hAnsi="Arial" w:cs="Arial"/>
      <w:b/>
      <w:bCs/>
      <w:sz w:val="24"/>
      <w:szCs w:val="24"/>
      <w:lang w:eastAsia="es-ES"/>
    </w:rPr>
  </w:style>
  <w:style w:type="character" w:customStyle="1" w:styleId="Ttulo2Car">
    <w:name w:val="Título 2 Car"/>
    <w:basedOn w:val="Fuentedeprrafopredeter"/>
    <w:link w:val="Ttulo2"/>
    <w:semiHidden/>
    <w:rsid w:val="00BD776D"/>
    <w:rPr>
      <w:rFonts w:ascii="Arial" w:eastAsia="Times New Roman" w:hAnsi="Arial" w:cs="Times New Roman"/>
      <w:b/>
      <w:sz w:val="24"/>
      <w:szCs w:val="24"/>
      <w:lang w:val="es-MX" w:eastAsia="es-ES"/>
    </w:rPr>
  </w:style>
  <w:style w:type="paragraph" w:styleId="Textoindependiente">
    <w:name w:val="Body Text"/>
    <w:basedOn w:val="Normal"/>
    <w:link w:val="TextoindependienteCar"/>
    <w:semiHidden/>
    <w:unhideWhenUsed/>
    <w:rsid w:val="00BD776D"/>
    <w:pPr>
      <w:jc w:val="both"/>
    </w:pPr>
    <w:rPr>
      <w:rFonts w:cs="Times New Roman"/>
    </w:rPr>
  </w:style>
  <w:style w:type="character" w:customStyle="1" w:styleId="TextoindependienteCar">
    <w:name w:val="Texto independiente Car"/>
    <w:basedOn w:val="Fuentedeprrafopredeter"/>
    <w:link w:val="Textoindependiente"/>
    <w:semiHidden/>
    <w:rsid w:val="00BD776D"/>
    <w:rPr>
      <w:rFonts w:ascii="Arial" w:eastAsia="Times New Roman" w:hAnsi="Arial" w:cs="Times New Roman"/>
      <w:sz w:val="24"/>
      <w:szCs w:val="24"/>
      <w:lang w:eastAsia="es-ES"/>
    </w:rPr>
  </w:style>
  <w:style w:type="character" w:styleId="Refdecomentario">
    <w:name w:val="annotation reference"/>
    <w:basedOn w:val="Fuentedeprrafopredeter"/>
    <w:uiPriority w:val="99"/>
    <w:semiHidden/>
    <w:unhideWhenUsed/>
    <w:rsid w:val="00AE59C2"/>
    <w:rPr>
      <w:sz w:val="16"/>
      <w:szCs w:val="16"/>
    </w:rPr>
  </w:style>
  <w:style w:type="paragraph" w:styleId="Textocomentario">
    <w:name w:val="annotation text"/>
    <w:basedOn w:val="Normal"/>
    <w:link w:val="TextocomentarioCar"/>
    <w:uiPriority w:val="99"/>
    <w:semiHidden/>
    <w:unhideWhenUsed/>
    <w:rsid w:val="00AE59C2"/>
    <w:rPr>
      <w:sz w:val="20"/>
      <w:szCs w:val="20"/>
    </w:rPr>
  </w:style>
  <w:style w:type="character" w:customStyle="1" w:styleId="TextocomentarioCar">
    <w:name w:val="Texto comentario Car"/>
    <w:basedOn w:val="Fuentedeprrafopredeter"/>
    <w:link w:val="Textocomentario"/>
    <w:uiPriority w:val="99"/>
    <w:semiHidden/>
    <w:rsid w:val="00AE59C2"/>
    <w:rPr>
      <w:rFonts w:ascii="Arial" w:eastAsia="Times New Roman" w:hAnsi="Arial" w:cs="Arial"/>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E59C2"/>
    <w:rPr>
      <w:b/>
      <w:bCs/>
    </w:rPr>
  </w:style>
  <w:style w:type="character" w:customStyle="1" w:styleId="AsuntodelcomentarioCar">
    <w:name w:val="Asunto del comentario Car"/>
    <w:basedOn w:val="TextocomentarioCar"/>
    <w:link w:val="Asuntodelcomentario"/>
    <w:uiPriority w:val="99"/>
    <w:semiHidden/>
    <w:rsid w:val="00AE59C2"/>
    <w:rPr>
      <w:rFonts w:ascii="Arial" w:eastAsia="Times New Roman" w:hAnsi="Arial" w:cs="Arial"/>
      <w:b/>
      <w:bCs/>
      <w:sz w:val="20"/>
      <w:szCs w:val="20"/>
      <w:lang w:eastAsia="es-ES"/>
    </w:rPr>
  </w:style>
  <w:style w:type="paragraph" w:styleId="Textodeglobo">
    <w:name w:val="Balloon Text"/>
    <w:basedOn w:val="Normal"/>
    <w:link w:val="TextodegloboCar"/>
    <w:uiPriority w:val="99"/>
    <w:semiHidden/>
    <w:unhideWhenUsed/>
    <w:rsid w:val="00AE59C2"/>
    <w:rPr>
      <w:rFonts w:ascii="Tahoma" w:hAnsi="Tahoma" w:cs="Tahoma"/>
      <w:sz w:val="16"/>
      <w:szCs w:val="16"/>
    </w:rPr>
  </w:style>
  <w:style w:type="character" w:customStyle="1" w:styleId="TextodegloboCar">
    <w:name w:val="Texto de globo Car"/>
    <w:basedOn w:val="Fuentedeprrafopredeter"/>
    <w:link w:val="Textodeglobo"/>
    <w:uiPriority w:val="99"/>
    <w:semiHidden/>
    <w:rsid w:val="00AE59C2"/>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5C3863"/>
    <w:pPr>
      <w:tabs>
        <w:tab w:val="center" w:pos="4252"/>
        <w:tab w:val="right" w:pos="8504"/>
      </w:tabs>
    </w:pPr>
  </w:style>
  <w:style w:type="character" w:customStyle="1" w:styleId="EncabezadoCar">
    <w:name w:val="Encabezado Car"/>
    <w:basedOn w:val="Fuentedeprrafopredeter"/>
    <w:link w:val="Encabezado"/>
    <w:uiPriority w:val="99"/>
    <w:rsid w:val="005C3863"/>
    <w:rPr>
      <w:rFonts w:ascii="Arial" w:eastAsia="Times New Roman" w:hAnsi="Arial" w:cs="Arial"/>
      <w:sz w:val="24"/>
      <w:szCs w:val="24"/>
      <w:lang w:eastAsia="es-ES"/>
    </w:rPr>
  </w:style>
  <w:style w:type="paragraph" w:styleId="Piedepgina">
    <w:name w:val="footer"/>
    <w:basedOn w:val="Normal"/>
    <w:link w:val="PiedepginaCar"/>
    <w:uiPriority w:val="99"/>
    <w:unhideWhenUsed/>
    <w:rsid w:val="005C3863"/>
    <w:pPr>
      <w:tabs>
        <w:tab w:val="center" w:pos="4252"/>
        <w:tab w:val="right" w:pos="8504"/>
      </w:tabs>
    </w:pPr>
  </w:style>
  <w:style w:type="character" w:customStyle="1" w:styleId="PiedepginaCar">
    <w:name w:val="Pie de página Car"/>
    <w:basedOn w:val="Fuentedeprrafopredeter"/>
    <w:link w:val="Piedepgina"/>
    <w:uiPriority w:val="99"/>
    <w:rsid w:val="005C3863"/>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16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649</Words>
  <Characters>3572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AREOSO USHER</dc:creator>
  <cp:lastModifiedBy>Tribunal1</cp:lastModifiedBy>
  <cp:revision>3</cp:revision>
  <dcterms:created xsi:type="dcterms:W3CDTF">2019-01-25T17:52:00Z</dcterms:created>
  <dcterms:modified xsi:type="dcterms:W3CDTF">2019-01-25T18:08:00Z</dcterms:modified>
</cp:coreProperties>
</file>