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ED" w:rsidRPr="003931ED" w:rsidRDefault="003931ED" w:rsidP="003931ED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  <w:lang w:val="es-ES_tradnl" w:eastAsia="es-ES"/>
        </w:rPr>
      </w:pPr>
      <w:r w:rsidRPr="003931ED">
        <w:rPr>
          <w:rFonts w:ascii="Arial" w:eastAsia="Calibri" w:hAnsi="Arial" w:cs="Arial"/>
          <w:b/>
          <w:sz w:val="28"/>
          <w:szCs w:val="28"/>
          <w:lang w:val="es-ES_tradnl" w:eastAsia="es-ES"/>
        </w:rPr>
        <w:t>RES. 25</w:t>
      </w:r>
      <w:r w:rsidR="001E0203">
        <w:rPr>
          <w:rFonts w:ascii="Arial" w:eastAsia="Calibri" w:hAnsi="Arial" w:cs="Arial"/>
          <w:b/>
          <w:sz w:val="28"/>
          <w:szCs w:val="28"/>
          <w:lang w:val="es-ES_tradnl" w:eastAsia="es-ES"/>
        </w:rPr>
        <w:t>6</w:t>
      </w:r>
      <w:r w:rsidRPr="003931ED">
        <w:rPr>
          <w:rFonts w:ascii="Arial" w:eastAsia="Calibri" w:hAnsi="Arial" w:cs="Arial"/>
          <w:b/>
          <w:sz w:val="28"/>
          <w:szCs w:val="28"/>
          <w:lang w:val="es-ES_tradnl" w:eastAsia="es-ES"/>
        </w:rPr>
        <w:t>/19</w:t>
      </w:r>
    </w:p>
    <w:p w:rsidR="003931ED" w:rsidRPr="003931ED" w:rsidRDefault="003931ED" w:rsidP="003931E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 w:eastAsia="es-ES"/>
        </w:rPr>
      </w:pPr>
    </w:p>
    <w:p w:rsidR="003931ED" w:rsidRPr="003931ED" w:rsidRDefault="003931ED" w:rsidP="003931E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Calibri" w:hAnsi="Helvetica" w:cs="Times New Roman"/>
          <w:b/>
          <w:sz w:val="24"/>
          <w:szCs w:val="24"/>
          <w:lang w:val="es-ES_tradnl" w:eastAsia="es-ES"/>
        </w:rPr>
      </w:pPr>
      <w:r w:rsidRPr="003931ED">
        <w:rPr>
          <w:rFonts w:ascii="Helvetica" w:eastAsia="Calibri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3931ED" w:rsidRPr="003931ED" w:rsidRDefault="003931ED" w:rsidP="003931ED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Calibri" w:hAnsi="Helvetica" w:cs="Times New Roman"/>
          <w:b/>
          <w:sz w:val="24"/>
          <w:szCs w:val="24"/>
          <w:lang w:val="es-ES_tradnl" w:eastAsia="es-ES"/>
        </w:rPr>
      </w:pPr>
    </w:p>
    <w:p w:rsidR="003931ED" w:rsidRPr="003931ED" w:rsidRDefault="003931ED" w:rsidP="003931E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Calibri" w:hAnsi="Helvetica" w:cs="Times New Roman"/>
          <w:b/>
          <w:sz w:val="24"/>
          <w:szCs w:val="24"/>
          <w:lang w:val="es-ES_tradnl" w:eastAsia="es-ES"/>
        </w:rPr>
      </w:pPr>
      <w:r w:rsidRPr="003931ED">
        <w:rPr>
          <w:rFonts w:ascii="Helvetica" w:eastAsia="Calibri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3931ED" w:rsidRPr="003931ED" w:rsidRDefault="003931ED" w:rsidP="003931ED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Calibri" w:hAnsi="Helvetica" w:cs="Times New Roman"/>
          <w:b/>
          <w:sz w:val="24"/>
          <w:szCs w:val="24"/>
          <w:lang w:val="es-ES_tradnl" w:eastAsia="es-ES"/>
        </w:rPr>
      </w:pPr>
    </w:p>
    <w:p w:rsidR="003931ED" w:rsidRPr="003931ED" w:rsidRDefault="003931ED" w:rsidP="003931E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Calibri" w:hAnsi="Helvetica" w:cs="Times New Roman"/>
          <w:b/>
          <w:sz w:val="24"/>
          <w:szCs w:val="24"/>
          <w:lang w:val="es-ES_tradnl" w:eastAsia="es-ES"/>
        </w:rPr>
      </w:pPr>
      <w:r w:rsidRPr="003931ED">
        <w:rPr>
          <w:rFonts w:ascii="Helvetica" w:eastAsia="Calibri" w:hAnsi="Helvetica" w:cs="Times New Roman"/>
          <w:b/>
          <w:sz w:val="24"/>
          <w:szCs w:val="24"/>
          <w:lang w:val="es-ES_tradnl" w:eastAsia="es-ES"/>
        </w:rPr>
        <w:t>EN SESION DE FECHA 23 DE ENERO DE 2019</w:t>
      </w:r>
    </w:p>
    <w:p w:rsidR="003931ED" w:rsidRPr="003931ED" w:rsidRDefault="003931ED" w:rsidP="003931E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Calibri" w:hAnsi="Helvetica" w:cs="Times New Roman"/>
          <w:b/>
          <w:sz w:val="24"/>
          <w:szCs w:val="24"/>
          <w:lang w:val="es-ES_tradnl" w:eastAsia="es-ES"/>
        </w:rPr>
      </w:pPr>
    </w:p>
    <w:p w:rsidR="003931ED" w:rsidRPr="003931ED" w:rsidRDefault="003931ED" w:rsidP="003931E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Calibri" w:hAnsi="Helvetica" w:cs="Times New Roman"/>
          <w:b/>
          <w:sz w:val="24"/>
          <w:szCs w:val="24"/>
          <w:lang w:val="es-ES" w:eastAsia="es-ES"/>
        </w:rPr>
      </w:pPr>
      <w:r w:rsidRPr="003931ED">
        <w:rPr>
          <w:rFonts w:ascii="Helvetica" w:eastAsia="Calibri" w:hAnsi="Helvetica" w:cs="Times New Roman"/>
          <w:b/>
          <w:sz w:val="24"/>
          <w:szCs w:val="24"/>
          <w:lang w:val="es-ES" w:eastAsia="es-ES"/>
        </w:rPr>
        <w:t>(E. E. Nº 201</w:t>
      </w:r>
      <w:r w:rsidR="001E0203">
        <w:rPr>
          <w:rFonts w:ascii="Helvetica" w:eastAsia="Calibri" w:hAnsi="Helvetica" w:cs="Times New Roman"/>
          <w:b/>
          <w:sz w:val="24"/>
          <w:szCs w:val="24"/>
          <w:lang w:val="es-ES" w:eastAsia="es-ES"/>
        </w:rPr>
        <w:t>6</w:t>
      </w:r>
      <w:r w:rsidRPr="003931ED">
        <w:rPr>
          <w:rFonts w:ascii="Helvetica" w:eastAsia="Calibri" w:hAnsi="Helvetica" w:cs="Times New Roman"/>
          <w:b/>
          <w:sz w:val="24"/>
          <w:szCs w:val="24"/>
          <w:lang w:val="es-ES" w:eastAsia="es-ES"/>
        </w:rPr>
        <w:t>-17-1-000</w:t>
      </w:r>
      <w:r w:rsidR="001E0203">
        <w:rPr>
          <w:rFonts w:ascii="Helvetica" w:eastAsia="Calibri" w:hAnsi="Helvetica" w:cs="Times New Roman"/>
          <w:b/>
          <w:sz w:val="24"/>
          <w:szCs w:val="24"/>
          <w:lang w:val="es-ES" w:eastAsia="es-ES"/>
        </w:rPr>
        <w:t>1326</w:t>
      </w:r>
      <w:r w:rsidRPr="003931ED">
        <w:rPr>
          <w:rFonts w:ascii="Helvetica" w:eastAsia="Calibri" w:hAnsi="Helvetica" w:cs="Times New Roman"/>
          <w:b/>
          <w:sz w:val="24"/>
          <w:szCs w:val="24"/>
          <w:lang w:val="es-ES" w:eastAsia="es-ES"/>
        </w:rPr>
        <w:t xml:space="preserve">, </w:t>
      </w:r>
      <w:proofErr w:type="spellStart"/>
      <w:r w:rsidRPr="003931ED">
        <w:rPr>
          <w:rFonts w:ascii="Helvetica" w:eastAsia="Calibri" w:hAnsi="Helvetica" w:cs="Times New Roman"/>
          <w:b/>
          <w:sz w:val="24"/>
          <w:szCs w:val="24"/>
          <w:lang w:val="es-ES" w:eastAsia="es-ES"/>
        </w:rPr>
        <w:t>Ent</w:t>
      </w:r>
      <w:proofErr w:type="spellEnd"/>
      <w:r w:rsidRPr="003931ED">
        <w:rPr>
          <w:rFonts w:ascii="Helvetica" w:eastAsia="Calibri" w:hAnsi="Helvetica" w:cs="Times New Roman"/>
          <w:b/>
          <w:sz w:val="24"/>
          <w:szCs w:val="24"/>
          <w:lang w:val="es-ES" w:eastAsia="es-ES"/>
        </w:rPr>
        <w:t xml:space="preserve">. N° </w:t>
      </w:r>
      <w:r w:rsidR="001E0203">
        <w:rPr>
          <w:rFonts w:ascii="Helvetica" w:eastAsia="Calibri" w:hAnsi="Helvetica" w:cs="Times New Roman"/>
          <w:b/>
          <w:sz w:val="24"/>
          <w:szCs w:val="24"/>
          <w:lang w:val="es-ES" w:eastAsia="es-ES"/>
        </w:rPr>
        <w:t>119</w:t>
      </w:r>
      <w:r w:rsidRPr="003931ED">
        <w:rPr>
          <w:rFonts w:ascii="Helvetica" w:eastAsia="Calibri" w:hAnsi="Helvetica" w:cs="Times New Roman"/>
          <w:b/>
          <w:sz w:val="24"/>
          <w:szCs w:val="24"/>
          <w:lang w:val="es-ES" w:eastAsia="es-ES"/>
        </w:rPr>
        <w:t>/1</w:t>
      </w:r>
      <w:r w:rsidR="001E0203">
        <w:rPr>
          <w:rFonts w:ascii="Helvetica" w:eastAsia="Calibri" w:hAnsi="Helvetica" w:cs="Times New Roman"/>
          <w:b/>
          <w:sz w:val="24"/>
          <w:szCs w:val="24"/>
          <w:lang w:val="es-ES" w:eastAsia="es-ES"/>
        </w:rPr>
        <w:t>9</w:t>
      </w:r>
      <w:r w:rsidRPr="003931ED">
        <w:rPr>
          <w:rFonts w:ascii="Helvetica" w:eastAsia="Calibri" w:hAnsi="Helvetica" w:cs="Times New Roman"/>
          <w:b/>
          <w:sz w:val="24"/>
          <w:szCs w:val="24"/>
          <w:lang w:val="es-ES" w:eastAsia="es-ES"/>
        </w:rPr>
        <w:t>)</w:t>
      </w:r>
    </w:p>
    <w:p w:rsidR="003931ED" w:rsidRDefault="003931ED" w:rsidP="00E02D6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907D1" w:rsidRPr="00E02D64" w:rsidRDefault="007907D1" w:rsidP="00E02D6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02D64" w:rsidRPr="00E02D64" w:rsidRDefault="007907D1" w:rsidP="001E02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02D64">
        <w:rPr>
          <w:rFonts w:ascii="Arial" w:hAnsi="Arial" w:cs="Arial"/>
          <w:b/>
          <w:sz w:val="24"/>
          <w:szCs w:val="24"/>
        </w:rPr>
        <w:t>VISTO:</w:t>
      </w:r>
      <w:r w:rsidRPr="00E02D64">
        <w:rPr>
          <w:rFonts w:ascii="Arial" w:hAnsi="Arial" w:cs="Arial"/>
          <w:sz w:val="24"/>
          <w:szCs w:val="24"/>
        </w:rPr>
        <w:t xml:space="preserve"> las actuaciones remitidas por la Administración Nacional de Educación Pública – Consejo de Formación en Educación relacionadas con el incremento en la partida de abono de pasajes docentes para el </w:t>
      </w:r>
      <w:r w:rsidR="00056CC0">
        <w:rPr>
          <w:rFonts w:ascii="Arial" w:hAnsi="Arial" w:cs="Arial"/>
          <w:sz w:val="24"/>
          <w:szCs w:val="24"/>
        </w:rPr>
        <w:t>Ejercicio 2019;</w:t>
      </w:r>
    </w:p>
    <w:p w:rsidR="007907D1" w:rsidRPr="00E02D64" w:rsidRDefault="007907D1" w:rsidP="001E02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02D64">
        <w:rPr>
          <w:rFonts w:ascii="Arial" w:hAnsi="Arial" w:cs="Arial"/>
          <w:b/>
          <w:sz w:val="24"/>
          <w:szCs w:val="24"/>
        </w:rPr>
        <w:t xml:space="preserve">RESULTANDO:  </w:t>
      </w:r>
      <w:r w:rsidR="00E02D64" w:rsidRPr="00E02D64">
        <w:rPr>
          <w:rFonts w:ascii="Arial" w:hAnsi="Arial" w:cs="Arial"/>
          <w:b/>
          <w:sz w:val="24"/>
          <w:szCs w:val="24"/>
        </w:rPr>
        <w:t>1</w:t>
      </w:r>
      <w:r w:rsidRPr="00E02D64">
        <w:rPr>
          <w:rFonts w:ascii="Arial" w:hAnsi="Arial" w:cs="Arial"/>
          <w:b/>
          <w:sz w:val="24"/>
          <w:szCs w:val="24"/>
        </w:rPr>
        <w:t>)</w:t>
      </w:r>
      <w:r w:rsidRPr="00E02D64">
        <w:rPr>
          <w:rFonts w:ascii="Arial" w:hAnsi="Arial" w:cs="Arial"/>
          <w:sz w:val="24"/>
          <w:szCs w:val="24"/>
        </w:rPr>
        <w:t xml:space="preserve"> que por Resolución N° 18, acta 87 del Consejo Directivo de fecha 26.12.18, se dispuso una trasposición de créditos de la Unidad Ejecutoria 01 a la Unidad Ejecutora 05, reforzando el crédito presupuestal del Programa 607-Formación en Educación-Proyecto de Funcionamiento 212-Formaciión Inicial en Educación, Grupo 2 “Servicios No personales”, financiación rentas generales por un monto de $ 4.482.209, para financiar el pago correspondiente a abonos de pasajes a docentes de ese </w:t>
      </w:r>
      <w:r w:rsidR="00947EAC" w:rsidRPr="00E02D64">
        <w:rPr>
          <w:rFonts w:ascii="Arial" w:hAnsi="Arial" w:cs="Arial"/>
          <w:sz w:val="24"/>
          <w:szCs w:val="24"/>
        </w:rPr>
        <w:t xml:space="preserve"> Consejo;</w:t>
      </w:r>
    </w:p>
    <w:p w:rsidR="00947EAC" w:rsidRPr="00E02D64" w:rsidRDefault="00E02D64" w:rsidP="001E020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02D64">
        <w:rPr>
          <w:rFonts w:ascii="Arial" w:hAnsi="Arial" w:cs="Arial"/>
          <w:b/>
          <w:sz w:val="24"/>
          <w:szCs w:val="24"/>
        </w:rPr>
        <w:t>2</w:t>
      </w:r>
      <w:r w:rsidR="00947EAC" w:rsidRPr="00E02D64">
        <w:rPr>
          <w:rFonts w:ascii="Arial" w:hAnsi="Arial" w:cs="Arial"/>
          <w:b/>
          <w:sz w:val="24"/>
          <w:szCs w:val="24"/>
        </w:rPr>
        <w:t>)</w:t>
      </w:r>
      <w:r w:rsidR="00947EAC" w:rsidRPr="00E02D64">
        <w:rPr>
          <w:rFonts w:ascii="Arial" w:hAnsi="Arial" w:cs="Arial"/>
          <w:sz w:val="24"/>
          <w:szCs w:val="24"/>
        </w:rPr>
        <w:t xml:space="preserve"> que por Resolución N° 32 de fecha 20.2.18 el Consejo Directivo Central dispuso la liquidación y pago de $ 4.000.000 para atender abonos </w:t>
      </w:r>
      <w:r w:rsidR="00E41D66" w:rsidRPr="00E02D64">
        <w:rPr>
          <w:rFonts w:ascii="Arial" w:hAnsi="Arial" w:cs="Arial"/>
          <w:sz w:val="24"/>
          <w:szCs w:val="24"/>
        </w:rPr>
        <w:t xml:space="preserve">de pasajes docentes. Por </w:t>
      </w:r>
      <w:r>
        <w:rPr>
          <w:rFonts w:ascii="Arial" w:hAnsi="Arial" w:cs="Arial"/>
          <w:sz w:val="24"/>
          <w:szCs w:val="24"/>
        </w:rPr>
        <w:t xml:space="preserve">resolución </w:t>
      </w:r>
      <w:r w:rsidR="00E41D66" w:rsidRPr="00E02D64">
        <w:rPr>
          <w:rFonts w:ascii="Arial" w:hAnsi="Arial" w:cs="Arial"/>
          <w:sz w:val="24"/>
          <w:szCs w:val="24"/>
        </w:rPr>
        <w:t>de fecha 4.4.18 e</w:t>
      </w:r>
      <w:r w:rsidR="00E50516">
        <w:rPr>
          <w:rFonts w:ascii="Arial" w:hAnsi="Arial" w:cs="Arial"/>
          <w:sz w:val="24"/>
          <w:szCs w:val="24"/>
        </w:rPr>
        <w:t>ste</w:t>
      </w:r>
      <w:r w:rsidR="00E41D66" w:rsidRPr="00E02D64">
        <w:rPr>
          <w:rFonts w:ascii="Arial" w:hAnsi="Arial" w:cs="Arial"/>
          <w:sz w:val="24"/>
          <w:szCs w:val="24"/>
        </w:rPr>
        <w:t xml:space="preserve"> Tribunal </w:t>
      </w:r>
      <w:r w:rsidRPr="00E02D64">
        <w:rPr>
          <w:rFonts w:ascii="Arial" w:hAnsi="Arial" w:cs="Arial"/>
          <w:sz w:val="24"/>
          <w:szCs w:val="24"/>
        </w:rPr>
        <w:t>cometió</w:t>
      </w:r>
      <w:r w:rsidR="00E41D66" w:rsidRPr="00E02D64">
        <w:rPr>
          <w:rFonts w:ascii="Arial" w:hAnsi="Arial" w:cs="Arial"/>
          <w:sz w:val="24"/>
          <w:szCs w:val="24"/>
        </w:rPr>
        <w:t xml:space="preserve"> la intervención </w:t>
      </w:r>
      <w:r w:rsidR="00E50516">
        <w:rPr>
          <w:rFonts w:ascii="Arial" w:hAnsi="Arial" w:cs="Arial"/>
          <w:sz w:val="24"/>
          <w:szCs w:val="24"/>
        </w:rPr>
        <w:t xml:space="preserve">del gasto </w:t>
      </w:r>
      <w:r w:rsidR="00E41D66" w:rsidRPr="00E02D64">
        <w:rPr>
          <w:rFonts w:ascii="Arial" w:hAnsi="Arial" w:cs="Arial"/>
          <w:sz w:val="24"/>
          <w:szCs w:val="24"/>
        </w:rPr>
        <w:t>a la Contadora Delegada;</w:t>
      </w:r>
    </w:p>
    <w:p w:rsidR="00947EAC" w:rsidRPr="00E02D64" w:rsidRDefault="00E02D64" w:rsidP="001E020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02D64">
        <w:rPr>
          <w:rFonts w:ascii="Arial" w:hAnsi="Arial" w:cs="Arial"/>
          <w:b/>
          <w:sz w:val="24"/>
          <w:szCs w:val="24"/>
        </w:rPr>
        <w:t>3</w:t>
      </w:r>
      <w:r w:rsidR="00E41D66" w:rsidRPr="00E02D6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47EAC" w:rsidRPr="00E02D64">
        <w:rPr>
          <w:rFonts w:ascii="Arial" w:hAnsi="Arial" w:cs="Arial"/>
          <w:sz w:val="24"/>
          <w:szCs w:val="24"/>
        </w:rPr>
        <w:t>que la División Planeamiento Administrativo Pres</w:t>
      </w:r>
      <w:r>
        <w:rPr>
          <w:rFonts w:ascii="Arial" w:hAnsi="Arial" w:cs="Arial"/>
          <w:sz w:val="24"/>
          <w:szCs w:val="24"/>
        </w:rPr>
        <w:t>u</w:t>
      </w:r>
      <w:r w:rsidR="00947EAC" w:rsidRPr="00E02D64">
        <w:rPr>
          <w:rFonts w:ascii="Arial" w:hAnsi="Arial" w:cs="Arial"/>
          <w:sz w:val="24"/>
          <w:szCs w:val="24"/>
        </w:rPr>
        <w:t>puestal</w:t>
      </w:r>
      <w:r w:rsidR="00E41D66" w:rsidRPr="00E02D64">
        <w:rPr>
          <w:rFonts w:ascii="Arial" w:hAnsi="Arial" w:cs="Arial"/>
          <w:sz w:val="24"/>
          <w:szCs w:val="24"/>
        </w:rPr>
        <w:t>, en su informe de fecha 19.10.18</w:t>
      </w:r>
      <w:r w:rsidR="00E50516">
        <w:rPr>
          <w:rFonts w:ascii="Arial" w:hAnsi="Arial" w:cs="Arial"/>
          <w:sz w:val="24"/>
          <w:szCs w:val="24"/>
        </w:rPr>
        <w:t xml:space="preserve">, señalo </w:t>
      </w:r>
      <w:r w:rsidR="00E41D66" w:rsidRPr="00E02D64">
        <w:rPr>
          <w:rFonts w:ascii="Arial" w:hAnsi="Arial" w:cs="Arial"/>
          <w:sz w:val="24"/>
          <w:szCs w:val="24"/>
        </w:rPr>
        <w:t xml:space="preserve"> que el gasto previsto para este año es similar, </w:t>
      </w:r>
      <w:r w:rsidR="00E50516">
        <w:rPr>
          <w:rFonts w:ascii="Arial" w:hAnsi="Arial" w:cs="Arial"/>
          <w:sz w:val="24"/>
          <w:szCs w:val="24"/>
        </w:rPr>
        <w:t>al ejecutado en el pasado  ejercicio, y</w:t>
      </w:r>
      <w:r w:rsidR="00E41D66" w:rsidRPr="00E02D64">
        <w:rPr>
          <w:rFonts w:ascii="Arial" w:hAnsi="Arial" w:cs="Arial"/>
          <w:sz w:val="24"/>
          <w:szCs w:val="24"/>
        </w:rPr>
        <w:t xml:space="preserve"> que </w:t>
      </w:r>
      <w:r w:rsidRPr="00E02D64">
        <w:rPr>
          <w:rFonts w:ascii="Arial" w:hAnsi="Arial" w:cs="Arial"/>
          <w:sz w:val="24"/>
          <w:szCs w:val="24"/>
        </w:rPr>
        <w:t>sería</w:t>
      </w:r>
      <w:r w:rsidR="00E41D66" w:rsidRPr="00E02D64">
        <w:rPr>
          <w:rFonts w:ascii="Arial" w:hAnsi="Arial" w:cs="Arial"/>
          <w:sz w:val="24"/>
          <w:szCs w:val="24"/>
        </w:rPr>
        <w:t xml:space="preserve"> necesario contar con una trasposición de créditos en las mismas condiciones, por un monto de $ 5.000.000</w:t>
      </w:r>
      <w:r w:rsidR="0036141C" w:rsidRPr="00E02D64">
        <w:rPr>
          <w:rFonts w:ascii="Arial" w:hAnsi="Arial" w:cs="Arial"/>
          <w:sz w:val="24"/>
          <w:szCs w:val="24"/>
        </w:rPr>
        <w:t xml:space="preserve"> para atender del déficit en el crédito presupuestal que financia los abonos mencionados</w:t>
      </w:r>
      <w:r w:rsidR="00E41D66" w:rsidRPr="00E02D64">
        <w:rPr>
          <w:rFonts w:ascii="Arial" w:hAnsi="Arial" w:cs="Arial"/>
          <w:sz w:val="24"/>
          <w:szCs w:val="24"/>
        </w:rPr>
        <w:t>;</w:t>
      </w:r>
    </w:p>
    <w:p w:rsidR="0036141C" w:rsidRPr="00E02D64" w:rsidRDefault="00E02D64" w:rsidP="001E020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02D64">
        <w:rPr>
          <w:rFonts w:ascii="Arial" w:hAnsi="Arial" w:cs="Arial"/>
          <w:b/>
          <w:sz w:val="24"/>
          <w:szCs w:val="24"/>
        </w:rPr>
        <w:t>4</w:t>
      </w:r>
      <w:r w:rsidR="0036141C" w:rsidRPr="00E02D64">
        <w:rPr>
          <w:rFonts w:ascii="Arial" w:hAnsi="Arial" w:cs="Arial"/>
          <w:b/>
          <w:sz w:val="24"/>
          <w:szCs w:val="24"/>
        </w:rPr>
        <w:t>)</w:t>
      </w:r>
      <w:r w:rsidR="0036141C" w:rsidRPr="00E02D64">
        <w:rPr>
          <w:rFonts w:ascii="Arial" w:hAnsi="Arial" w:cs="Arial"/>
          <w:sz w:val="24"/>
          <w:szCs w:val="24"/>
        </w:rPr>
        <w:t xml:space="preserve"> que por Resolución 6 acta 16 de fecha 21.12.18, </w:t>
      </w:r>
      <w:proofErr w:type="gramStart"/>
      <w:r w:rsidR="0036141C" w:rsidRPr="00E02D64">
        <w:rPr>
          <w:rFonts w:ascii="Arial" w:hAnsi="Arial" w:cs="Arial"/>
          <w:sz w:val="24"/>
          <w:szCs w:val="24"/>
        </w:rPr>
        <w:t>el</w:t>
      </w:r>
      <w:proofErr w:type="gramEnd"/>
      <w:r w:rsidR="0036141C" w:rsidRPr="00E02D64">
        <w:rPr>
          <w:rFonts w:ascii="Arial" w:hAnsi="Arial" w:cs="Arial"/>
          <w:sz w:val="24"/>
          <w:szCs w:val="24"/>
        </w:rPr>
        <w:t xml:space="preserve"> Consejo de Formación en Educación, </w:t>
      </w:r>
      <w:r w:rsidR="00E50516">
        <w:rPr>
          <w:rFonts w:ascii="Arial" w:hAnsi="Arial" w:cs="Arial"/>
          <w:sz w:val="24"/>
          <w:szCs w:val="24"/>
        </w:rPr>
        <w:t xml:space="preserve">dispuso </w:t>
      </w:r>
      <w:r w:rsidR="0036141C" w:rsidRPr="00E02D64">
        <w:rPr>
          <w:rFonts w:ascii="Arial" w:hAnsi="Arial" w:cs="Arial"/>
          <w:sz w:val="24"/>
          <w:szCs w:val="24"/>
        </w:rPr>
        <w:t xml:space="preserve"> solicitar al Consejo Directivo Central-Dirección Sectorial de Programación y Presupuesto</w:t>
      </w:r>
      <w:r w:rsidR="005F094B" w:rsidRPr="00E02D64">
        <w:rPr>
          <w:rFonts w:ascii="Arial" w:hAnsi="Arial" w:cs="Arial"/>
          <w:sz w:val="24"/>
          <w:szCs w:val="24"/>
        </w:rPr>
        <w:t>,</w:t>
      </w:r>
      <w:r w:rsidR="00E50516">
        <w:rPr>
          <w:rFonts w:ascii="Arial" w:hAnsi="Arial" w:cs="Arial"/>
          <w:sz w:val="24"/>
          <w:szCs w:val="24"/>
        </w:rPr>
        <w:t xml:space="preserve"> que se realizara </w:t>
      </w:r>
      <w:r w:rsidR="005F094B" w:rsidRPr="00E02D64">
        <w:rPr>
          <w:rFonts w:ascii="Arial" w:hAnsi="Arial" w:cs="Arial"/>
          <w:sz w:val="24"/>
          <w:szCs w:val="24"/>
        </w:rPr>
        <w:t xml:space="preserve"> el </w:t>
      </w:r>
      <w:r w:rsidRPr="00E02D64">
        <w:rPr>
          <w:rFonts w:ascii="Arial" w:hAnsi="Arial" w:cs="Arial"/>
          <w:sz w:val="24"/>
          <w:szCs w:val="24"/>
        </w:rPr>
        <w:t>trámite</w:t>
      </w:r>
      <w:r w:rsidR="005F094B" w:rsidRPr="00E02D64">
        <w:rPr>
          <w:rFonts w:ascii="Arial" w:hAnsi="Arial" w:cs="Arial"/>
          <w:sz w:val="24"/>
          <w:szCs w:val="24"/>
        </w:rPr>
        <w:t xml:space="preserve"> correspondiente  </w:t>
      </w:r>
      <w:r w:rsidR="00E50516">
        <w:rPr>
          <w:rFonts w:ascii="Arial" w:hAnsi="Arial" w:cs="Arial"/>
          <w:sz w:val="24"/>
          <w:szCs w:val="24"/>
        </w:rPr>
        <w:t>p</w:t>
      </w:r>
      <w:r w:rsidR="005F094B" w:rsidRPr="00E02D64">
        <w:rPr>
          <w:rFonts w:ascii="Arial" w:hAnsi="Arial" w:cs="Arial"/>
          <w:sz w:val="24"/>
          <w:szCs w:val="24"/>
        </w:rPr>
        <w:t>a</w:t>
      </w:r>
      <w:r w:rsidR="00E50516">
        <w:rPr>
          <w:rFonts w:ascii="Arial" w:hAnsi="Arial" w:cs="Arial"/>
          <w:sz w:val="24"/>
          <w:szCs w:val="24"/>
        </w:rPr>
        <w:t>ra</w:t>
      </w:r>
      <w:r w:rsidR="005F094B" w:rsidRPr="00E02D64">
        <w:rPr>
          <w:rFonts w:ascii="Arial" w:hAnsi="Arial" w:cs="Arial"/>
          <w:sz w:val="24"/>
          <w:szCs w:val="24"/>
        </w:rPr>
        <w:t xml:space="preserve"> incrementar los créditos pres</w:t>
      </w:r>
      <w:r>
        <w:rPr>
          <w:rFonts w:ascii="Arial" w:hAnsi="Arial" w:cs="Arial"/>
          <w:sz w:val="24"/>
          <w:szCs w:val="24"/>
        </w:rPr>
        <w:t>u</w:t>
      </w:r>
      <w:r w:rsidR="005F094B" w:rsidRPr="00E02D64">
        <w:rPr>
          <w:rFonts w:ascii="Arial" w:hAnsi="Arial" w:cs="Arial"/>
          <w:sz w:val="24"/>
          <w:szCs w:val="24"/>
        </w:rPr>
        <w:t xml:space="preserve">puestales de la Unidad </w:t>
      </w:r>
      <w:r w:rsidR="00E50516">
        <w:rPr>
          <w:rFonts w:ascii="Arial" w:hAnsi="Arial" w:cs="Arial"/>
          <w:sz w:val="24"/>
          <w:szCs w:val="24"/>
        </w:rPr>
        <w:t>E</w:t>
      </w:r>
      <w:r w:rsidR="005F094B" w:rsidRPr="00E02D64">
        <w:rPr>
          <w:rFonts w:ascii="Arial" w:hAnsi="Arial" w:cs="Arial"/>
          <w:sz w:val="24"/>
          <w:szCs w:val="24"/>
        </w:rPr>
        <w:t>jecutora 05, en gasto</w:t>
      </w:r>
      <w:r w:rsidR="00434FA6" w:rsidRPr="00E02D64">
        <w:rPr>
          <w:rFonts w:ascii="Arial" w:hAnsi="Arial" w:cs="Arial"/>
          <w:sz w:val="24"/>
          <w:szCs w:val="24"/>
        </w:rPr>
        <w:t>s de funcionamiento, para cubrir</w:t>
      </w:r>
      <w:r w:rsidR="005F094B" w:rsidRPr="00E02D64">
        <w:rPr>
          <w:rFonts w:ascii="Arial" w:hAnsi="Arial" w:cs="Arial"/>
          <w:sz w:val="24"/>
          <w:szCs w:val="24"/>
        </w:rPr>
        <w:t xml:space="preserve"> las </w:t>
      </w:r>
      <w:r w:rsidR="00434FA6" w:rsidRPr="00E02D64">
        <w:rPr>
          <w:rFonts w:ascii="Arial" w:hAnsi="Arial" w:cs="Arial"/>
          <w:sz w:val="24"/>
          <w:szCs w:val="24"/>
        </w:rPr>
        <w:t>erogaciones referenciadas;</w:t>
      </w:r>
    </w:p>
    <w:p w:rsidR="00434FA6" w:rsidRPr="00E02D64" w:rsidRDefault="00E02D64" w:rsidP="001E020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02D64">
        <w:rPr>
          <w:rFonts w:ascii="Arial" w:hAnsi="Arial" w:cs="Arial"/>
          <w:b/>
          <w:sz w:val="24"/>
          <w:szCs w:val="24"/>
        </w:rPr>
        <w:lastRenderedPageBreak/>
        <w:t>5</w:t>
      </w:r>
      <w:r w:rsidR="00434FA6" w:rsidRPr="00E02D64">
        <w:rPr>
          <w:rFonts w:ascii="Arial" w:hAnsi="Arial" w:cs="Arial"/>
          <w:b/>
          <w:sz w:val="24"/>
          <w:szCs w:val="24"/>
        </w:rPr>
        <w:t>)</w:t>
      </w:r>
      <w:r w:rsidR="00434FA6" w:rsidRPr="00E02D64">
        <w:rPr>
          <w:rFonts w:ascii="Arial" w:hAnsi="Arial" w:cs="Arial"/>
          <w:sz w:val="24"/>
          <w:szCs w:val="24"/>
        </w:rPr>
        <w:t xml:space="preserve"> que por Resolución N° 56 –Acta 47 de fecha 27.12.18 el Consejo de Formación  en Educación </w:t>
      </w:r>
      <w:r w:rsidR="007D10C6" w:rsidRPr="00E02D64">
        <w:rPr>
          <w:rFonts w:ascii="Arial" w:hAnsi="Arial" w:cs="Arial"/>
          <w:sz w:val="24"/>
          <w:szCs w:val="24"/>
        </w:rPr>
        <w:t xml:space="preserve"> autorizó</w:t>
      </w:r>
      <w:r w:rsidR="00434FA6" w:rsidRPr="00E02D64">
        <w:rPr>
          <w:rFonts w:ascii="Arial" w:hAnsi="Arial" w:cs="Arial"/>
          <w:sz w:val="24"/>
          <w:szCs w:val="24"/>
        </w:rPr>
        <w:t xml:space="preserve"> a la División Financiero Contable el incremento de la partida de </w:t>
      </w:r>
      <w:r w:rsidR="00E50516">
        <w:rPr>
          <w:rFonts w:ascii="Arial" w:hAnsi="Arial" w:cs="Arial"/>
          <w:sz w:val="24"/>
          <w:szCs w:val="24"/>
        </w:rPr>
        <w:t>a</w:t>
      </w:r>
      <w:r w:rsidR="00434FA6" w:rsidRPr="00E02D64">
        <w:rPr>
          <w:rFonts w:ascii="Arial" w:hAnsi="Arial" w:cs="Arial"/>
          <w:sz w:val="24"/>
          <w:szCs w:val="24"/>
        </w:rPr>
        <w:t xml:space="preserve">bonos docentes hasta </w:t>
      </w:r>
      <w:r w:rsidR="001E0203">
        <w:rPr>
          <w:rFonts w:ascii="Arial" w:hAnsi="Arial" w:cs="Arial"/>
          <w:sz w:val="24"/>
          <w:szCs w:val="24"/>
        </w:rPr>
        <w:t xml:space="preserve">                      </w:t>
      </w:r>
      <w:r w:rsidR="00434FA6" w:rsidRPr="00E02D64">
        <w:rPr>
          <w:rFonts w:ascii="Arial" w:hAnsi="Arial" w:cs="Arial"/>
          <w:sz w:val="24"/>
          <w:szCs w:val="24"/>
        </w:rPr>
        <w:t xml:space="preserve">$ 5.000.000, con cargo al Grupo 2 “Servicios no personales”; y </w:t>
      </w:r>
      <w:r w:rsidR="007D10C6" w:rsidRPr="00E02D64">
        <w:rPr>
          <w:rFonts w:ascii="Arial" w:hAnsi="Arial" w:cs="Arial"/>
          <w:sz w:val="24"/>
          <w:szCs w:val="24"/>
        </w:rPr>
        <w:t xml:space="preserve"> además </w:t>
      </w:r>
      <w:r w:rsidR="00434FA6" w:rsidRPr="00E02D64">
        <w:rPr>
          <w:rFonts w:ascii="Arial" w:hAnsi="Arial" w:cs="Arial"/>
          <w:sz w:val="24"/>
          <w:szCs w:val="24"/>
        </w:rPr>
        <w:t>a efectuar la liquidación y pago con cargo al Programa 607 Proy.212, Grupo2 financiación 1.1.Rentas Generales, de la facturación que emitan las empresas transportistas, por concepto de abonos docentes, hasta un monto de</w:t>
      </w:r>
      <w:r w:rsidR="00062224">
        <w:rPr>
          <w:rFonts w:ascii="Arial" w:hAnsi="Arial" w:cs="Arial"/>
          <w:sz w:val="24"/>
          <w:szCs w:val="24"/>
        </w:rPr>
        <w:t xml:space="preserve"> </w:t>
      </w:r>
      <w:r w:rsidR="001E0203">
        <w:rPr>
          <w:rFonts w:ascii="Arial" w:hAnsi="Arial" w:cs="Arial"/>
          <w:sz w:val="24"/>
          <w:szCs w:val="24"/>
        </w:rPr>
        <w:t xml:space="preserve">                          </w:t>
      </w:r>
      <w:r w:rsidR="00434FA6" w:rsidRPr="00E02D64">
        <w:rPr>
          <w:rFonts w:ascii="Arial" w:hAnsi="Arial" w:cs="Arial"/>
          <w:sz w:val="24"/>
          <w:szCs w:val="24"/>
        </w:rPr>
        <w:t>$ 5.000.000</w:t>
      </w:r>
      <w:r w:rsidR="00CA31FE">
        <w:rPr>
          <w:rFonts w:ascii="Arial" w:hAnsi="Arial" w:cs="Arial"/>
          <w:sz w:val="24"/>
          <w:szCs w:val="24"/>
        </w:rPr>
        <w:t>. Se señala que los precios cotizados por las firmas se corresponden con los de mercado, en cuanto es el M</w:t>
      </w:r>
      <w:r w:rsidR="00E3100F">
        <w:rPr>
          <w:rFonts w:ascii="Arial" w:hAnsi="Arial" w:cs="Arial"/>
          <w:sz w:val="24"/>
          <w:szCs w:val="24"/>
        </w:rPr>
        <w:t xml:space="preserve">inisterio </w:t>
      </w:r>
      <w:r w:rsidR="00CA31FE">
        <w:rPr>
          <w:rFonts w:ascii="Arial" w:hAnsi="Arial" w:cs="Arial"/>
          <w:sz w:val="24"/>
          <w:szCs w:val="24"/>
        </w:rPr>
        <w:t>de Transporte y O</w:t>
      </w:r>
      <w:r w:rsidR="00E3100F">
        <w:rPr>
          <w:rFonts w:ascii="Arial" w:hAnsi="Arial" w:cs="Arial"/>
          <w:sz w:val="24"/>
          <w:szCs w:val="24"/>
        </w:rPr>
        <w:t>bras</w:t>
      </w:r>
      <w:r w:rsidR="00CA31FE">
        <w:rPr>
          <w:rFonts w:ascii="Arial" w:hAnsi="Arial" w:cs="Arial"/>
          <w:sz w:val="24"/>
          <w:szCs w:val="24"/>
        </w:rPr>
        <w:t xml:space="preserve"> Publicas el que fija el valor pasajero/km</w:t>
      </w:r>
      <w:r w:rsidR="007D10C6" w:rsidRPr="00E02D64">
        <w:rPr>
          <w:rFonts w:ascii="Arial" w:hAnsi="Arial" w:cs="Arial"/>
          <w:sz w:val="24"/>
          <w:szCs w:val="24"/>
        </w:rPr>
        <w:t>;</w:t>
      </w:r>
    </w:p>
    <w:p w:rsidR="00CA31FE" w:rsidRPr="00E02D64" w:rsidRDefault="007D10C6" w:rsidP="001E0203">
      <w:pPr>
        <w:pStyle w:val="Textoindependiente"/>
        <w:ind w:firstLine="851"/>
        <w:rPr>
          <w:rFonts w:ascii="Arial" w:hAnsi="Arial" w:cs="Arial"/>
          <w:szCs w:val="24"/>
        </w:rPr>
      </w:pPr>
      <w:r w:rsidRPr="00E02D64">
        <w:rPr>
          <w:rFonts w:ascii="Arial" w:hAnsi="Arial" w:cs="Arial"/>
          <w:b/>
          <w:szCs w:val="24"/>
        </w:rPr>
        <w:t>CONSIDERANDO:</w:t>
      </w:r>
      <w:r w:rsidR="00E02D64">
        <w:rPr>
          <w:rFonts w:ascii="Arial" w:hAnsi="Arial" w:cs="Arial"/>
          <w:b/>
          <w:szCs w:val="24"/>
        </w:rPr>
        <w:t xml:space="preserve"> </w:t>
      </w:r>
      <w:r w:rsidR="007415C2" w:rsidRPr="00E02D64">
        <w:rPr>
          <w:rFonts w:ascii="Arial" w:hAnsi="Arial" w:cs="Arial"/>
          <w:b/>
          <w:szCs w:val="24"/>
        </w:rPr>
        <w:t>1</w:t>
      </w:r>
      <w:r w:rsidRPr="00E02D64">
        <w:rPr>
          <w:rFonts w:ascii="Arial" w:hAnsi="Arial" w:cs="Arial"/>
          <w:b/>
          <w:szCs w:val="24"/>
        </w:rPr>
        <w:t>)</w:t>
      </w:r>
      <w:r w:rsidR="00E02D64">
        <w:rPr>
          <w:rFonts w:ascii="Arial" w:hAnsi="Arial" w:cs="Arial"/>
          <w:szCs w:val="24"/>
        </w:rPr>
        <w:t xml:space="preserve"> </w:t>
      </w:r>
      <w:r w:rsidR="007415C2" w:rsidRPr="00E02D64">
        <w:rPr>
          <w:rFonts w:ascii="Arial" w:hAnsi="Arial" w:cs="Arial"/>
          <w:szCs w:val="24"/>
        </w:rPr>
        <w:t xml:space="preserve">que </w:t>
      </w:r>
      <w:r w:rsidRPr="00E02D64">
        <w:rPr>
          <w:rFonts w:ascii="Arial" w:hAnsi="Arial" w:cs="Arial"/>
          <w:bCs/>
          <w:szCs w:val="24"/>
        </w:rPr>
        <w:t xml:space="preserve">la contratación se realiza en forma directa, al amparo de lo dispuesto por el </w:t>
      </w:r>
      <w:r w:rsidR="001E0203">
        <w:rPr>
          <w:rFonts w:ascii="Arial" w:hAnsi="Arial" w:cs="Arial"/>
          <w:bCs/>
          <w:szCs w:val="24"/>
        </w:rPr>
        <w:t>A</w:t>
      </w:r>
      <w:r w:rsidRPr="00E02D64">
        <w:rPr>
          <w:rFonts w:ascii="Arial" w:hAnsi="Arial" w:cs="Arial"/>
          <w:bCs/>
          <w:szCs w:val="24"/>
        </w:rPr>
        <w:t>rtículo 33,</w:t>
      </w:r>
      <w:r w:rsidR="007415C2" w:rsidRPr="00E02D64">
        <w:rPr>
          <w:rFonts w:ascii="Arial" w:hAnsi="Arial" w:cs="Arial"/>
          <w:bCs/>
          <w:szCs w:val="24"/>
        </w:rPr>
        <w:t xml:space="preserve"> </w:t>
      </w:r>
      <w:r w:rsidR="001E0203">
        <w:rPr>
          <w:rFonts w:ascii="Arial" w:hAnsi="Arial" w:cs="Arial"/>
          <w:bCs/>
          <w:szCs w:val="24"/>
        </w:rPr>
        <w:t>L</w:t>
      </w:r>
      <w:r w:rsidR="007415C2" w:rsidRPr="00E02D64">
        <w:rPr>
          <w:rFonts w:ascii="Arial" w:hAnsi="Arial" w:cs="Arial"/>
          <w:bCs/>
          <w:szCs w:val="24"/>
        </w:rPr>
        <w:t>iteral C</w:t>
      </w:r>
      <w:r w:rsidR="001E0203">
        <w:rPr>
          <w:rFonts w:ascii="Arial" w:hAnsi="Arial" w:cs="Arial"/>
          <w:bCs/>
          <w:szCs w:val="24"/>
        </w:rPr>
        <w:t>)</w:t>
      </w:r>
      <w:r w:rsidR="007415C2" w:rsidRPr="00E02D64">
        <w:rPr>
          <w:rFonts w:ascii="Arial" w:hAnsi="Arial" w:cs="Arial"/>
          <w:bCs/>
          <w:szCs w:val="24"/>
        </w:rPr>
        <w:t>, numeral 9</w:t>
      </w:r>
      <w:r w:rsidRPr="00E02D64">
        <w:rPr>
          <w:rFonts w:ascii="Arial" w:hAnsi="Arial" w:cs="Arial"/>
          <w:bCs/>
          <w:szCs w:val="24"/>
        </w:rPr>
        <w:t>)</w:t>
      </w:r>
      <w:r w:rsidR="007415C2" w:rsidRPr="00E02D64">
        <w:rPr>
          <w:rFonts w:ascii="Arial" w:hAnsi="Arial" w:cs="Arial"/>
          <w:bCs/>
          <w:szCs w:val="24"/>
        </w:rPr>
        <w:t xml:space="preserve"> en la hipótesis de imposibilidad de licitación</w:t>
      </w:r>
      <w:r w:rsidR="00CA31FE">
        <w:rPr>
          <w:rFonts w:ascii="Arial" w:hAnsi="Arial" w:cs="Arial"/>
          <w:bCs/>
          <w:szCs w:val="24"/>
        </w:rPr>
        <w:t>, en razón de que según lo señala el Organismo</w:t>
      </w:r>
    </w:p>
    <w:p w:rsidR="007D10C6" w:rsidRPr="00E02D64" w:rsidRDefault="007D10C6" w:rsidP="001E02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2D6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02D64">
        <w:rPr>
          <w:rFonts w:ascii="Arial" w:hAnsi="Arial" w:cs="Arial"/>
          <w:sz w:val="24"/>
          <w:szCs w:val="24"/>
        </w:rPr>
        <w:t>los</w:t>
      </w:r>
      <w:proofErr w:type="gramEnd"/>
      <w:r w:rsidRPr="00E02D64">
        <w:rPr>
          <w:rFonts w:ascii="Arial" w:hAnsi="Arial" w:cs="Arial"/>
          <w:sz w:val="24"/>
          <w:szCs w:val="24"/>
        </w:rPr>
        <w:t xml:space="preserve"> servicios de transporte de pasajeros departamentales o interdepartamentales son brindados en forma exclusiva por ciertas empresas concesionarias y/o permisarias de líneas regulares de transporte de corta, mediana </w:t>
      </w:r>
      <w:bookmarkStart w:id="0" w:name="_GoBack"/>
      <w:bookmarkEnd w:id="0"/>
      <w:r w:rsidRPr="00E02D64">
        <w:rPr>
          <w:rFonts w:ascii="Arial" w:hAnsi="Arial" w:cs="Arial"/>
          <w:sz w:val="24"/>
          <w:szCs w:val="24"/>
        </w:rPr>
        <w:t>y larga distancia;</w:t>
      </w:r>
    </w:p>
    <w:p w:rsidR="00CA31FE" w:rsidRDefault="00CA31FE" w:rsidP="001E0203">
      <w:pPr>
        <w:spacing w:after="0" w:line="360" w:lineRule="auto"/>
        <w:ind w:firstLine="297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Pr="00CA31FE">
        <w:rPr>
          <w:rFonts w:ascii="Arial" w:hAnsi="Arial" w:cs="Arial"/>
          <w:bCs/>
          <w:sz w:val="24"/>
          <w:szCs w:val="24"/>
        </w:rPr>
        <w:t xml:space="preserve">que a los efectos de la certificación de precios que debe realizar el Tribunal de Cuentas, de acuerdo al </w:t>
      </w:r>
      <w:r w:rsidR="001E0203">
        <w:rPr>
          <w:rFonts w:ascii="Arial" w:hAnsi="Arial" w:cs="Arial"/>
          <w:bCs/>
          <w:sz w:val="24"/>
          <w:szCs w:val="24"/>
        </w:rPr>
        <w:t>A</w:t>
      </w:r>
      <w:r w:rsidRPr="00CA31FE">
        <w:rPr>
          <w:rFonts w:ascii="Arial" w:hAnsi="Arial" w:cs="Arial"/>
          <w:bCs/>
          <w:sz w:val="24"/>
          <w:szCs w:val="24"/>
        </w:rPr>
        <w:t>rt</w:t>
      </w:r>
      <w:r w:rsidR="001E0203">
        <w:rPr>
          <w:rFonts w:ascii="Arial" w:hAnsi="Arial" w:cs="Arial"/>
          <w:bCs/>
          <w:sz w:val="24"/>
          <w:szCs w:val="24"/>
        </w:rPr>
        <w:t>ículo</w:t>
      </w:r>
      <w:r w:rsidRPr="00CA31FE">
        <w:rPr>
          <w:rFonts w:ascii="Arial" w:hAnsi="Arial" w:cs="Arial"/>
          <w:bCs/>
          <w:sz w:val="24"/>
          <w:szCs w:val="24"/>
        </w:rPr>
        <w:t xml:space="preserve"> 33 del T</w:t>
      </w:r>
      <w:r w:rsidR="001E0203">
        <w:rPr>
          <w:rFonts w:ascii="Arial" w:hAnsi="Arial" w:cs="Arial"/>
          <w:bCs/>
          <w:sz w:val="24"/>
          <w:szCs w:val="24"/>
        </w:rPr>
        <w:t>OCAF</w:t>
      </w:r>
      <w:r w:rsidRPr="00CA31FE">
        <w:rPr>
          <w:rFonts w:ascii="Arial" w:hAnsi="Arial" w:cs="Arial"/>
          <w:bCs/>
          <w:sz w:val="24"/>
          <w:szCs w:val="24"/>
        </w:rPr>
        <w:t>, se señala que e</w:t>
      </w:r>
      <w:r w:rsidR="00F23725">
        <w:rPr>
          <w:rFonts w:ascii="Arial" w:hAnsi="Arial" w:cs="Arial"/>
          <w:bCs/>
          <w:sz w:val="24"/>
          <w:szCs w:val="24"/>
        </w:rPr>
        <w:t>s</w:t>
      </w:r>
      <w:r w:rsidRPr="00CA31FE">
        <w:rPr>
          <w:rFonts w:ascii="Arial" w:hAnsi="Arial" w:cs="Arial"/>
          <w:bCs/>
          <w:sz w:val="24"/>
          <w:szCs w:val="24"/>
        </w:rPr>
        <w:t xml:space="preserve"> el Ministerio de Transporte y O</w:t>
      </w:r>
      <w:r w:rsidR="001E0203">
        <w:rPr>
          <w:rFonts w:ascii="Arial" w:hAnsi="Arial" w:cs="Arial"/>
          <w:bCs/>
          <w:sz w:val="24"/>
          <w:szCs w:val="24"/>
        </w:rPr>
        <w:t>bras</w:t>
      </w:r>
      <w:r w:rsidRPr="00CA31FE">
        <w:rPr>
          <w:rFonts w:ascii="Arial" w:hAnsi="Arial" w:cs="Arial"/>
          <w:bCs/>
          <w:sz w:val="24"/>
          <w:szCs w:val="24"/>
        </w:rPr>
        <w:t xml:space="preserve"> Publicas e</w:t>
      </w:r>
      <w:r w:rsidR="001E0203">
        <w:rPr>
          <w:rFonts w:ascii="Arial" w:hAnsi="Arial" w:cs="Arial"/>
          <w:bCs/>
          <w:sz w:val="24"/>
          <w:szCs w:val="24"/>
        </w:rPr>
        <w:t xml:space="preserve">l que fija el valor pasajero/km </w:t>
      </w:r>
      <w:r w:rsidR="00DF0F90">
        <w:rPr>
          <w:rFonts w:ascii="Arial" w:hAnsi="Arial" w:cs="Arial"/>
          <w:bCs/>
          <w:sz w:val="24"/>
          <w:szCs w:val="24"/>
        </w:rPr>
        <w:t>para las empresas</w:t>
      </w:r>
      <w:r w:rsidR="001E0203">
        <w:rPr>
          <w:rFonts w:ascii="Arial" w:hAnsi="Arial" w:cs="Arial"/>
          <w:bCs/>
          <w:sz w:val="24"/>
          <w:szCs w:val="24"/>
        </w:rPr>
        <w:t>;</w:t>
      </w:r>
      <w:r w:rsidRPr="00E02D64">
        <w:rPr>
          <w:rFonts w:ascii="Arial" w:hAnsi="Arial" w:cs="Arial"/>
          <w:bCs/>
          <w:sz w:val="24"/>
          <w:szCs w:val="24"/>
        </w:rPr>
        <w:t xml:space="preserve">                             </w:t>
      </w:r>
    </w:p>
    <w:p w:rsidR="007D10C6" w:rsidRPr="00E02D64" w:rsidRDefault="00CA31FE" w:rsidP="00766DB3">
      <w:pPr>
        <w:spacing w:after="0" w:line="360" w:lineRule="auto"/>
        <w:ind w:firstLine="2977"/>
        <w:jc w:val="both"/>
        <w:rPr>
          <w:rFonts w:ascii="Arial" w:hAnsi="Arial" w:cs="Arial"/>
          <w:bCs/>
          <w:sz w:val="24"/>
          <w:szCs w:val="24"/>
        </w:rPr>
      </w:pPr>
      <w:r w:rsidRPr="00E02D64">
        <w:rPr>
          <w:rFonts w:ascii="Arial" w:hAnsi="Arial" w:cs="Arial"/>
          <w:b/>
          <w:bCs/>
          <w:sz w:val="24"/>
          <w:szCs w:val="24"/>
        </w:rPr>
        <w:t>3)</w:t>
      </w:r>
      <w:r w:rsidR="007D10C6" w:rsidRPr="00E02D64">
        <w:rPr>
          <w:rFonts w:ascii="Arial" w:hAnsi="Arial" w:cs="Arial"/>
          <w:bCs/>
          <w:sz w:val="24"/>
          <w:szCs w:val="24"/>
        </w:rPr>
        <w:t xml:space="preserve"> que</w:t>
      </w:r>
      <w:r w:rsidR="007415C2" w:rsidRPr="00E02D64">
        <w:rPr>
          <w:rFonts w:ascii="Arial" w:hAnsi="Arial" w:cs="Arial"/>
          <w:bCs/>
          <w:sz w:val="24"/>
          <w:szCs w:val="24"/>
        </w:rPr>
        <w:t xml:space="preserve"> por otra parte,</w:t>
      </w:r>
      <w:r w:rsidR="007D10C6" w:rsidRPr="00E02D64">
        <w:rPr>
          <w:rFonts w:ascii="Arial" w:hAnsi="Arial" w:cs="Arial"/>
          <w:bCs/>
          <w:sz w:val="24"/>
          <w:szCs w:val="24"/>
        </w:rPr>
        <w:t xml:space="preserve"> el </w:t>
      </w:r>
      <w:r w:rsidR="00766DB3">
        <w:rPr>
          <w:rFonts w:ascii="Arial" w:hAnsi="Arial" w:cs="Arial"/>
          <w:bCs/>
          <w:sz w:val="24"/>
          <w:szCs w:val="24"/>
        </w:rPr>
        <w:t>A</w:t>
      </w:r>
      <w:r w:rsidR="007D10C6" w:rsidRPr="00E02D64">
        <w:rPr>
          <w:rFonts w:ascii="Arial" w:hAnsi="Arial" w:cs="Arial"/>
          <w:bCs/>
          <w:sz w:val="24"/>
          <w:szCs w:val="24"/>
        </w:rPr>
        <w:t>rtículo 132 del T.O.C.A.F. establece la necesidad de rendir cuentas en forma documentada o comprobable, por parte de todo aquel que perciba fondos en carácter de recaudador, depositario o pagador, o que administre, utilice o custodie otros bienes o pertenencias del Estado, en un plazo de sesenta días contados a partir del último día del mes en que se recibieron los fondos o valores, extremo al que se deberá dar cumplimiento en la especie;</w:t>
      </w:r>
    </w:p>
    <w:p w:rsidR="007D10C6" w:rsidRPr="00E02D64" w:rsidRDefault="007D10C6" w:rsidP="00C9053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02D64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E02D64">
        <w:rPr>
          <w:rFonts w:ascii="Arial" w:hAnsi="Arial" w:cs="Arial"/>
          <w:sz w:val="24"/>
          <w:szCs w:val="24"/>
        </w:rPr>
        <w:t xml:space="preserve">a lo expuesto precedentemente y a lo dispuesto en el </w:t>
      </w:r>
      <w:r w:rsidR="00C90536">
        <w:rPr>
          <w:rFonts w:ascii="Arial" w:hAnsi="Arial" w:cs="Arial"/>
          <w:sz w:val="24"/>
          <w:szCs w:val="24"/>
        </w:rPr>
        <w:t>A</w:t>
      </w:r>
      <w:r w:rsidRPr="00E02D64">
        <w:rPr>
          <w:rFonts w:ascii="Arial" w:hAnsi="Arial" w:cs="Arial"/>
          <w:sz w:val="24"/>
          <w:szCs w:val="24"/>
        </w:rPr>
        <w:t xml:space="preserve">rtículo 211 </w:t>
      </w:r>
      <w:r w:rsidR="00C90536">
        <w:rPr>
          <w:rFonts w:ascii="Arial" w:hAnsi="Arial" w:cs="Arial"/>
          <w:sz w:val="24"/>
          <w:szCs w:val="24"/>
        </w:rPr>
        <w:t>L</w:t>
      </w:r>
      <w:r w:rsidRPr="00E02D64">
        <w:rPr>
          <w:rFonts w:ascii="Arial" w:hAnsi="Arial" w:cs="Arial"/>
          <w:sz w:val="24"/>
          <w:szCs w:val="24"/>
        </w:rPr>
        <w:t>iteral B) de la Constitución de la República;</w:t>
      </w:r>
    </w:p>
    <w:p w:rsidR="007D10C6" w:rsidRPr="00E02D64" w:rsidRDefault="007D10C6" w:rsidP="00C90536">
      <w:pPr>
        <w:keepNext/>
        <w:spacing w:after="0" w:line="360" w:lineRule="auto"/>
        <w:jc w:val="center"/>
        <w:outlineLvl w:val="2"/>
        <w:rPr>
          <w:rFonts w:ascii="Arial" w:hAnsi="Arial" w:cs="Arial"/>
          <w:b/>
          <w:sz w:val="24"/>
          <w:szCs w:val="24"/>
          <w:lang w:val="es-ES_tradnl"/>
        </w:rPr>
      </w:pPr>
      <w:r w:rsidRPr="00E02D64">
        <w:rPr>
          <w:rFonts w:ascii="Arial" w:hAnsi="Arial" w:cs="Arial"/>
          <w:b/>
          <w:sz w:val="24"/>
          <w:szCs w:val="24"/>
          <w:lang w:val="es-MX"/>
        </w:rPr>
        <w:t>EL TRIBUNAL ACUERDA</w:t>
      </w:r>
    </w:p>
    <w:p w:rsidR="007D10C6" w:rsidRPr="00E02D64" w:rsidRDefault="007D10C6" w:rsidP="00C9053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E02D64">
        <w:rPr>
          <w:rFonts w:ascii="Arial" w:hAnsi="Arial" w:cs="Arial"/>
          <w:sz w:val="24"/>
          <w:szCs w:val="24"/>
          <w:lang w:val="es-MX"/>
        </w:rPr>
        <w:t>Cometer al Contador Delegado la intervención del gasto previo control de su imputación a grupo adecuado con disponibilidad suficiente;</w:t>
      </w:r>
    </w:p>
    <w:p w:rsidR="007D10C6" w:rsidRPr="00E02D64" w:rsidRDefault="007D10C6" w:rsidP="00C9053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E02D64">
        <w:rPr>
          <w:rFonts w:ascii="Arial" w:hAnsi="Arial" w:cs="Arial"/>
          <w:sz w:val="24"/>
          <w:szCs w:val="24"/>
          <w:lang w:val="es-MX"/>
        </w:rPr>
        <w:t xml:space="preserve">Téngase presente lo expresado en el Considerando </w:t>
      </w:r>
      <w:r w:rsidR="007415C2" w:rsidRPr="00E02D64">
        <w:rPr>
          <w:rFonts w:ascii="Arial" w:hAnsi="Arial" w:cs="Arial"/>
          <w:sz w:val="24"/>
          <w:szCs w:val="24"/>
          <w:lang w:val="es-MX"/>
        </w:rPr>
        <w:t>3</w:t>
      </w:r>
      <w:r w:rsidRPr="00E02D64">
        <w:rPr>
          <w:rFonts w:ascii="Arial" w:hAnsi="Arial" w:cs="Arial"/>
          <w:sz w:val="24"/>
          <w:szCs w:val="24"/>
          <w:lang w:val="es-MX"/>
        </w:rPr>
        <w:t xml:space="preserve">); </w:t>
      </w:r>
    </w:p>
    <w:p w:rsidR="007D10C6" w:rsidRPr="00E02D64" w:rsidRDefault="007D10C6" w:rsidP="00C9053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E02D64">
        <w:rPr>
          <w:rFonts w:ascii="Arial" w:hAnsi="Arial" w:cs="Arial"/>
          <w:sz w:val="24"/>
          <w:szCs w:val="24"/>
          <w:lang w:val="es-MX"/>
        </w:rPr>
        <w:lastRenderedPageBreak/>
        <w:t>Comunicar al Contador Delegado; y</w:t>
      </w:r>
    </w:p>
    <w:p w:rsidR="007D10C6" w:rsidRDefault="007D10C6" w:rsidP="00C9053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E02D64">
        <w:rPr>
          <w:rFonts w:ascii="Arial" w:hAnsi="Arial" w:cs="Arial"/>
          <w:bCs/>
          <w:sz w:val="24"/>
          <w:szCs w:val="24"/>
          <w:lang w:val="es-MX"/>
        </w:rPr>
        <w:t>Devolver las actuaciones.</w:t>
      </w:r>
    </w:p>
    <w:p w:rsidR="00C90536" w:rsidRDefault="00C90536" w:rsidP="00C90536">
      <w:pPr>
        <w:pStyle w:val="Prrafodelista"/>
        <w:spacing w:after="0" w:line="360" w:lineRule="auto"/>
        <w:ind w:left="360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C90536" w:rsidRPr="00C90536" w:rsidRDefault="00C90536" w:rsidP="00C9053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  <w:lang w:val="es-MX"/>
        </w:rPr>
        <w:t>ag</w:t>
      </w:r>
      <w:proofErr w:type="spellEnd"/>
      <w:proofErr w:type="gramEnd"/>
    </w:p>
    <w:p w:rsidR="007D10C6" w:rsidRDefault="007D10C6" w:rsidP="001E0203">
      <w:pPr>
        <w:pStyle w:val="Textoindependiente"/>
        <w:rPr>
          <w:rFonts w:ascii="Arial" w:hAnsi="Arial" w:cs="Arial"/>
        </w:rPr>
      </w:pPr>
    </w:p>
    <w:p w:rsidR="007D10C6" w:rsidRDefault="007D10C6" w:rsidP="001E0203">
      <w:pPr>
        <w:spacing w:after="0"/>
        <w:jc w:val="both"/>
        <w:rPr>
          <w:rFonts w:ascii="Arial" w:hAnsi="Arial" w:cs="Arial"/>
        </w:rPr>
      </w:pPr>
    </w:p>
    <w:p w:rsidR="00E41D66" w:rsidRPr="007907D1" w:rsidRDefault="00E41D66" w:rsidP="001E020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41D66" w:rsidRPr="007907D1" w:rsidSect="00214DA1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B3" w:rsidRDefault="00766DB3" w:rsidP="00766DB3">
      <w:pPr>
        <w:spacing w:after="0" w:line="240" w:lineRule="auto"/>
      </w:pPr>
      <w:r>
        <w:separator/>
      </w:r>
    </w:p>
  </w:endnote>
  <w:endnote w:type="continuationSeparator" w:id="0">
    <w:p w:rsidR="00766DB3" w:rsidRDefault="00766DB3" w:rsidP="0076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605585"/>
      <w:docPartObj>
        <w:docPartGallery w:val="Page Numbers (Bottom of Page)"/>
        <w:docPartUnique/>
      </w:docPartObj>
    </w:sdtPr>
    <w:sdtContent>
      <w:p w:rsidR="00766DB3" w:rsidRDefault="00766DB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DA1" w:rsidRPr="00214DA1">
          <w:rPr>
            <w:noProof/>
            <w:lang w:val="es-ES"/>
          </w:rPr>
          <w:t>2</w:t>
        </w:r>
        <w:r>
          <w:fldChar w:fldCharType="end"/>
        </w:r>
      </w:p>
    </w:sdtContent>
  </w:sdt>
  <w:p w:rsidR="00766DB3" w:rsidRDefault="00766D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B3" w:rsidRDefault="00766DB3" w:rsidP="00766DB3">
      <w:pPr>
        <w:spacing w:after="0" w:line="240" w:lineRule="auto"/>
      </w:pPr>
      <w:r>
        <w:separator/>
      </w:r>
    </w:p>
  </w:footnote>
  <w:footnote w:type="continuationSeparator" w:id="0">
    <w:p w:rsidR="00766DB3" w:rsidRDefault="00766DB3" w:rsidP="0076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BB1"/>
    <w:multiLevelType w:val="hybridMultilevel"/>
    <w:tmpl w:val="A19A2816"/>
    <w:lvl w:ilvl="0" w:tplc="59185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BE0428"/>
    <w:multiLevelType w:val="hybridMultilevel"/>
    <w:tmpl w:val="F36CFFCC"/>
    <w:lvl w:ilvl="0" w:tplc="CBE80674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7D351B"/>
    <w:multiLevelType w:val="hybridMultilevel"/>
    <w:tmpl w:val="1F94D05A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D1"/>
    <w:rsid w:val="00056CC0"/>
    <w:rsid w:val="00062224"/>
    <w:rsid w:val="000909D1"/>
    <w:rsid w:val="001E0203"/>
    <w:rsid w:val="00214DA1"/>
    <w:rsid w:val="002F62F9"/>
    <w:rsid w:val="0036141C"/>
    <w:rsid w:val="003931ED"/>
    <w:rsid w:val="00434FA6"/>
    <w:rsid w:val="00546829"/>
    <w:rsid w:val="005F094B"/>
    <w:rsid w:val="007415C2"/>
    <w:rsid w:val="0076398B"/>
    <w:rsid w:val="00766DB3"/>
    <w:rsid w:val="007907D1"/>
    <w:rsid w:val="007D10C6"/>
    <w:rsid w:val="007F14FC"/>
    <w:rsid w:val="00902F9B"/>
    <w:rsid w:val="00947EAC"/>
    <w:rsid w:val="00C90536"/>
    <w:rsid w:val="00CA31FE"/>
    <w:rsid w:val="00D926B0"/>
    <w:rsid w:val="00DF0F90"/>
    <w:rsid w:val="00E02D64"/>
    <w:rsid w:val="00E3100F"/>
    <w:rsid w:val="00E41D66"/>
    <w:rsid w:val="00E50516"/>
    <w:rsid w:val="00F2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7D10C6"/>
    <w:pPr>
      <w:spacing w:after="0" w:line="360" w:lineRule="auto"/>
      <w:jc w:val="both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D10C6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E02D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6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DB3"/>
  </w:style>
  <w:style w:type="paragraph" w:styleId="Piedepgina">
    <w:name w:val="footer"/>
    <w:basedOn w:val="Normal"/>
    <w:link w:val="PiedepginaCar"/>
    <w:uiPriority w:val="99"/>
    <w:unhideWhenUsed/>
    <w:rsid w:val="00766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7D10C6"/>
    <w:pPr>
      <w:spacing w:after="0" w:line="360" w:lineRule="auto"/>
      <w:jc w:val="both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D10C6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E02D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6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DB3"/>
  </w:style>
  <w:style w:type="paragraph" w:styleId="Piedepgina">
    <w:name w:val="footer"/>
    <w:basedOn w:val="Normal"/>
    <w:link w:val="PiedepginaCar"/>
    <w:uiPriority w:val="99"/>
    <w:unhideWhenUsed/>
    <w:rsid w:val="00766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12</cp:revision>
  <dcterms:created xsi:type="dcterms:W3CDTF">2019-01-29T16:21:00Z</dcterms:created>
  <dcterms:modified xsi:type="dcterms:W3CDTF">2019-01-29T17:45:00Z</dcterms:modified>
</cp:coreProperties>
</file>