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454" w:rsidRPr="00C61614" w:rsidRDefault="00C66454" w:rsidP="00C61614">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 xml:space="preserve">RES. </w:t>
      </w:r>
      <w:r w:rsidR="00120771">
        <w:rPr>
          <w:rFonts w:cs="Arial"/>
          <w:b/>
          <w:sz w:val="28"/>
          <w:szCs w:val="28"/>
          <w:lang w:val="es-ES_tradnl"/>
        </w:rPr>
        <w:t>259</w:t>
      </w:r>
      <w:r>
        <w:rPr>
          <w:rFonts w:cs="Arial"/>
          <w:b/>
          <w:sz w:val="28"/>
          <w:szCs w:val="28"/>
          <w:lang w:val="es-ES_tradnl"/>
        </w:rPr>
        <w:t>/19</w:t>
      </w:r>
    </w:p>
    <w:p w:rsidR="00C66454" w:rsidRDefault="00C66454">
      <w:pPr>
        <w:tabs>
          <w:tab w:val="center" w:pos="4253"/>
        </w:tabs>
        <w:suppressAutoHyphens/>
        <w:jc w:val="center"/>
        <w:rPr>
          <w:rFonts w:cs="Arial"/>
          <w:b/>
          <w:lang w:val="es-ES_tradnl"/>
        </w:rPr>
      </w:pPr>
    </w:p>
    <w:p w:rsidR="00C66454" w:rsidRDefault="00C66454" w:rsidP="00662B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C66454" w:rsidRDefault="00C66454" w:rsidP="00662BF1">
      <w:pPr>
        <w:tabs>
          <w:tab w:val="left" w:pos="-720"/>
        </w:tabs>
        <w:suppressAutoHyphens/>
        <w:jc w:val="center"/>
        <w:rPr>
          <w:rFonts w:ascii="Helvetica" w:hAnsi="Helvetica"/>
          <w:b/>
          <w:lang w:val="es-ES_tradnl"/>
        </w:rPr>
      </w:pPr>
    </w:p>
    <w:p w:rsidR="00C66454" w:rsidRDefault="00C66454" w:rsidP="00662BF1">
      <w:pPr>
        <w:tabs>
          <w:tab w:val="center" w:pos="4253"/>
        </w:tabs>
        <w:suppressAutoHyphens/>
        <w:jc w:val="center"/>
        <w:rPr>
          <w:rFonts w:ascii="Helvetica" w:hAnsi="Helvetica"/>
          <w:b/>
          <w:lang w:val="es-ES_tradnl"/>
        </w:rPr>
      </w:pPr>
      <w:r>
        <w:rPr>
          <w:rFonts w:ascii="Helvetica" w:hAnsi="Helvetica"/>
          <w:b/>
          <w:lang w:val="es-ES_tradnl"/>
        </w:rPr>
        <w:t>TRIBUNAL DE CUENTAS</w:t>
      </w:r>
    </w:p>
    <w:p w:rsidR="00C66454" w:rsidRDefault="00C66454" w:rsidP="00662BF1">
      <w:pPr>
        <w:tabs>
          <w:tab w:val="left" w:pos="-720"/>
        </w:tabs>
        <w:suppressAutoHyphens/>
        <w:jc w:val="center"/>
        <w:rPr>
          <w:rFonts w:ascii="Helvetica" w:hAnsi="Helvetica"/>
          <w:b/>
          <w:lang w:val="es-ES_tradnl"/>
        </w:rPr>
      </w:pPr>
    </w:p>
    <w:p w:rsidR="00C66454" w:rsidRDefault="00C66454" w:rsidP="00662BF1">
      <w:pPr>
        <w:tabs>
          <w:tab w:val="center" w:pos="4253"/>
        </w:tabs>
        <w:suppressAutoHyphens/>
        <w:jc w:val="center"/>
        <w:rPr>
          <w:rFonts w:ascii="Helvetica" w:hAnsi="Helvetica"/>
          <w:b/>
          <w:lang w:val="es-ES_tradnl"/>
        </w:rPr>
      </w:pPr>
      <w:r>
        <w:rPr>
          <w:rFonts w:ascii="Helvetica" w:hAnsi="Helvetica"/>
          <w:b/>
          <w:lang w:val="es-ES_tradnl"/>
        </w:rPr>
        <w:t>EN SESION DE FECHA 23 DE ENERO DE 2019</w:t>
      </w:r>
    </w:p>
    <w:p w:rsidR="00C66454" w:rsidRDefault="00C66454" w:rsidP="00662BF1">
      <w:pPr>
        <w:tabs>
          <w:tab w:val="center" w:pos="4253"/>
        </w:tabs>
        <w:suppressAutoHyphens/>
        <w:jc w:val="center"/>
        <w:rPr>
          <w:rFonts w:ascii="Helvetica" w:hAnsi="Helvetica"/>
          <w:b/>
          <w:lang w:val="es-ES_tradnl"/>
        </w:rPr>
      </w:pPr>
    </w:p>
    <w:p w:rsidR="00C66454" w:rsidRPr="00120771" w:rsidRDefault="00C66454" w:rsidP="00662BF1">
      <w:pPr>
        <w:tabs>
          <w:tab w:val="center" w:pos="4253"/>
        </w:tabs>
        <w:suppressAutoHyphens/>
        <w:jc w:val="center"/>
        <w:rPr>
          <w:rFonts w:ascii="Helvetica" w:hAnsi="Helvetica"/>
          <w:b/>
        </w:rPr>
      </w:pPr>
      <w:r w:rsidRPr="00120771">
        <w:rPr>
          <w:rFonts w:ascii="Helvetica" w:hAnsi="Helvetica"/>
          <w:b/>
        </w:rPr>
        <w:t>(E. E. Nº 201</w:t>
      </w:r>
      <w:r w:rsidR="00120771" w:rsidRPr="00120771">
        <w:rPr>
          <w:rFonts w:ascii="Helvetica" w:hAnsi="Helvetica"/>
          <w:b/>
        </w:rPr>
        <w:t>8</w:t>
      </w:r>
      <w:r w:rsidRPr="00120771">
        <w:rPr>
          <w:rFonts w:ascii="Helvetica" w:hAnsi="Helvetica"/>
          <w:b/>
        </w:rPr>
        <w:t>-17-1-000</w:t>
      </w:r>
      <w:r w:rsidR="00120771" w:rsidRPr="00120771">
        <w:rPr>
          <w:rFonts w:ascii="Helvetica" w:hAnsi="Helvetica"/>
          <w:b/>
        </w:rPr>
        <w:t>4661</w:t>
      </w:r>
      <w:r w:rsidRPr="00120771">
        <w:rPr>
          <w:rFonts w:ascii="Helvetica" w:hAnsi="Helvetica"/>
          <w:b/>
        </w:rPr>
        <w:t xml:space="preserve">, </w:t>
      </w:r>
      <w:proofErr w:type="spellStart"/>
      <w:r w:rsidRPr="00120771">
        <w:rPr>
          <w:rFonts w:ascii="Helvetica" w:hAnsi="Helvetica"/>
          <w:b/>
        </w:rPr>
        <w:t>Ent</w:t>
      </w:r>
      <w:proofErr w:type="spellEnd"/>
      <w:r w:rsidRPr="00120771">
        <w:rPr>
          <w:rFonts w:ascii="Helvetica" w:hAnsi="Helvetica"/>
          <w:b/>
        </w:rPr>
        <w:t xml:space="preserve">. N° </w:t>
      </w:r>
      <w:r w:rsidR="00120771" w:rsidRPr="00120771">
        <w:rPr>
          <w:rFonts w:ascii="Helvetica" w:hAnsi="Helvetica"/>
          <w:b/>
        </w:rPr>
        <w:t>3608</w:t>
      </w:r>
      <w:r w:rsidRPr="00120771">
        <w:rPr>
          <w:rFonts w:ascii="Helvetica" w:hAnsi="Helvetica"/>
          <w:b/>
        </w:rPr>
        <w:t>/</w:t>
      </w:r>
      <w:r w:rsidR="00120771" w:rsidRPr="00120771">
        <w:rPr>
          <w:rFonts w:ascii="Helvetica" w:hAnsi="Helvetica"/>
          <w:b/>
        </w:rPr>
        <w:t>18</w:t>
      </w:r>
      <w:r w:rsidRPr="00120771">
        <w:rPr>
          <w:rFonts w:ascii="Helvetica" w:hAnsi="Helvetica"/>
          <w:b/>
        </w:rPr>
        <w:t>)</w:t>
      </w:r>
    </w:p>
    <w:p w:rsidR="00C66454" w:rsidRPr="00120771" w:rsidRDefault="00C66454">
      <w:pPr>
        <w:tabs>
          <w:tab w:val="center" w:pos="4253"/>
        </w:tabs>
        <w:suppressAutoHyphens/>
        <w:jc w:val="center"/>
        <w:rPr>
          <w:rFonts w:cs="Arial"/>
          <w:b/>
        </w:rPr>
      </w:pPr>
    </w:p>
    <w:p w:rsidR="00C66454" w:rsidRDefault="00C66454" w:rsidP="00305CD7">
      <w:pPr>
        <w:tabs>
          <w:tab w:val="center" w:pos="4253"/>
        </w:tabs>
        <w:suppressAutoHyphens/>
        <w:jc w:val="center"/>
        <w:rPr>
          <w:rFonts w:ascii="Helvetica" w:hAnsi="Helvetica"/>
          <w:b/>
          <w:lang w:val="es-ES_tradnl"/>
        </w:rPr>
      </w:pPr>
    </w:p>
    <w:p w:rsidR="00864BCA" w:rsidRDefault="00864BCA" w:rsidP="005F0A9C">
      <w:pPr>
        <w:spacing w:line="360" w:lineRule="auto"/>
        <w:ind w:firstLine="851"/>
        <w:jc w:val="both"/>
      </w:pPr>
      <w:r>
        <w:rPr>
          <w:b/>
        </w:rPr>
        <w:t>VISTO:</w:t>
      </w:r>
      <w:r>
        <w:t xml:space="preserve"> la Rendición de Cuentas y Balance de Ejecución Presupuestal de la Intendencia de </w:t>
      </w:r>
      <w:r w:rsidR="00CB6BDE">
        <w:t>T</w:t>
      </w:r>
      <w:r>
        <w:t>a</w:t>
      </w:r>
      <w:r w:rsidR="00CB6BDE">
        <w:t>cu</w:t>
      </w:r>
      <w:r>
        <w:t>a</w:t>
      </w:r>
      <w:r w:rsidR="00CB6BDE">
        <w:t>rembó</w:t>
      </w:r>
      <w:r>
        <w:t xml:space="preserve"> correspondiente al Ejercicio 2017;</w:t>
      </w:r>
    </w:p>
    <w:p w:rsidR="00864BCA" w:rsidRDefault="00864BCA" w:rsidP="005F0A9C">
      <w:pPr>
        <w:spacing w:line="360" w:lineRule="auto"/>
        <w:ind w:firstLine="851"/>
        <w:jc w:val="both"/>
      </w:pPr>
      <w:r>
        <w:rPr>
          <w:b/>
        </w:rPr>
        <w:t xml:space="preserve">RESULTANDO: </w:t>
      </w:r>
      <w: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864BCA" w:rsidRDefault="00864BCA" w:rsidP="005F0A9C">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864BCA" w:rsidRDefault="00864BCA" w:rsidP="005F0A9C">
      <w:pPr>
        <w:spacing w:line="360" w:lineRule="auto"/>
        <w:ind w:firstLine="851"/>
        <w:jc w:val="both"/>
      </w:pPr>
      <w:r>
        <w:rPr>
          <w:b/>
        </w:rPr>
        <w:t xml:space="preserve">ATENTO: </w:t>
      </w:r>
      <w:r>
        <w:t>a lo dispuesto por el Artículo 211 Literal C) de la Constitución de la República;</w:t>
      </w:r>
    </w:p>
    <w:p w:rsidR="00864BCA" w:rsidRDefault="00864BCA" w:rsidP="00120771">
      <w:pPr>
        <w:spacing w:line="360" w:lineRule="auto"/>
        <w:jc w:val="center"/>
        <w:rPr>
          <w:b/>
        </w:rPr>
      </w:pPr>
      <w:bookmarkStart w:id="1" w:name="_Toc75256577"/>
      <w:r>
        <w:rPr>
          <w:b/>
        </w:rPr>
        <w:t>EL TRIBUNAL ACUERDA</w:t>
      </w:r>
      <w:bookmarkEnd w:id="1"/>
    </w:p>
    <w:p w:rsidR="00864BCA" w:rsidRDefault="00864BCA" w:rsidP="005F0A9C">
      <w:pPr>
        <w:pStyle w:val="Prrafodelista"/>
        <w:numPr>
          <w:ilvl w:val="0"/>
          <w:numId w:val="15"/>
        </w:numPr>
        <w:spacing w:line="360" w:lineRule="auto"/>
        <w:jc w:val="both"/>
      </w:pPr>
      <w:r>
        <w:t xml:space="preserve">Expedirse en los términos del Informe </w:t>
      </w:r>
      <w:r w:rsidR="00FE164C">
        <w:t>de Auditoría que se adjunta;</w:t>
      </w:r>
    </w:p>
    <w:p w:rsidR="00864BCA" w:rsidRDefault="00864BCA" w:rsidP="005F0A9C">
      <w:pPr>
        <w:pStyle w:val="Prrafodelista"/>
        <w:numPr>
          <w:ilvl w:val="0"/>
          <w:numId w:val="15"/>
        </w:numPr>
        <w:spacing w:line="360" w:lineRule="auto"/>
        <w:jc w:val="both"/>
      </w:pPr>
      <w:r>
        <w:t xml:space="preserve">Comunicar la presente Resolución a la Intendencia de </w:t>
      </w:r>
      <w:r w:rsidR="00CB6BDE">
        <w:t>T</w:t>
      </w:r>
      <w:r>
        <w:t>a</w:t>
      </w:r>
      <w:r w:rsidR="00CB6BDE">
        <w:t>cuarembó</w:t>
      </w:r>
      <w:r w:rsidR="00FE164C">
        <w:t>;</w:t>
      </w:r>
    </w:p>
    <w:p w:rsidR="00864BCA" w:rsidRDefault="00864BCA" w:rsidP="005F0A9C">
      <w:pPr>
        <w:pStyle w:val="Prrafodelista"/>
        <w:numPr>
          <w:ilvl w:val="0"/>
          <w:numId w:val="15"/>
        </w:numPr>
        <w:spacing w:line="360" w:lineRule="auto"/>
        <w:jc w:val="both"/>
      </w:pPr>
      <w:r>
        <w:t>D</w:t>
      </w:r>
      <w:r w:rsidR="00FE164C">
        <w:t>ar cuenta a la Asamblea General;</w:t>
      </w:r>
    </w:p>
    <w:p w:rsidR="00D87D18" w:rsidRDefault="00D87D18" w:rsidP="005F0A9C">
      <w:pPr>
        <w:pStyle w:val="Prrafodelista"/>
        <w:numPr>
          <w:ilvl w:val="0"/>
          <w:numId w:val="15"/>
        </w:numPr>
        <w:spacing w:line="360" w:lineRule="auto"/>
        <w:jc w:val="both"/>
      </w:pPr>
      <w:r>
        <w:t>Devolver los antecedentes.</w:t>
      </w:r>
    </w:p>
    <w:p w:rsidR="005F0A9C" w:rsidRDefault="005F0A9C" w:rsidP="005F0A9C">
      <w:pPr>
        <w:spacing w:line="360" w:lineRule="auto"/>
        <w:jc w:val="both"/>
      </w:pPr>
    </w:p>
    <w:p w:rsidR="005F0A9C" w:rsidRDefault="005F0A9C" w:rsidP="005F0A9C">
      <w:pPr>
        <w:spacing w:line="360" w:lineRule="auto"/>
        <w:jc w:val="both"/>
      </w:pPr>
      <w:proofErr w:type="spellStart"/>
      <w:proofErr w:type="gramStart"/>
      <w:r>
        <w:t>ag</w:t>
      </w:r>
      <w:proofErr w:type="spellEnd"/>
      <w:proofErr w:type="gramEnd"/>
    </w:p>
    <w:p w:rsidR="00D0616B" w:rsidRDefault="00D0616B" w:rsidP="00864BCA">
      <w:pPr>
        <w:spacing w:line="360" w:lineRule="auto"/>
        <w:jc w:val="both"/>
        <w:rPr>
          <w:sz w:val="16"/>
        </w:rPr>
      </w:pPr>
    </w:p>
    <w:p w:rsidR="00D0616B" w:rsidRDefault="00D0616B" w:rsidP="00864BCA">
      <w:pPr>
        <w:spacing w:line="360" w:lineRule="auto"/>
        <w:jc w:val="both"/>
        <w:rPr>
          <w:sz w:val="16"/>
        </w:rPr>
      </w:pPr>
    </w:p>
    <w:p w:rsidR="00071B63" w:rsidRDefault="00071B63" w:rsidP="00864BCA">
      <w:pPr>
        <w:spacing w:line="360" w:lineRule="auto"/>
        <w:jc w:val="both"/>
        <w:rPr>
          <w:sz w:val="16"/>
        </w:rPr>
      </w:pPr>
    </w:p>
    <w:p w:rsidR="00071B63" w:rsidRDefault="00071B63">
      <w:pPr>
        <w:jc w:val="center"/>
        <w:rPr>
          <w:rFonts w:cs="Arial"/>
        </w:rPr>
      </w:pPr>
      <w:r>
        <w:rPr>
          <w:rFonts w:cs="Arial"/>
          <w:b/>
        </w:rPr>
        <w:lastRenderedPageBreak/>
        <w:t>DICTAMEN</w:t>
      </w:r>
    </w:p>
    <w:p w:rsidR="00071B63" w:rsidRDefault="00071B63" w:rsidP="000006A2">
      <w:pPr>
        <w:spacing w:line="260" w:lineRule="atLeast"/>
        <w:jc w:val="both"/>
        <w:rPr>
          <w:rFonts w:cs="Arial"/>
        </w:rPr>
      </w:pPr>
    </w:p>
    <w:p w:rsidR="00071B63" w:rsidRDefault="00071B63" w:rsidP="001F22FC">
      <w:pPr>
        <w:spacing w:line="360" w:lineRule="auto"/>
        <w:jc w:val="both"/>
        <w:rPr>
          <w:rFonts w:cs="Arial"/>
          <w:b/>
        </w:rPr>
      </w:pPr>
      <w:r>
        <w:rPr>
          <w:rFonts w:cs="Arial"/>
          <w:b/>
        </w:rPr>
        <w:t>Opinión sin salvedades</w:t>
      </w:r>
    </w:p>
    <w:p w:rsidR="00071B63" w:rsidRPr="004D2CA8" w:rsidRDefault="00071B63" w:rsidP="001F22FC">
      <w:pPr>
        <w:shd w:val="clear" w:color="auto" w:fill="FFFFFF"/>
        <w:spacing w:line="360" w:lineRule="auto"/>
        <w:jc w:val="both"/>
        <w:rPr>
          <w:rFonts w:cs="Arial"/>
          <w:lang w:val="es-MX"/>
        </w:rPr>
      </w:pPr>
      <w:r w:rsidRPr="004D2CA8">
        <w:rPr>
          <w:rFonts w:cs="Arial"/>
          <w:lang w:val="es-MX"/>
        </w:rPr>
        <w:t xml:space="preserve">El Tribunal de Cuentas ha auditado la Rendición de Cuentas  y el Balance de Ejecución Presupuestal de la </w:t>
      </w:r>
      <w:r w:rsidRPr="004D2CA8">
        <w:rPr>
          <w:rFonts w:cs="Arial"/>
        </w:rPr>
        <w:t>Intendencia de</w:t>
      </w:r>
      <w:r>
        <w:rPr>
          <w:rFonts w:cs="Arial"/>
        </w:rPr>
        <w:t xml:space="preserve"> Tacuarembó</w:t>
      </w:r>
      <w:r w:rsidRPr="004D2CA8">
        <w:rPr>
          <w:rFonts w:cs="Arial"/>
          <w:lang w:val="es-MX"/>
        </w:rPr>
        <w:t>, que comprende los estados de ejecución presupuestal con relación a los créditos y a los recursos, de resultado del ejercicio, de resultado acumulado y otros estados complementarios, correspondientes al ejercicio finalizado el 31/12/2017.</w:t>
      </w:r>
    </w:p>
    <w:p w:rsidR="00071B63" w:rsidRDefault="00071B63" w:rsidP="001F22FC">
      <w:pPr>
        <w:spacing w:line="360" w:lineRule="auto"/>
        <w:jc w:val="both"/>
        <w:rPr>
          <w:rFonts w:cs="Arial"/>
          <w:lang w:val="es-MX"/>
        </w:rPr>
      </w:pPr>
      <w:r w:rsidRPr="004D2CA8">
        <w:rPr>
          <w:rFonts w:cs="Arial"/>
          <w:lang w:val="es-MX"/>
        </w:rPr>
        <w:t xml:space="preserve">En opinión del Tribunal de Cuentas, los estados mencionados presentan razonablemente, en todos sus aspectos significativos, la ejecución presupuestal del </w:t>
      </w:r>
      <w:r>
        <w:rPr>
          <w:rFonts w:cs="Arial"/>
          <w:lang w:val="es-MX"/>
        </w:rPr>
        <w:t>E</w:t>
      </w:r>
      <w:r w:rsidRPr="004D2CA8">
        <w:rPr>
          <w:rFonts w:cs="Arial"/>
          <w:lang w:val="es-MX"/>
        </w:rPr>
        <w:t xml:space="preserve">jercicio 2017, el resultado del ejercicio, el resultado acumulado, la evolución de las obligaciones presupuestales impagas y de los fondos indisponibles de acuerdo con las normas establecidas en el TOCAF y el instructivo vigente a la fecha de presentación </w:t>
      </w:r>
      <w:r w:rsidR="000D562B">
        <w:rPr>
          <w:rFonts w:cs="Arial"/>
          <w:lang w:val="es-MX"/>
        </w:rPr>
        <w:t>de los mismos.</w:t>
      </w:r>
    </w:p>
    <w:p w:rsidR="00071B63" w:rsidRDefault="00071B63" w:rsidP="001F22FC">
      <w:pPr>
        <w:spacing w:line="360" w:lineRule="auto"/>
        <w:jc w:val="both"/>
        <w:rPr>
          <w:rFonts w:cs="Arial"/>
          <w:b/>
        </w:rPr>
      </w:pPr>
    </w:p>
    <w:p w:rsidR="00071B63" w:rsidRDefault="00071B63" w:rsidP="001F22FC">
      <w:pPr>
        <w:spacing w:line="360" w:lineRule="auto"/>
        <w:jc w:val="both"/>
        <w:rPr>
          <w:rFonts w:cs="Arial"/>
        </w:rPr>
      </w:pPr>
      <w:r>
        <w:rPr>
          <w:rFonts w:cs="Arial"/>
          <w:b/>
        </w:rPr>
        <w:t>Opinión respecto al cumplimiento de la normativa legal aplicable</w:t>
      </w:r>
    </w:p>
    <w:p w:rsidR="00071B63" w:rsidRDefault="00071B63" w:rsidP="001F22FC">
      <w:pPr>
        <w:widowControl w:val="0"/>
        <w:autoSpaceDE w:val="0"/>
        <w:autoSpaceDN w:val="0"/>
        <w:adjustRightInd w:val="0"/>
        <w:spacing w:line="360" w:lineRule="auto"/>
        <w:jc w:val="both"/>
        <w:rPr>
          <w:rFonts w:cs="Arial"/>
          <w:snapToGrid w:val="0"/>
        </w:rPr>
      </w:pPr>
      <w:r w:rsidRPr="0005084B">
        <w:rPr>
          <w:rFonts w:cs="Arial"/>
          <w:lang w:val="es-MX" w:eastAsia="en-US"/>
        </w:rPr>
        <w:t xml:space="preserve">En el curso de la auditoría se han constatado los siguientes incumplimientos: Artículos </w:t>
      </w:r>
      <w:r w:rsidRPr="00E062BC">
        <w:rPr>
          <w:rFonts w:cs="Arial"/>
          <w:lang w:val="es-MX" w:eastAsia="en-US"/>
        </w:rPr>
        <w:t>297 numeral 1) y 298 de la</w:t>
      </w:r>
      <w:r w:rsidRPr="0005084B">
        <w:rPr>
          <w:rFonts w:cs="Arial"/>
          <w:lang w:val="es-MX" w:eastAsia="en-US"/>
        </w:rPr>
        <w:t xml:space="preserve"> Constitución de la República</w:t>
      </w:r>
      <w:r w:rsidRPr="00E062BC">
        <w:rPr>
          <w:rFonts w:cs="Arial"/>
          <w:lang w:val="es-MX" w:eastAsia="en-US"/>
        </w:rPr>
        <w:t xml:space="preserve">, Artículo 4 Ley Nº 19.122, Artículos 14 y 15 Ley Nº 19.272, Artículos 40, 48 </w:t>
      </w:r>
      <w:r>
        <w:rPr>
          <w:rFonts w:cs="Arial"/>
          <w:lang w:val="es-MX" w:eastAsia="en-US"/>
        </w:rPr>
        <w:t>L</w:t>
      </w:r>
      <w:r w:rsidRPr="00E062BC">
        <w:rPr>
          <w:rFonts w:cs="Arial"/>
          <w:lang w:val="es-MX" w:eastAsia="en-US"/>
        </w:rPr>
        <w:t xml:space="preserve">iteral </w:t>
      </w:r>
      <w:r>
        <w:rPr>
          <w:rFonts w:cs="Arial"/>
          <w:lang w:val="es-MX" w:eastAsia="en-US"/>
        </w:rPr>
        <w:t>C</w:t>
      </w:r>
      <w:r w:rsidRPr="00E062BC">
        <w:rPr>
          <w:rFonts w:cs="Arial"/>
          <w:lang w:val="es-MX" w:eastAsia="en-US"/>
        </w:rPr>
        <w:t>), 84 y 97, 94 y 128 del TOCAF, Cláusula 4ta de Convenios</w:t>
      </w:r>
      <w:r w:rsidRPr="0005084B">
        <w:rPr>
          <w:rFonts w:cs="Arial"/>
          <w:lang w:val="es-MX" w:eastAsia="en-US"/>
        </w:rPr>
        <w:t xml:space="preserve"> con deudores</w:t>
      </w:r>
      <w:r w:rsidRPr="00E062BC">
        <w:rPr>
          <w:rFonts w:cs="Arial"/>
          <w:lang w:val="es-MX" w:eastAsia="en-US"/>
        </w:rPr>
        <w:t xml:space="preserve">, Ordenanza Nº 89 y </w:t>
      </w:r>
      <w:r w:rsidRPr="00E062BC">
        <w:rPr>
          <w:rFonts w:cs="Arial"/>
          <w:snapToGrid w:val="0"/>
        </w:rPr>
        <w:t>Resolución</w:t>
      </w:r>
      <w:r w:rsidRPr="0005084B">
        <w:rPr>
          <w:rFonts w:cs="Arial"/>
          <w:snapToGrid w:val="0"/>
        </w:rPr>
        <w:t xml:space="preserve"> del 28/01/2004 del Tribunal de </w:t>
      </w:r>
      <w:r w:rsidRPr="00E062BC">
        <w:rPr>
          <w:rFonts w:cs="Arial"/>
          <w:snapToGrid w:val="0"/>
        </w:rPr>
        <w:t>Cuentas.</w:t>
      </w:r>
    </w:p>
    <w:p w:rsidR="00071B63" w:rsidRDefault="00071B63" w:rsidP="001F22FC">
      <w:pPr>
        <w:widowControl w:val="0"/>
        <w:autoSpaceDE w:val="0"/>
        <w:autoSpaceDN w:val="0"/>
        <w:adjustRightInd w:val="0"/>
        <w:spacing w:line="360" w:lineRule="auto"/>
        <w:jc w:val="both"/>
        <w:rPr>
          <w:rFonts w:cs="Arial"/>
          <w:snapToGrid w:val="0"/>
        </w:rPr>
      </w:pPr>
    </w:p>
    <w:p w:rsidR="00071B63" w:rsidRDefault="00071B63" w:rsidP="001F22FC">
      <w:pPr>
        <w:widowControl w:val="0"/>
        <w:autoSpaceDE w:val="0"/>
        <w:autoSpaceDN w:val="0"/>
        <w:adjustRightInd w:val="0"/>
        <w:spacing w:line="360" w:lineRule="auto"/>
        <w:jc w:val="both"/>
        <w:rPr>
          <w:rFonts w:cs="Arial"/>
          <w:b/>
        </w:rPr>
      </w:pPr>
      <w:r>
        <w:rPr>
          <w:rFonts w:cs="Arial"/>
          <w:b/>
        </w:rPr>
        <w:t>Bases para  la Opinión sin salvedades</w:t>
      </w:r>
    </w:p>
    <w:p w:rsidR="00071B63" w:rsidRDefault="00071B63" w:rsidP="001F22FC">
      <w:pPr>
        <w:spacing w:line="360" w:lineRule="auto"/>
        <w:jc w:val="both"/>
        <w:rPr>
          <w:rFonts w:cs="Arial"/>
        </w:rPr>
      </w:pPr>
      <w:r>
        <w:rPr>
          <w:rFonts w:cs="Arial"/>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Intendencia de Tacuarembó y ha cumplido con las disposiciones de su Código de Ética, elaborado en concordancia con el Código de Ética de la INTOSAI. Se considera que la evidencia de auditoría obtenida es suficiente y adecuada para proporcionar una base razon</w:t>
      </w:r>
      <w:r w:rsidR="000D562B">
        <w:rPr>
          <w:rFonts w:cs="Arial"/>
        </w:rPr>
        <w:t>able para sustentar la opinión.</w:t>
      </w:r>
    </w:p>
    <w:p w:rsidR="00071B63" w:rsidRDefault="00071B63" w:rsidP="001F22FC">
      <w:pPr>
        <w:spacing w:line="360" w:lineRule="auto"/>
        <w:jc w:val="both"/>
        <w:rPr>
          <w:rFonts w:cs="Arial"/>
          <w:b/>
        </w:rPr>
      </w:pPr>
    </w:p>
    <w:p w:rsidR="00071B63" w:rsidRDefault="00071B63" w:rsidP="001F22FC">
      <w:pPr>
        <w:spacing w:line="360" w:lineRule="auto"/>
        <w:jc w:val="both"/>
        <w:rPr>
          <w:rFonts w:cs="Arial"/>
        </w:rPr>
      </w:pPr>
      <w:r>
        <w:rPr>
          <w:rFonts w:cs="Arial"/>
          <w:b/>
        </w:rPr>
        <w:t>Responsabilidad de la Intendencia en relación con la Rendición de Cuentas y Balance de Ejecución Presupuestal</w:t>
      </w:r>
    </w:p>
    <w:p w:rsidR="00071B63" w:rsidRDefault="00071B63" w:rsidP="001F22FC">
      <w:pPr>
        <w:spacing w:line="360" w:lineRule="auto"/>
        <w:jc w:val="both"/>
        <w:rPr>
          <w:rFonts w:cs="Arial"/>
        </w:rPr>
      </w:pPr>
      <w:r>
        <w:rPr>
          <w:rFonts w:cs="Arial"/>
        </w:rPr>
        <w:t xml:space="preserve">La Intendencia de Tacuarembó es responsable por la preparación y presentación razonable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w:t>
      </w:r>
      <w:r w:rsidR="000D562B">
        <w:rPr>
          <w:rFonts w:cs="Arial"/>
        </w:rPr>
        <w:t>políticas contables apropiadas.</w:t>
      </w:r>
    </w:p>
    <w:p w:rsidR="00071B63" w:rsidRDefault="00071B63" w:rsidP="001F22FC">
      <w:pPr>
        <w:spacing w:line="360" w:lineRule="auto"/>
        <w:jc w:val="both"/>
        <w:rPr>
          <w:rFonts w:cs="Arial"/>
          <w:b/>
        </w:rPr>
      </w:pPr>
    </w:p>
    <w:p w:rsidR="00071B63" w:rsidRDefault="00071B63" w:rsidP="001F22FC">
      <w:pPr>
        <w:spacing w:line="360" w:lineRule="auto"/>
        <w:jc w:val="both"/>
        <w:rPr>
          <w:rFonts w:cs="Arial"/>
        </w:rPr>
      </w:pPr>
      <w:r>
        <w:rPr>
          <w:rFonts w:cs="Arial"/>
          <w:b/>
        </w:rPr>
        <w:t>Responsabilidad del Tribunal de Cuentas por la auditoría de los estados financieros</w:t>
      </w:r>
    </w:p>
    <w:p w:rsidR="00071B63" w:rsidRDefault="00071B63" w:rsidP="001F22FC">
      <w:pPr>
        <w:spacing w:line="360" w:lineRule="auto"/>
        <w:jc w:val="both"/>
        <w:rPr>
          <w:rFonts w:cs="Arial"/>
        </w:rPr>
      </w:pPr>
      <w:r>
        <w:rPr>
          <w:rFonts w:cs="Arial"/>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071B63" w:rsidRDefault="00071B63" w:rsidP="001F22FC">
      <w:pPr>
        <w:spacing w:line="360" w:lineRule="auto"/>
        <w:jc w:val="both"/>
        <w:rPr>
          <w:rFonts w:cs="Arial"/>
        </w:rPr>
      </w:pPr>
      <w:r>
        <w:rPr>
          <w:rFonts w:cs="Arial"/>
        </w:rPr>
        <w:t>Como parte de una auditoría de acuerdo con las ISSAI referidas en la sección Bases para la Opinión, el Tribunal de Cuentas aplica su juicio profesional y mantiene el escepticismo profesional durante el proceso de auditoría. Asimismo:</w:t>
      </w:r>
    </w:p>
    <w:p w:rsidR="00071B63" w:rsidRDefault="00071B63" w:rsidP="00071B63">
      <w:pPr>
        <w:pStyle w:val="Prrafodelista"/>
        <w:numPr>
          <w:ilvl w:val="0"/>
          <w:numId w:val="17"/>
        </w:numPr>
        <w:suppressAutoHyphens/>
        <w:spacing w:line="360" w:lineRule="auto"/>
        <w:ind w:left="0"/>
        <w:contextualSpacing w:val="0"/>
        <w:jc w:val="both"/>
        <w:rPr>
          <w:rFonts w:cs="Arial"/>
        </w:rPr>
      </w:pPr>
      <w:r>
        <w:rPr>
          <w:rFonts w:cs="Aria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0D562B">
        <w:rPr>
          <w:rFonts w:cs="Arial"/>
        </w:rPr>
        <w:t>artamientos de control interno.</w:t>
      </w:r>
    </w:p>
    <w:p w:rsidR="00071B63" w:rsidRDefault="00071B63" w:rsidP="00071B63">
      <w:pPr>
        <w:pStyle w:val="Prrafodelista"/>
        <w:numPr>
          <w:ilvl w:val="0"/>
          <w:numId w:val="17"/>
        </w:numPr>
        <w:suppressAutoHyphens/>
        <w:spacing w:line="360" w:lineRule="auto"/>
        <w:ind w:left="0"/>
        <w:contextualSpacing w:val="0"/>
        <w:jc w:val="both"/>
        <w:rPr>
          <w:rFonts w:cs="Arial"/>
        </w:rPr>
      </w:pPr>
      <w:r>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071B63" w:rsidRDefault="00071B63" w:rsidP="00071B63">
      <w:pPr>
        <w:pStyle w:val="Prrafodelista"/>
        <w:numPr>
          <w:ilvl w:val="0"/>
          <w:numId w:val="17"/>
        </w:numPr>
        <w:suppressAutoHyphens/>
        <w:spacing w:line="360" w:lineRule="auto"/>
        <w:ind w:left="0"/>
        <w:contextualSpacing w:val="0"/>
        <w:jc w:val="both"/>
        <w:rPr>
          <w:rFonts w:cs="Arial"/>
        </w:rPr>
      </w:pPr>
      <w:r>
        <w:rPr>
          <w:rFonts w:cs="Arial"/>
        </w:rPr>
        <w:t>Evalúa la presentación general, la estructura y contenido de los estados, incluyendo las revelaciones y si los estados representan las transacciones y eventos subyacentes de un modo que se logre una representación fiel de los mismos.</w:t>
      </w:r>
    </w:p>
    <w:p w:rsidR="00071B63" w:rsidRDefault="00071B63" w:rsidP="001F22FC">
      <w:pPr>
        <w:pStyle w:val="Prrafodelista"/>
        <w:spacing w:line="360" w:lineRule="auto"/>
        <w:ind w:left="0"/>
        <w:jc w:val="both"/>
        <w:rPr>
          <w:rFonts w:cs="Arial"/>
        </w:rPr>
      </w:pPr>
    </w:p>
    <w:p w:rsidR="00071B63" w:rsidRDefault="00071B63" w:rsidP="001F22FC">
      <w:pPr>
        <w:pStyle w:val="Prrafodelista"/>
        <w:spacing w:line="360" w:lineRule="auto"/>
        <w:ind w:left="0"/>
        <w:jc w:val="both"/>
        <w:rPr>
          <w:rFonts w:cs="Arial"/>
        </w:rPr>
      </w:pPr>
      <w:r>
        <w:rPr>
          <w:rFonts w:cs="Arial"/>
        </w:rPr>
        <w:t>El Tribunal de Cuentas se comunicó con la Intendencia  en relación al alcance y la oportunidad de los procedimientos de auditoría y a los hallazgos signifi</w:t>
      </w:r>
      <w:r w:rsidR="000D562B">
        <w:rPr>
          <w:rFonts w:cs="Arial"/>
        </w:rPr>
        <w:t>cativos de auditoría incluidos.</w:t>
      </w:r>
    </w:p>
    <w:p w:rsidR="00071B63" w:rsidRDefault="00071B63" w:rsidP="001F22FC">
      <w:pPr>
        <w:pStyle w:val="Prrafodelista"/>
        <w:spacing w:line="360" w:lineRule="auto"/>
        <w:ind w:left="0"/>
        <w:jc w:val="both"/>
        <w:rPr>
          <w:rFonts w:cs="Arial"/>
          <w:b/>
        </w:rPr>
      </w:pPr>
    </w:p>
    <w:p w:rsidR="00071B63" w:rsidRDefault="00071B63" w:rsidP="001F22FC">
      <w:pPr>
        <w:spacing w:line="360" w:lineRule="auto"/>
        <w:jc w:val="both"/>
        <w:rPr>
          <w:rFonts w:cs="Arial"/>
        </w:rPr>
      </w:pPr>
      <w:r>
        <w:rPr>
          <w:rFonts w:cs="Arial"/>
          <w:b/>
        </w:rPr>
        <w:t>Informe de cumplimiento de la normativa vigente</w:t>
      </w:r>
    </w:p>
    <w:p w:rsidR="00071B63" w:rsidRDefault="00071B63" w:rsidP="001F22FC">
      <w:pPr>
        <w:spacing w:line="360" w:lineRule="auto"/>
        <w:jc w:val="both"/>
        <w:rPr>
          <w:rFonts w:cs="Arial"/>
          <w:b/>
          <w:bCs/>
        </w:rPr>
      </w:pPr>
      <w:r>
        <w:rPr>
          <w:rFonts w:cs="Arial"/>
        </w:rPr>
        <w:t>Respecto a los incumplimientos mencionados en el párrafo Opinión respecto al cumplimiento de la normativa legal aplicable corresponde señalar lo si</w:t>
      </w:r>
      <w:r w:rsidR="000D562B">
        <w:rPr>
          <w:rFonts w:cs="Arial"/>
        </w:rPr>
        <w:t>guiente:</w:t>
      </w:r>
    </w:p>
    <w:p w:rsidR="00071B63" w:rsidRPr="0043467F" w:rsidRDefault="00071B63" w:rsidP="001F22FC">
      <w:pPr>
        <w:spacing w:line="360" w:lineRule="auto"/>
        <w:jc w:val="both"/>
        <w:rPr>
          <w:rFonts w:cs="Arial"/>
        </w:rPr>
      </w:pPr>
      <w:r w:rsidRPr="0043467F">
        <w:rPr>
          <w:rFonts w:cs="Arial"/>
          <w:b/>
          <w:bCs/>
        </w:rPr>
        <w:t>1.1)</w:t>
      </w:r>
      <w:r>
        <w:rPr>
          <w:rFonts w:cs="Arial"/>
          <w:b/>
          <w:bCs/>
        </w:rPr>
        <w:t xml:space="preserve"> </w:t>
      </w:r>
      <w:r w:rsidRPr="0043467F">
        <w:rPr>
          <w:rFonts w:cs="Arial"/>
          <w:b/>
          <w:bCs/>
        </w:rPr>
        <w:t>Artículo 297 numeral 1) de la Constitución de la República</w:t>
      </w:r>
      <w:r>
        <w:rPr>
          <w:rFonts w:cs="Arial"/>
          <w:b/>
          <w:bCs/>
        </w:rPr>
        <w:t>:</w:t>
      </w:r>
      <w:r w:rsidRPr="0043467F">
        <w:rPr>
          <w:rFonts w:cs="Arial"/>
        </w:rPr>
        <w:t xml:space="preserve"> Las bonificaciones otorgadas a contribuyentes buenos pagadores y por pago contado en el tributo de contribución inmobiliaria rural, no se ajustaron a la normativa vigente, por ser esta facultad competencia del Poder Legislativo.</w:t>
      </w:r>
    </w:p>
    <w:p w:rsidR="00071B63" w:rsidRPr="003F17C9" w:rsidRDefault="00071B63" w:rsidP="001F22FC">
      <w:pPr>
        <w:pStyle w:val="Prrafodelista"/>
        <w:spacing w:line="360" w:lineRule="auto"/>
        <w:ind w:left="0"/>
        <w:jc w:val="both"/>
        <w:rPr>
          <w:rFonts w:cs="Arial"/>
        </w:rPr>
      </w:pPr>
      <w:r w:rsidRPr="006803D7">
        <w:rPr>
          <w:rFonts w:cs="Arial"/>
          <w:b/>
        </w:rPr>
        <w:t>1.2) Artículo 298 de la Constitución de la República</w:t>
      </w:r>
      <w:r>
        <w:rPr>
          <w:rFonts w:cs="Arial"/>
          <w:b/>
        </w:rPr>
        <w:t>:</w:t>
      </w:r>
      <w:r w:rsidRPr="006803D7">
        <w:rPr>
          <w:rFonts w:cs="Arial"/>
        </w:rPr>
        <w:t xml:space="preserve"> Los ingresos correspondientes a</w:t>
      </w:r>
      <w:r>
        <w:rPr>
          <w:rFonts w:cs="Arial"/>
        </w:rPr>
        <w:t xml:space="preserve"> “Proyectos Artículo 298 de la Constitución (Fondo de Desarrollo del Interior)”,</w:t>
      </w:r>
      <w:r w:rsidRPr="006803D7">
        <w:rPr>
          <w:rFonts w:cs="Arial"/>
        </w:rPr>
        <w:t xml:space="preserve"> así como </w:t>
      </w:r>
      <w:r>
        <w:rPr>
          <w:rFonts w:cs="Arial"/>
        </w:rPr>
        <w:t>su</w:t>
      </w:r>
      <w:r w:rsidRPr="006803D7">
        <w:rPr>
          <w:rFonts w:cs="Arial"/>
        </w:rPr>
        <w:t xml:space="preserve"> utilización</w:t>
      </w:r>
      <w:r>
        <w:rPr>
          <w:rFonts w:cs="Arial"/>
        </w:rPr>
        <w:t>,</w:t>
      </w:r>
      <w:r w:rsidRPr="006803D7">
        <w:rPr>
          <w:rFonts w:cs="Arial"/>
        </w:rPr>
        <w:t xml:space="preserve"> deben exponerse en la contabilidad presupuestal como ingresos de origen nacional y como gastos en los </w:t>
      </w:r>
      <w:r>
        <w:rPr>
          <w:rFonts w:cs="Arial"/>
        </w:rPr>
        <w:t>p</w:t>
      </w:r>
      <w:r w:rsidRPr="006803D7">
        <w:rPr>
          <w:rFonts w:cs="Arial"/>
        </w:rPr>
        <w:t>rogramas respectivos.</w:t>
      </w:r>
    </w:p>
    <w:p w:rsidR="00071B63" w:rsidRDefault="00071B63" w:rsidP="001F22FC">
      <w:pPr>
        <w:pStyle w:val="Prrafodelista"/>
        <w:spacing w:line="360" w:lineRule="auto"/>
        <w:ind w:left="0"/>
        <w:jc w:val="both"/>
        <w:rPr>
          <w:rFonts w:cs="Arial"/>
        </w:rPr>
      </w:pPr>
      <w:r w:rsidRPr="001B6976">
        <w:rPr>
          <w:rFonts w:cs="Arial"/>
          <w:b/>
        </w:rPr>
        <w:t>1.3)</w:t>
      </w:r>
      <w:r w:rsidRPr="00160FC5">
        <w:rPr>
          <w:rFonts w:cs="Arial"/>
          <w:b/>
          <w:bCs/>
        </w:rPr>
        <w:t xml:space="preserve"> </w:t>
      </w:r>
      <w:r>
        <w:rPr>
          <w:rFonts w:cs="Arial"/>
          <w:b/>
          <w:bCs/>
        </w:rPr>
        <w:t xml:space="preserve">Artículo 4 de la </w:t>
      </w:r>
      <w:r w:rsidRPr="003B4096">
        <w:rPr>
          <w:rFonts w:cs="Arial"/>
          <w:b/>
        </w:rPr>
        <w:t>Ley N</w:t>
      </w:r>
      <w:r>
        <w:rPr>
          <w:rFonts w:cs="Arial"/>
          <w:b/>
        </w:rPr>
        <w:t xml:space="preserve">º </w:t>
      </w:r>
      <w:r w:rsidRPr="003B4096">
        <w:rPr>
          <w:rFonts w:cs="Arial"/>
          <w:b/>
        </w:rPr>
        <w:t>19</w:t>
      </w:r>
      <w:r>
        <w:rPr>
          <w:rFonts w:cs="Arial"/>
          <w:b/>
        </w:rPr>
        <w:t>.</w:t>
      </w:r>
      <w:r w:rsidRPr="003B4096">
        <w:rPr>
          <w:rFonts w:cs="Arial"/>
          <w:b/>
        </w:rPr>
        <w:t>122</w:t>
      </w:r>
      <w:r>
        <w:rPr>
          <w:rFonts w:cs="Arial"/>
          <w:b/>
        </w:rPr>
        <w:t xml:space="preserve">: </w:t>
      </w:r>
      <w:r>
        <w:rPr>
          <w:rFonts w:cs="Arial"/>
        </w:rPr>
        <w:t>Los Gobiernos Departamentales deben destinar el 8% de los puestos de trabajo a ser llenados en el año, para ser ocupados por personas afrodescendientes que cumplan con los requisitos establecidos en las normas vigentes.</w:t>
      </w:r>
    </w:p>
    <w:p w:rsidR="00071B63" w:rsidRPr="00A14997" w:rsidRDefault="00071B63" w:rsidP="001F22FC">
      <w:pPr>
        <w:pStyle w:val="Prrafodelista"/>
        <w:spacing w:line="360" w:lineRule="auto"/>
        <w:ind w:left="0"/>
        <w:jc w:val="both"/>
        <w:rPr>
          <w:rFonts w:cs="Arial"/>
        </w:rPr>
      </w:pPr>
      <w:r w:rsidRPr="007515C7">
        <w:rPr>
          <w:rFonts w:cs="Arial"/>
          <w:b/>
        </w:rPr>
        <w:t>1.4)</w:t>
      </w:r>
      <w:r>
        <w:rPr>
          <w:rFonts w:cs="Arial"/>
        </w:rPr>
        <w:t xml:space="preserve"> </w:t>
      </w:r>
      <w:r>
        <w:rPr>
          <w:rFonts w:cs="Arial"/>
          <w:b/>
        </w:rPr>
        <w:t xml:space="preserve">Artículos 14 y 15 de la Ley Nº 19.272: </w:t>
      </w:r>
      <w:r>
        <w:rPr>
          <w:rFonts w:cs="Arial"/>
        </w:rPr>
        <w:t>Los Municipios no sesionaron a los efectos de que los Concejales y el Alcalde emitieran su voto para decidir respecto de los gastos a realizar.</w:t>
      </w:r>
    </w:p>
    <w:p w:rsidR="00071B63" w:rsidRPr="0043010B" w:rsidRDefault="00071B63" w:rsidP="001F22FC">
      <w:pPr>
        <w:autoSpaceDE w:val="0"/>
        <w:autoSpaceDN w:val="0"/>
        <w:adjustRightInd w:val="0"/>
        <w:spacing w:line="360" w:lineRule="auto"/>
        <w:jc w:val="both"/>
        <w:rPr>
          <w:rFonts w:cs="Arial"/>
          <w:bCs/>
        </w:rPr>
      </w:pPr>
      <w:r>
        <w:rPr>
          <w:rFonts w:cs="Arial"/>
          <w:b/>
          <w:bCs/>
        </w:rPr>
        <w:t xml:space="preserve">1.5) </w:t>
      </w:r>
      <w:r w:rsidRPr="00160FC5">
        <w:rPr>
          <w:rFonts w:cs="Arial"/>
          <w:b/>
          <w:bCs/>
        </w:rPr>
        <w:t>Artículo 40 del TOCAF</w:t>
      </w:r>
      <w:r>
        <w:rPr>
          <w:rFonts w:cs="Arial"/>
          <w:b/>
          <w:bCs/>
        </w:rPr>
        <w:t>:</w:t>
      </w:r>
      <w:r w:rsidRPr="00160FC5">
        <w:rPr>
          <w:rFonts w:cs="Arial"/>
          <w:b/>
          <w:bCs/>
        </w:rPr>
        <w:t xml:space="preserve"> </w:t>
      </w:r>
      <w:r w:rsidRPr="00160FC5">
        <w:rPr>
          <w:rFonts w:cs="Arial"/>
          <w:bCs/>
        </w:rPr>
        <w:t>Los contratos de arrendamiento de inmuebles deben contar con</w:t>
      </w:r>
      <w:r w:rsidRPr="0043010B">
        <w:rPr>
          <w:rFonts w:cs="Arial"/>
          <w:bCs/>
        </w:rPr>
        <w:t xml:space="preserve"> informe previo técnico respecto al valor a pagar por la Comuna.</w:t>
      </w:r>
    </w:p>
    <w:p w:rsidR="00071B63" w:rsidRPr="00D93FA9" w:rsidRDefault="00071B63" w:rsidP="001F22FC">
      <w:pPr>
        <w:spacing w:line="360" w:lineRule="auto"/>
        <w:jc w:val="both"/>
        <w:rPr>
          <w:rFonts w:cs="Arial"/>
          <w:bCs/>
        </w:rPr>
      </w:pPr>
      <w:r w:rsidRPr="00160FC5">
        <w:rPr>
          <w:rFonts w:cs="Arial"/>
          <w:b/>
          <w:bCs/>
        </w:rPr>
        <w:t>1.</w:t>
      </w:r>
      <w:r>
        <w:rPr>
          <w:rFonts w:cs="Arial"/>
          <w:b/>
          <w:bCs/>
        </w:rPr>
        <w:t>6</w:t>
      </w:r>
      <w:r w:rsidRPr="00160FC5">
        <w:rPr>
          <w:rFonts w:cs="Arial"/>
          <w:b/>
          <w:bCs/>
        </w:rPr>
        <w:t>) Artículo 48 literal C del TOCAF</w:t>
      </w:r>
      <w:r>
        <w:rPr>
          <w:rFonts w:cs="Arial"/>
          <w:b/>
          <w:bCs/>
        </w:rPr>
        <w:t>:</w:t>
      </w:r>
      <w:r w:rsidRPr="00160FC5">
        <w:rPr>
          <w:rFonts w:cs="Arial"/>
          <w:b/>
          <w:bCs/>
        </w:rPr>
        <w:t xml:space="preserve"> </w:t>
      </w:r>
      <w:r w:rsidRPr="00160FC5">
        <w:rPr>
          <w:rFonts w:cs="Arial"/>
          <w:bCs/>
        </w:rPr>
        <w:t>No se ha dado cumplimento en todos los casos a esta normativa, ya que la misma dispone que el Pliego de Bases y Condiciones particulares, debe establecer los factores para la evaluación de ofertas y su ponderación a efectos de determinar la calificación asignada a cada oferta.</w:t>
      </w:r>
    </w:p>
    <w:p w:rsidR="00071B63" w:rsidRPr="0043467F" w:rsidRDefault="00071B63" w:rsidP="001F22FC">
      <w:pPr>
        <w:spacing w:line="360" w:lineRule="auto"/>
        <w:jc w:val="both"/>
        <w:rPr>
          <w:rFonts w:cs="Arial"/>
        </w:rPr>
      </w:pPr>
      <w:r>
        <w:rPr>
          <w:rFonts w:cs="Arial"/>
          <w:b/>
          <w:bCs/>
        </w:rPr>
        <w:t>1.7</w:t>
      </w:r>
      <w:r w:rsidRPr="0043467F">
        <w:rPr>
          <w:rFonts w:cs="Arial"/>
          <w:b/>
          <w:bCs/>
        </w:rPr>
        <w:t xml:space="preserve">) Artículos </w:t>
      </w:r>
      <w:r w:rsidRPr="0043467F">
        <w:rPr>
          <w:rFonts w:cs="Arial"/>
          <w:b/>
        </w:rPr>
        <w:t>84 y 97 del TOCAF</w:t>
      </w:r>
      <w:r>
        <w:rPr>
          <w:rFonts w:cs="Arial"/>
          <w:b/>
        </w:rPr>
        <w:t>:</w:t>
      </w:r>
      <w:r w:rsidRPr="0043467F">
        <w:rPr>
          <w:rFonts w:cs="Arial"/>
        </w:rPr>
        <w:t xml:space="preserve"> La Intendencia no tiene un inventario actualizado ni valuado en su totalidad, de sus bienes muebles e inmuebles. Asimismo, el sistema contable no registra las existencias y</w:t>
      </w:r>
      <w:r>
        <w:rPr>
          <w:rFonts w:cs="Arial"/>
        </w:rPr>
        <w:t xml:space="preserve"> los movimientos de los mismos</w:t>
      </w:r>
      <w:r w:rsidRPr="0043467F">
        <w:rPr>
          <w:rFonts w:cs="Arial"/>
        </w:rPr>
        <w:t>.</w:t>
      </w:r>
    </w:p>
    <w:p w:rsidR="00071B63" w:rsidRPr="0043467F" w:rsidRDefault="00071B63" w:rsidP="001F22FC">
      <w:pPr>
        <w:spacing w:line="360" w:lineRule="auto"/>
        <w:jc w:val="both"/>
        <w:rPr>
          <w:rFonts w:cs="Arial"/>
        </w:rPr>
      </w:pPr>
      <w:r>
        <w:rPr>
          <w:rFonts w:cs="Arial"/>
          <w:b/>
          <w:bCs/>
        </w:rPr>
        <w:t>1.8</w:t>
      </w:r>
      <w:r w:rsidRPr="0043467F">
        <w:rPr>
          <w:rFonts w:cs="Arial"/>
          <w:b/>
          <w:bCs/>
        </w:rPr>
        <w:t xml:space="preserve">) Artículo </w:t>
      </w:r>
      <w:r w:rsidRPr="0043467F">
        <w:rPr>
          <w:rFonts w:cs="Arial"/>
          <w:b/>
        </w:rPr>
        <w:t>94 del TOCAF</w:t>
      </w:r>
      <w:r w:rsidRPr="0043467F">
        <w:rPr>
          <w:rFonts w:cs="Arial"/>
          <w:b/>
          <w:bCs/>
        </w:rPr>
        <w:t xml:space="preserve"> y Ordenanza 8</w:t>
      </w:r>
      <w:r>
        <w:rPr>
          <w:rFonts w:cs="Arial"/>
          <w:b/>
          <w:bCs/>
        </w:rPr>
        <w:t>9</w:t>
      </w:r>
      <w:r w:rsidRPr="0043467F">
        <w:rPr>
          <w:rFonts w:cs="Arial"/>
          <w:b/>
          <w:bCs/>
        </w:rPr>
        <w:t xml:space="preserve"> del Tribunal de Cuentas</w:t>
      </w:r>
      <w:r w:rsidRPr="0043467F">
        <w:rPr>
          <w:rFonts w:cs="Arial"/>
        </w:rPr>
        <w:t xml:space="preserve"> La Intendencia no ha implementado un sistema contable que permita cumplir con lo establecido por dichas normas.</w:t>
      </w:r>
    </w:p>
    <w:p w:rsidR="00071B63" w:rsidRPr="0043467F" w:rsidRDefault="00071B63" w:rsidP="001F22FC">
      <w:pPr>
        <w:spacing w:line="360" w:lineRule="auto"/>
        <w:jc w:val="both"/>
        <w:rPr>
          <w:rFonts w:cs="Arial"/>
        </w:rPr>
      </w:pPr>
      <w:r>
        <w:rPr>
          <w:rFonts w:cs="Arial"/>
          <w:b/>
          <w:bCs/>
        </w:rPr>
        <w:t>1.9</w:t>
      </w:r>
      <w:r w:rsidRPr="0043467F">
        <w:rPr>
          <w:rFonts w:cs="Arial"/>
          <w:b/>
          <w:bCs/>
        </w:rPr>
        <w:t xml:space="preserve">) Artículo </w:t>
      </w:r>
      <w:r w:rsidRPr="0043467F">
        <w:rPr>
          <w:rFonts w:cs="Arial"/>
          <w:b/>
        </w:rPr>
        <w:t>128 del TOCAF</w:t>
      </w:r>
      <w:r w:rsidRPr="0043467F">
        <w:rPr>
          <w:rFonts w:cs="Arial"/>
        </w:rPr>
        <w:t xml:space="preserve"> El estado demostrativo del grado de cumplimiento de los objetivos y metas programadas incluye información parcial sobre las metas previstas y alcanzadas y su costo resultante.</w:t>
      </w:r>
    </w:p>
    <w:p w:rsidR="00071B63" w:rsidRPr="0043467F" w:rsidRDefault="00071B63" w:rsidP="001F22FC">
      <w:pPr>
        <w:spacing w:line="360" w:lineRule="auto"/>
        <w:jc w:val="both"/>
        <w:rPr>
          <w:rFonts w:cs="Arial"/>
        </w:rPr>
      </w:pPr>
      <w:r w:rsidRPr="0043467F">
        <w:rPr>
          <w:rFonts w:cs="Arial"/>
          <w:b/>
          <w:bCs/>
        </w:rPr>
        <w:t>1.</w:t>
      </w:r>
      <w:r>
        <w:rPr>
          <w:rFonts w:cs="Arial"/>
          <w:b/>
          <w:bCs/>
        </w:rPr>
        <w:t>10</w:t>
      </w:r>
      <w:r w:rsidRPr="0043467F">
        <w:rPr>
          <w:rFonts w:cs="Arial"/>
          <w:b/>
          <w:bCs/>
        </w:rPr>
        <w:t xml:space="preserve">) Cláusula 4º de Convenios suscritos con deudores </w:t>
      </w:r>
      <w:r w:rsidRPr="002976C2">
        <w:rPr>
          <w:rFonts w:cs="Arial"/>
          <w:bCs/>
        </w:rPr>
        <w:t xml:space="preserve">La </w:t>
      </w:r>
      <w:r w:rsidRPr="0043467F">
        <w:rPr>
          <w:rFonts w:cs="Arial"/>
        </w:rPr>
        <w:t xml:space="preserve">Intendencia no cumple con los términos de caducidad dispuestos en las diferentes modalidades de convenios que se realizan con sus deudores. La anulación de los </w:t>
      </w:r>
      <w:r>
        <w:rPr>
          <w:rFonts w:cs="Arial"/>
        </w:rPr>
        <w:t>c</w:t>
      </w:r>
      <w:r w:rsidRPr="0043467F">
        <w:rPr>
          <w:rFonts w:cs="Arial"/>
        </w:rPr>
        <w:t>onvenios por incumplimiento y el cómputo de las cuotas abonadas como pagos a cuenta de los tributos originalmente adeudados, no se efectiviza en forma regular ni sistemática.</w:t>
      </w:r>
    </w:p>
    <w:p w:rsidR="00071B63" w:rsidRPr="0043467F" w:rsidRDefault="00071B63" w:rsidP="001F22FC">
      <w:pPr>
        <w:spacing w:line="360" w:lineRule="auto"/>
        <w:jc w:val="both"/>
        <w:rPr>
          <w:rFonts w:cs="Arial"/>
        </w:rPr>
      </w:pPr>
      <w:r>
        <w:rPr>
          <w:rFonts w:cs="Arial"/>
          <w:b/>
          <w:bCs/>
        </w:rPr>
        <w:t>1.11</w:t>
      </w:r>
      <w:r w:rsidRPr="0043467F">
        <w:rPr>
          <w:rFonts w:cs="Arial"/>
          <w:b/>
          <w:bCs/>
        </w:rPr>
        <w:t>) Resolución del Tribunal de Cuentas de fecha 28/01/04.</w:t>
      </w:r>
    </w:p>
    <w:p w:rsidR="00071B63" w:rsidRPr="0043467F" w:rsidRDefault="00071B63" w:rsidP="001F22FC">
      <w:pPr>
        <w:spacing w:line="360" w:lineRule="auto"/>
        <w:jc w:val="both"/>
        <w:rPr>
          <w:rFonts w:cs="Arial"/>
          <w:bCs/>
        </w:rPr>
      </w:pPr>
      <w:r w:rsidRPr="0043467F">
        <w:rPr>
          <w:rFonts w:cs="Arial"/>
          <w:bCs/>
        </w:rPr>
        <w:t>El documento de la Rendición de Cuentas presentado no se ajustó, en su totalidad, a lo dispuesto por dicha Resolución por los siguientes motivos:</w:t>
      </w:r>
    </w:p>
    <w:p w:rsidR="00071B63" w:rsidRPr="0043467F" w:rsidRDefault="00071B63" w:rsidP="00071B63">
      <w:pPr>
        <w:numPr>
          <w:ilvl w:val="0"/>
          <w:numId w:val="18"/>
        </w:numPr>
        <w:spacing w:line="360" w:lineRule="auto"/>
        <w:ind w:left="0"/>
        <w:jc w:val="both"/>
        <w:rPr>
          <w:rFonts w:cs="Arial"/>
          <w:b/>
          <w:bCs/>
        </w:rPr>
      </w:pPr>
      <w:r w:rsidRPr="0043467F">
        <w:rPr>
          <w:rFonts w:cs="Arial"/>
          <w:b/>
          <w:bCs/>
        </w:rPr>
        <w:t>Estado</w:t>
      </w:r>
      <w:r>
        <w:rPr>
          <w:rFonts w:cs="Arial"/>
          <w:b/>
          <w:bCs/>
        </w:rPr>
        <w:t>s</w:t>
      </w:r>
      <w:r w:rsidRPr="0043467F">
        <w:rPr>
          <w:rFonts w:cs="Arial"/>
          <w:b/>
          <w:bCs/>
        </w:rPr>
        <w:t xml:space="preserve"> de ejecución con relación a los recursos</w:t>
      </w:r>
      <w:r>
        <w:rPr>
          <w:rFonts w:cs="Arial"/>
          <w:b/>
          <w:bCs/>
        </w:rPr>
        <w:t xml:space="preserve"> y a los gastos</w:t>
      </w:r>
    </w:p>
    <w:p w:rsidR="00071B63" w:rsidRPr="0030290F" w:rsidRDefault="00071B63" w:rsidP="001F22FC">
      <w:pPr>
        <w:spacing w:line="360" w:lineRule="auto"/>
        <w:jc w:val="both"/>
        <w:rPr>
          <w:rFonts w:cs="Arial"/>
          <w:bCs/>
          <w:color w:val="FF0000"/>
        </w:rPr>
      </w:pPr>
      <w:r w:rsidRPr="0043467F">
        <w:rPr>
          <w:rFonts w:cs="Arial"/>
          <w:bCs/>
        </w:rPr>
        <w:t>No se expone</w:t>
      </w:r>
      <w:r>
        <w:rPr>
          <w:rFonts w:cs="Arial"/>
          <w:bCs/>
        </w:rPr>
        <w:t>n</w:t>
      </w:r>
      <w:r w:rsidRPr="0043467F">
        <w:rPr>
          <w:rFonts w:cs="Arial"/>
          <w:bCs/>
        </w:rPr>
        <w:t xml:space="preserve"> en el Estado Nº 4 de ejecución del presupuesto con relación a los recursos, todos los ingresos de origen nacional, ya que no se incluyen los recursos correspondientes al concepto “Artículo 298 de la Constitución de la República </w:t>
      </w:r>
      <w:r w:rsidRPr="001C4ECC">
        <w:rPr>
          <w:rFonts w:cs="Arial"/>
          <w:bCs/>
        </w:rPr>
        <w:t xml:space="preserve">(Fondo de desarrollo del interior)”. Estos ingresos se exponen únicamente en el Estado de </w:t>
      </w:r>
      <w:r>
        <w:rPr>
          <w:rFonts w:cs="Arial"/>
          <w:bCs/>
        </w:rPr>
        <w:t>fondos e</w:t>
      </w:r>
      <w:r w:rsidRPr="001C4ECC">
        <w:rPr>
          <w:rFonts w:cs="Arial"/>
          <w:bCs/>
        </w:rPr>
        <w:t>xtrapresupuestales en las cuentas correspondientes a los respectivos pr</w:t>
      </w:r>
      <w:r w:rsidR="000D562B">
        <w:rPr>
          <w:rFonts w:cs="Arial"/>
          <w:bCs/>
        </w:rPr>
        <w:t>oyectos y su monto asciende a $</w:t>
      </w:r>
      <w:r w:rsidRPr="001C4ECC">
        <w:rPr>
          <w:rFonts w:cs="Arial"/>
          <w:bCs/>
        </w:rPr>
        <w:t xml:space="preserve">23.743.559. </w:t>
      </w:r>
      <w:r>
        <w:rPr>
          <w:rFonts w:cs="Arial"/>
          <w:bCs/>
        </w:rPr>
        <w:t xml:space="preserve">Asimismo, tampoco se exponen en dicho estado </w:t>
      </w:r>
      <w:r w:rsidRPr="001C4ECC">
        <w:rPr>
          <w:rFonts w:cs="Arial"/>
          <w:bCs/>
        </w:rPr>
        <w:t xml:space="preserve">todos los ingresos de origen departamental, ya que no se incluyen los recursos provenientes de los Camping Municipales y del Hotel de San Gregorio, estos ingresos se exponen únicamente en el Estado de </w:t>
      </w:r>
      <w:r>
        <w:rPr>
          <w:rFonts w:cs="Arial"/>
          <w:bCs/>
        </w:rPr>
        <w:t xml:space="preserve">fondos </w:t>
      </w:r>
      <w:r w:rsidRPr="001C4ECC">
        <w:rPr>
          <w:rFonts w:cs="Arial"/>
          <w:bCs/>
        </w:rPr>
        <w:t>extrapresupuestal</w:t>
      </w:r>
      <w:r>
        <w:rPr>
          <w:rFonts w:cs="Arial"/>
          <w:bCs/>
        </w:rPr>
        <w:t>es</w:t>
      </w:r>
      <w:r w:rsidRPr="001C4ECC">
        <w:rPr>
          <w:rFonts w:cs="Arial"/>
          <w:bCs/>
        </w:rPr>
        <w:t>.</w:t>
      </w:r>
      <w:r>
        <w:rPr>
          <w:rFonts w:cs="Arial"/>
          <w:bCs/>
        </w:rPr>
        <w:t xml:space="preserve"> De igual forma los gastos correspondientes a los Camping y al mencionado hotel, deben imputarse en los objetos presupuestales respectivos.</w:t>
      </w:r>
    </w:p>
    <w:p w:rsidR="00071B63" w:rsidRPr="00160FC5" w:rsidRDefault="00071B63" w:rsidP="00071B63">
      <w:pPr>
        <w:pStyle w:val="Prrafodelista"/>
        <w:numPr>
          <w:ilvl w:val="0"/>
          <w:numId w:val="20"/>
        </w:numPr>
        <w:spacing w:line="360" w:lineRule="auto"/>
        <w:ind w:left="0" w:hanging="283"/>
        <w:jc w:val="both"/>
        <w:rPr>
          <w:rFonts w:cs="Arial"/>
          <w:b/>
          <w:bCs/>
        </w:rPr>
      </w:pPr>
      <w:r w:rsidRPr="00160FC5">
        <w:rPr>
          <w:rFonts w:cs="Arial"/>
          <w:b/>
          <w:bCs/>
        </w:rPr>
        <w:t>Estado de Evolución de Obligaciones Presupuestales Impagas.</w:t>
      </w:r>
    </w:p>
    <w:p w:rsidR="00071B63" w:rsidRPr="009710BF" w:rsidRDefault="00071B63" w:rsidP="001F22FC">
      <w:pPr>
        <w:spacing w:line="360" w:lineRule="auto"/>
        <w:jc w:val="both"/>
        <w:rPr>
          <w:rFonts w:cs="Arial"/>
        </w:rPr>
      </w:pPr>
      <w:r w:rsidRPr="0043467F">
        <w:rPr>
          <w:rFonts w:cs="Arial"/>
        </w:rPr>
        <w:t xml:space="preserve">El listado de acreedores incluido en la Rendición de Cuentas no presenta las deudas discriminadas por año, lo que no permite verificar las obligaciones presupuestales impagas del estado de ejecución presupuestal con relación a los créditos y </w:t>
      </w:r>
      <w:r>
        <w:rPr>
          <w:rFonts w:cs="Arial"/>
        </w:rPr>
        <w:t>las correspondientes a años anteriores</w:t>
      </w:r>
      <w:r w:rsidRPr="009710BF">
        <w:rPr>
          <w:rFonts w:cs="Arial"/>
        </w:rPr>
        <w:t>.</w:t>
      </w:r>
    </w:p>
    <w:p w:rsidR="00071B63" w:rsidRPr="009710BF" w:rsidRDefault="00071B63" w:rsidP="00071B63">
      <w:pPr>
        <w:pStyle w:val="Prrafodelista"/>
        <w:numPr>
          <w:ilvl w:val="0"/>
          <w:numId w:val="19"/>
        </w:numPr>
        <w:spacing w:line="360" w:lineRule="auto"/>
        <w:ind w:left="0" w:hanging="283"/>
        <w:jc w:val="both"/>
        <w:rPr>
          <w:rFonts w:cs="Arial"/>
          <w:b/>
        </w:rPr>
      </w:pPr>
      <w:r w:rsidRPr="009710BF">
        <w:rPr>
          <w:rFonts w:cs="Arial"/>
          <w:b/>
        </w:rPr>
        <w:t xml:space="preserve">Estado de </w:t>
      </w:r>
      <w:r>
        <w:rPr>
          <w:rFonts w:cs="Arial"/>
          <w:b/>
        </w:rPr>
        <w:t>Fondos</w:t>
      </w:r>
      <w:r w:rsidRPr="009710BF">
        <w:rPr>
          <w:rFonts w:cs="Arial"/>
          <w:b/>
        </w:rPr>
        <w:t xml:space="preserve">  </w:t>
      </w:r>
      <w:r>
        <w:rPr>
          <w:rFonts w:cs="Arial"/>
          <w:b/>
        </w:rPr>
        <w:t>E</w:t>
      </w:r>
      <w:r w:rsidRPr="009710BF">
        <w:rPr>
          <w:rFonts w:cs="Arial"/>
          <w:b/>
        </w:rPr>
        <w:t>xtrapresupuestales</w:t>
      </w:r>
    </w:p>
    <w:p w:rsidR="00071B63" w:rsidRDefault="00071B63" w:rsidP="001F22FC">
      <w:pPr>
        <w:spacing w:line="360" w:lineRule="auto"/>
        <w:jc w:val="both"/>
        <w:rPr>
          <w:rFonts w:cs="Arial"/>
        </w:rPr>
      </w:pPr>
      <w:r w:rsidRPr="009710BF">
        <w:rPr>
          <w:rFonts w:cs="Arial"/>
        </w:rPr>
        <w:t xml:space="preserve">No se </w:t>
      </w:r>
      <w:r>
        <w:rPr>
          <w:rFonts w:cs="Arial"/>
        </w:rPr>
        <w:t>realizó conforme a lo establecido en el i</w:t>
      </w:r>
      <w:r w:rsidRPr="009710BF">
        <w:rPr>
          <w:rFonts w:cs="Arial"/>
        </w:rPr>
        <w:t xml:space="preserve">nstructivo del Tribunal de Cuentas. </w:t>
      </w:r>
      <w:r>
        <w:rPr>
          <w:rFonts w:cs="Arial"/>
        </w:rPr>
        <w:t>Además de lo señalado el punto “</w:t>
      </w:r>
      <w:r w:rsidRPr="00872074">
        <w:rPr>
          <w:rFonts w:cs="Arial"/>
          <w:bCs/>
        </w:rPr>
        <w:t>Estado</w:t>
      </w:r>
      <w:r>
        <w:rPr>
          <w:rFonts w:cs="Arial"/>
          <w:bCs/>
        </w:rPr>
        <w:t>s</w:t>
      </w:r>
      <w:r w:rsidRPr="00872074">
        <w:rPr>
          <w:rFonts w:cs="Arial"/>
          <w:bCs/>
        </w:rPr>
        <w:t xml:space="preserve"> de ejecución con relación a los recursos</w:t>
      </w:r>
      <w:r>
        <w:rPr>
          <w:rFonts w:cs="Arial"/>
          <w:bCs/>
        </w:rPr>
        <w:t xml:space="preserve"> y a los gastos</w:t>
      </w:r>
      <w:r w:rsidRPr="00872074">
        <w:rPr>
          <w:rFonts w:cs="Arial"/>
        </w:rPr>
        <w:t>”</w:t>
      </w:r>
      <w:r>
        <w:rPr>
          <w:rFonts w:cs="Arial"/>
        </w:rPr>
        <w:t>, s</w:t>
      </w:r>
      <w:r w:rsidRPr="009710BF">
        <w:rPr>
          <w:rFonts w:cs="Arial"/>
        </w:rPr>
        <w:t xml:space="preserve">e expone </w:t>
      </w:r>
      <w:r>
        <w:rPr>
          <w:rFonts w:cs="Arial"/>
        </w:rPr>
        <w:t>como extrapresupuesto</w:t>
      </w:r>
      <w:r w:rsidRPr="009710BF">
        <w:rPr>
          <w:rFonts w:cs="Arial"/>
        </w:rPr>
        <w:t xml:space="preserve"> la Cuenta Diferencia de Cotización que incluye movimientos de cuentas presupuestales.</w:t>
      </w:r>
    </w:p>
    <w:p w:rsidR="00071B63" w:rsidRDefault="00071B63" w:rsidP="001F22FC">
      <w:pPr>
        <w:spacing w:line="360" w:lineRule="auto"/>
        <w:jc w:val="both"/>
        <w:rPr>
          <w:rFonts w:cs="Arial"/>
        </w:rPr>
      </w:pPr>
    </w:p>
    <w:p w:rsidR="00071B63" w:rsidRPr="0043467F" w:rsidRDefault="00071B63" w:rsidP="00071B63">
      <w:pPr>
        <w:numPr>
          <w:ilvl w:val="0"/>
          <w:numId w:val="18"/>
        </w:numPr>
        <w:spacing w:line="360" w:lineRule="auto"/>
        <w:ind w:left="0"/>
        <w:jc w:val="both"/>
        <w:rPr>
          <w:rFonts w:cs="Arial"/>
          <w:b/>
        </w:rPr>
      </w:pPr>
      <w:r w:rsidRPr="0043467F">
        <w:rPr>
          <w:rFonts w:cs="Arial"/>
          <w:b/>
        </w:rPr>
        <w:t>Fondos Indisponibles</w:t>
      </w:r>
    </w:p>
    <w:p w:rsidR="00071B63" w:rsidRPr="0043467F" w:rsidRDefault="00071B63" w:rsidP="001F22FC">
      <w:pPr>
        <w:pStyle w:val="Textoindependiente"/>
        <w:rPr>
          <w:rFonts w:cs="Arial"/>
          <w:bCs w:val="0"/>
        </w:rPr>
      </w:pPr>
      <w:r w:rsidRPr="0043467F">
        <w:rPr>
          <w:rFonts w:cs="Arial"/>
        </w:rPr>
        <w:t>Se incluyen en el estado correspondiente a indisponibles partidas que no revisten esta calidad. A</w:t>
      </w:r>
      <w:r w:rsidRPr="0043467F">
        <w:rPr>
          <w:rFonts w:cs="Arial"/>
          <w:bCs w:val="0"/>
        </w:rPr>
        <w:t xml:space="preserve"> continuación se detallan en pesos uruguayos las más significativas:</w:t>
      </w:r>
    </w:p>
    <w:p w:rsidR="00071B63" w:rsidRDefault="00071B63" w:rsidP="001F22FC">
      <w:pPr>
        <w:pStyle w:val="Textoindependiente"/>
        <w:ind w:firstLine="709"/>
        <w:rPr>
          <w:rFonts w:cs="Arial"/>
          <w:bCs w:val="0"/>
        </w:rPr>
      </w:pPr>
      <w:r>
        <w:rPr>
          <w:rFonts w:cs="Arial"/>
          <w:bCs w:val="0"/>
        </w:rPr>
        <w:t>Traspaso de Fondos                        29.857.442,93</w:t>
      </w:r>
    </w:p>
    <w:p w:rsidR="00071B63" w:rsidRDefault="00071B63" w:rsidP="001F22FC">
      <w:pPr>
        <w:pStyle w:val="Textoindependiente"/>
        <w:ind w:firstLine="709"/>
        <w:rPr>
          <w:rFonts w:cs="Arial"/>
          <w:bCs w:val="0"/>
        </w:rPr>
      </w:pPr>
      <w:r>
        <w:rPr>
          <w:rFonts w:cs="Arial"/>
          <w:bCs w:val="0"/>
        </w:rPr>
        <w:t>Garantías Y Depósitos                       1.093.714,50</w:t>
      </w:r>
    </w:p>
    <w:p w:rsidR="00071B63" w:rsidRDefault="00071B63" w:rsidP="001F22FC">
      <w:pPr>
        <w:pStyle w:val="Textoindependiente"/>
        <w:ind w:firstLine="709"/>
        <w:rPr>
          <w:rFonts w:cs="Arial"/>
          <w:bCs w:val="0"/>
        </w:rPr>
      </w:pPr>
      <w:r>
        <w:rPr>
          <w:rFonts w:cs="Arial"/>
          <w:bCs w:val="0"/>
        </w:rPr>
        <w:t>Guías de Semovientes                      -4.110.956,61</w:t>
      </w:r>
    </w:p>
    <w:p w:rsidR="00071B63" w:rsidRDefault="00071B63" w:rsidP="001F22FC">
      <w:pPr>
        <w:pStyle w:val="Textoindependiente"/>
        <w:ind w:firstLine="709"/>
        <w:rPr>
          <w:rFonts w:cs="Arial"/>
          <w:bCs w:val="0"/>
        </w:rPr>
      </w:pPr>
      <w:r>
        <w:rPr>
          <w:rFonts w:cs="Arial"/>
          <w:bCs w:val="0"/>
        </w:rPr>
        <w:t xml:space="preserve">Tarjeta Cabal                                   -   </w:t>
      </w:r>
      <w:r w:rsidR="000F6555">
        <w:rPr>
          <w:rFonts w:cs="Arial"/>
          <w:bCs w:val="0"/>
        </w:rPr>
        <w:t xml:space="preserve"> </w:t>
      </w:r>
      <w:r>
        <w:rPr>
          <w:rFonts w:cs="Arial"/>
          <w:bCs w:val="0"/>
        </w:rPr>
        <w:t>249.235,26</w:t>
      </w:r>
    </w:p>
    <w:p w:rsidR="00071B63" w:rsidRDefault="00071B63" w:rsidP="001F22FC">
      <w:pPr>
        <w:pStyle w:val="Textoindependiente"/>
        <w:ind w:firstLine="709"/>
        <w:rPr>
          <w:rFonts w:cs="Arial"/>
          <w:bCs w:val="0"/>
        </w:rPr>
      </w:pPr>
      <w:r>
        <w:rPr>
          <w:rFonts w:cs="Arial"/>
          <w:bCs w:val="0"/>
        </w:rPr>
        <w:t xml:space="preserve">Tarjeta </w:t>
      </w:r>
      <w:proofErr w:type="spellStart"/>
      <w:r>
        <w:rPr>
          <w:rFonts w:cs="Arial"/>
          <w:bCs w:val="0"/>
        </w:rPr>
        <w:t>Mastercard</w:t>
      </w:r>
      <w:proofErr w:type="spellEnd"/>
      <w:r>
        <w:rPr>
          <w:rFonts w:cs="Arial"/>
          <w:bCs w:val="0"/>
        </w:rPr>
        <w:t xml:space="preserve">                          - </w:t>
      </w:r>
      <w:r w:rsidR="000F6555">
        <w:rPr>
          <w:rFonts w:cs="Arial"/>
          <w:bCs w:val="0"/>
        </w:rPr>
        <w:t xml:space="preserve"> </w:t>
      </w:r>
      <w:r>
        <w:rPr>
          <w:rFonts w:cs="Arial"/>
          <w:bCs w:val="0"/>
        </w:rPr>
        <w:t>2.420.560,88</w:t>
      </w:r>
    </w:p>
    <w:p w:rsidR="00071B63" w:rsidRDefault="00071B63" w:rsidP="001F22FC">
      <w:pPr>
        <w:pStyle w:val="Textoindependiente"/>
        <w:ind w:firstLine="709"/>
        <w:rPr>
          <w:rFonts w:cs="Arial"/>
          <w:bCs w:val="0"/>
        </w:rPr>
      </w:pPr>
      <w:r>
        <w:rPr>
          <w:rFonts w:cs="Arial"/>
          <w:bCs w:val="0"/>
        </w:rPr>
        <w:t>Tarjeta VISA                                     -</w:t>
      </w:r>
      <w:r w:rsidR="000F6555">
        <w:rPr>
          <w:rFonts w:cs="Arial"/>
          <w:bCs w:val="0"/>
        </w:rPr>
        <w:t xml:space="preserve"> </w:t>
      </w:r>
      <w:r>
        <w:rPr>
          <w:rFonts w:cs="Arial"/>
          <w:bCs w:val="0"/>
        </w:rPr>
        <w:t>1.352.724.39</w:t>
      </w:r>
    </w:p>
    <w:p w:rsidR="00071B63" w:rsidRDefault="00071B63" w:rsidP="001F22FC">
      <w:pPr>
        <w:pStyle w:val="Textoindependiente"/>
        <w:ind w:firstLine="709"/>
        <w:rPr>
          <w:rFonts w:cs="Arial"/>
          <w:bCs w:val="0"/>
        </w:rPr>
      </w:pPr>
      <w:r>
        <w:rPr>
          <w:rFonts w:cs="Arial"/>
          <w:bCs w:val="0"/>
        </w:rPr>
        <w:t xml:space="preserve">Tarjeta OCA                                        </w:t>
      </w:r>
      <w:r w:rsidR="000F6555">
        <w:rPr>
          <w:rFonts w:cs="Arial"/>
          <w:bCs w:val="0"/>
        </w:rPr>
        <w:t xml:space="preserve"> </w:t>
      </w:r>
      <w:r>
        <w:rPr>
          <w:rFonts w:cs="Arial"/>
          <w:bCs w:val="0"/>
        </w:rPr>
        <w:t xml:space="preserve"> -348.365.00</w:t>
      </w:r>
    </w:p>
    <w:p w:rsidR="00071B63" w:rsidRDefault="00071B63" w:rsidP="001F22FC">
      <w:pPr>
        <w:pStyle w:val="Textoindependiente"/>
        <w:ind w:firstLine="709"/>
        <w:rPr>
          <w:rFonts w:cs="Arial"/>
          <w:bCs w:val="0"/>
        </w:rPr>
      </w:pPr>
      <w:r>
        <w:rPr>
          <w:rFonts w:cs="Arial"/>
          <w:bCs w:val="0"/>
        </w:rPr>
        <w:t>Adelantos de Sueldos                         1.373.421,82</w:t>
      </w:r>
    </w:p>
    <w:p w:rsidR="00071B63" w:rsidRDefault="00071B63" w:rsidP="001F22FC">
      <w:pPr>
        <w:pStyle w:val="Textoindependiente"/>
        <w:ind w:firstLine="709"/>
        <w:rPr>
          <w:rFonts w:cs="Arial"/>
          <w:bCs w:val="0"/>
        </w:rPr>
      </w:pPr>
      <w:r>
        <w:rPr>
          <w:rFonts w:cs="Arial"/>
          <w:bCs w:val="0"/>
        </w:rPr>
        <w:t xml:space="preserve">Duodécimo Junta Departamental     </w:t>
      </w:r>
      <w:r w:rsidR="00521C01">
        <w:rPr>
          <w:rFonts w:cs="Arial"/>
          <w:bCs w:val="0"/>
        </w:rPr>
        <w:t xml:space="preserve"> </w:t>
      </w:r>
      <w:r>
        <w:rPr>
          <w:rFonts w:cs="Arial"/>
          <w:bCs w:val="0"/>
        </w:rPr>
        <w:t xml:space="preserve">10.373.324,55 </w:t>
      </w:r>
    </w:p>
    <w:p w:rsidR="00071B63" w:rsidRDefault="00071B63" w:rsidP="001F22FC">
      <w:pPr>
        <w:jc w:val="right"/>
        <w:rPr>
          <w:rFonts w:cs="Arial"/>
        </w:rPr>
      </w:pPr>
      <w:r w:rsidRPr="00E062BC">
        <w:rPr>
          <w:rFonts w:cs="Arial"/>
        </w:rPr>
        <w:t>Montevideo,</w:t>
      </w:r>
      <w:r>
        <w:rPr>
          <w:rFonts w:cs="Arial"/>
        </w:rPr>
        <w:t xml:space="preserve"> 7</w:t>
      </w:r>
      <w:r w:rsidRPr="00E062BC">
        <w:rPr>
          <w:rFonts w:cs="Arial"/>
        </w:rPr>
        <w:t xml:space="preserve"> de </w:t>
      </w:r>
      <w:r>
        <w:rPr>
          <w:rFonts w:cs="Arial"/>
        </w:rPr>
        <w:t>enero de 2019</w:t>
      </w:r>
    </w:p>
    <w:p w:rsidR="000D562B" w:rsidRDefault="000D562B" w:rsidP="001F22FC">
      <w:pPr>
        <w:jc w:val="right"/>
        <w:rPr>
          <w:rFonts w:cs="Arial"/>
        </w:rPr>
      </w:pPr>
    </w:p>
    <w:p w:rsidR="000D562B" w:rsidRDefault="000D562B" w:rsidP="001F22FC">
      <w:pPr>
        <w:jc w:val="right"/>
        <w:rPr>
          <w:rFonts w:cs="Arial"/>
        </w:rPr>
      </w:pPr>
    </w:p>
    <w:p w:rsidR="00071B63" w:rsidRDefault="00071B63" w:rsidP="005A1E50">
      <w:pPr>
        <w:rPr>
          <w:rFonts w:cs="Arial"/>
          <w:b/>
          <w:bCs/>
        </w:rPr>
      </w:pPr>
      <w:proofErr w:type="spellStart"/>
      <w:proofErr w:type="gramStart"/>
      <w:r>
        <w:rPr>
          <w:rFonts w:cs="Arial"/>
        </w:rPr>
        <w:t>ag</w:t>
      </w:r>
      <w:proofErr w:type="spellEnd"/>
      <w:proofErr w:type="gramEnd"/>
    </w:p>
    <w:p w:rsidR="00071B63" w:rsidRDefault="00071B63" w:rsidP="00864BCA">
      <w:pPr>
        <w:spacing w:line="360" w:lineRule="auto"/>
        <w:jc w:val="both"/>
        <w:rPr>
          <w:sz w:val="16"/>
        </w:rPr>
      </w:pPr>
    </w:p>
    <w:p w:rsidR="00071B63" w:rsidRDefault="00071B63" w:rsidP="00864BCA">
      <w:pPr>
        <w:spacing w:line="360" w:lineRule="auto"/>
        <w:jc w:val="both"/>
        <w:rPr>
          <w:sz w:val="16"/>
        </w:rPr>
      </w:pPr>
    </w:p>
    <w:p w:rsidR="00071B63" w:rsidRPr="006256C4" w:rsidRDefault="00071B63" w:rsidP="000D562B">
      <w:pPr>
        <w:pStyle w:val="Ttulo1"/>
        <w:jc w:val="center"/>
      </w:pPr>
      <w:bookmarkStart w:id="2" w:name="_Toc310000923"/>
      <w:bookmarkStart w:id="3" w:name="_Toc344371117"/>
      <w:r w:rsidRPr="006256C4">
        <w:t>INFORME A LA ADMINISTRACIÓN</w:t>
      </w:r>
      <w:bookmarkEnd w:id="2"/>
      <w:bookmarkEnd w:id="3"/>
    </w:p>
    <w:p w:rsidR="00071B63" w:rsidRPr="006256C4" w:rsidRDefault="00071B63" w:rsidP="00DC0BEC"/>
    <w:p w:rsidR="00071B63" w:rsidRPr="0020104A" w:rsidRDefault="00071B63" w:rsidP="0020104A">
      <w:pPr>
        <w:suppressAutoHyphens/>
        <w:spacing w:line="360" w:lineRule="auto"/>
        <w:jc w:val="both"/>
        <w:rPr>
          <w:rFonts w:cs="Arial"/>
          <w:szCs w:val="20"/>
          <w:lang w:val="es-ES_tradnl" w:eastAsia="ar-SA"/>
        </w:rPr>
      </w:pPr>
      <w:r w:rsidRPr="0020104A">
        <w:rPr>
          <w:rFonts w:cs="Arial"/>
          <w:szCs w:val="20"/>
          <w:lang w:val="es-ES_tradnl" w:eastAsia="ar-SA"/>
        </w:rPr>
        <w:t xml:space="preserve">El Tribunal de Cuentas ha examinado la Rendición de Cuentas y Balance de Ejecución Presupuestal de la Intendencia de Tacuarembó </w:t>
      </w:r>
      <w:r>
        <w:rPr>
          <w:rFonts w:cs="Arial"/>
          <w:szCs w:val="20"/>
          <w:lang w:val="es-ES_tradnl" w:eastAsia="ar-SA"/>
        </w:rPr>
        <w:t xml:space="preserve">por el </w:t>
      </w:r>
      <w:r w:rsidRPr="0020104A">
        <w:rPr>
          <w:rFonts w:cs="Arial"/>
          <w:szCs w:val="20"/>
          <w:lang w:val="es-ES_tradnl" w:eastAsia="ar-SA"/>
        </w:rPr>
        <w:t xml:space="preserve">ejercicio </w:t>
      </w:r>
      <w:r>
        <w:rPr>
          <w:rFonts w:cs="Arial"/>
          <w:szCs w:val="20"/>
          <w:lang w:val="es-ES_tradnl" w:eastAsia="ar-SA"/>
        </w:rPr>
        <w:t>finalizado al 31/12/17</w:t>
      </w:r>
      <w:r w:rsidRPr="0020104A">
        <w:rPr>
          <w:rFonts w:cs="Arial"/>
          <w:szCs w:val="20"/>
          <w:lang w:val="es-ES_tradnl" w:eastAsia="ar-SA"/>
        </w:rPr>
        <w:t xml:space="preserve"> y ha emitido su correspondiente Dictamen.</w:t>
      </w:r>
    </w:p>
    <w:p w:rsidR="00071B63" w:rsidRPr="00A60821" w:rsidRDefault="00071B63" w:rsidP="0020104A">
      <w:pPr>
        <w:spacing w:line="360" w:lineRule="auto"/>
        <w:jc w:val="both"/>
        <w:rPr>
          <w:rFonts w:cs="Arial"/>
          <w:kern w:val="18"/>
          <w:lang w:val="es-ES_tradnl"/>
        </w:rPr>
      </w:pPr>
      <w:r w:rsidRPr="00A60821">
        <w:rPr>
          <w:rFonts w:cs="Arial"/>
          <w:kern w:val="18"/>
          <w:lang w:val="es-ES_tradnl"/>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071B63" w:rsidRPr="00A60821" w:rsidRDefault="00071B63" w:rsidP="0020104A">
      <w:pPr>
        <w:spacing w:line="360" w:lineRule="auto"/>
        <w:jc w:val="both"/>
        <w:rPr>
          <w:rFonts w:cs="Arial"/>
          <w:kern w:val="18"/>
          <w:lang w:val="es-ES_tradnl"/>
        </w:rPr>
      </w:pPr>
      <w:r w:rsidRPr="00A60821">
        <w:rPr>
          <w:rFonts w:cs="Arial"/>
          <w:kern w:val="18"/>
          <w:lang w:val="es-ES_tradnl"/>
        </w:rPr>
        <w:t xml:space="preserve">También se agregan las principales recomendaciones que </w:t>
      </w:r>
      <w:proofErr w:type="gramStart"/>
      <w:r w:rsidRPr="00A60821">
        <w:rPr>
          <w:rFonts w:cs="Arial"/>
          <w:kern w:val="18"/>
          <w:lang w:val="es-ES_tradnl"/>
        </w:rPr>
        <w:t>deberá</w:t>
      </w:r>
      <w:proofErr w:type="gramEnd"/>
      <w:r w:rsidRPr="00A60821">
        <w:rPr>
          <w:rFonts w:cs="Arial"/>
          <w:kern w:val="18"/>
          <w:lang w:val="es-ES_tradnl"/>
        </w:rPr>
        <w:t xml:space="preserve"> atender el Organismo y una evaluación del cumplimiento de las recomendaciones presentadas en el informe de auditoría del ejercicio anterior.</w:t>
      </w:r>
    </w:p>
    <w:p w:rsidR="00071B63" w:rsidRPr="0020104A" w:rsidRDefault="00071B63" w:rsidP="00DC0BEC">
      <w:pPr>
        <w:pStyle w:val="Textoindependiente2"/>
        <w:jc w:val="both"/>
        <w:rPr>
          <w:rFonts w:ascii="Arial" w:hAnsi="Arial" w:cs="Arial"/>
          <w:lang w:val="es-ES_tradnl"/>
        </w:rPr>
      </w:pPr>
    </w:p>
    <w:p w:rsidR="00071B63" w:rsidRDefault="00071B63" w:rsidP="00A67AA2">
      <w:pPr>
        <w:pStyle w:val="Ttulo2"/>
        <w:spacing w:after="0"/>
        <w:jc w:val="both"/>
        <w:rPr>
          <w:rFonts w:cs="Arial"/>
          <w:bCs/>
        </w:rPr>
      </w:pPr>
      <w:r>
        <w:rPr>
          <w:rFonts w:cs="Arial"/>
          <w:bCs/>
        </w:rPr>
        <w:t>1. Presentación de los Estados</w:t>
      </w:r>
    </w:p>
    <w:p w:rsidR="00071B63" w:rsidRPr="005C0050" w:rsidRDefault="00071B63" w:rsidP="00DC0BEC">
      <w:pPr>
        <w:pStyle w:val="Textoindependiente"/>
      </w:pPr>
    </w:p>
    <w:p w:rsidR="00071B63" w:rsidRDefault="00071B63" w:rsidP="00DC0BEC">
      <w:pPr>
        <w:pStyle w:val="Textoindependiente"/>
      </w:pPr>
      <w:r>
        <w:t>La Rendición de Cuentas y Balance de Ejecución Presupuestal de la Intendencia de Tacuarembó, correspondientes al ejercicio finalizado el 31/12/2017, fueron remitidos a este Tribun</w:t>
      </w:r>
      <w:r w:rsidR="000F6555">
        <w:t>al para su examen por Oficio Nº</w:t>
      </w:r>
      <w:r>
        <w:t>359/18 del 10/07/2018.</w:t>
      </w:r>
    </w:p>
    <w:p w:rsidR="00071B63" w:rsidRDefault="00071B63" w:rsidP="00DC0BEC">
      <w:pPr>
        <w:pStyle w:val="Textoindependiente"/>
      </w:pPr>
      <w:r>
        <w:t>Dichos estados se presentan de acuerdo al instructivo vigente a la fecha de su presentación.</w:t>
      </w:r>
    </w:p>
    <w:p w:rsidR="00071B63" w:rsidRDefault="00071B63" w:rsidP="00DC0BEC">
      <w:pPr>
        <w:pStyle w:val="Textoindependiente"/>
      </w:pPr>
    </w:p>
    <w:p w:rsidR="00071B63" w:rsidRPr="00B7341F" w:rsidRDefault="00071B63" w:rsidP="00DC0BEC">
      <w:pPr>
        <w:pStyle w:val="Textoindependiente"/>
        <w:rPr>
          <w:b/>
        </w:rPr>
      </w:pPr>
      <w:r>
        <w:rPr>
          <w:b/>
        </w:rPr>
        <w:t>1.1 C</w:t>
      </w:r>
      <w:r w:rsidRPr="00B7341F">
        <w:rPr>
          <w:b/>
        </w:rPr>
        <w:t>onstataciones</w:t>
      </w:r>
      <w:r>
        <w:rPr>
          <w:b/>
        </w:rPr>
        <w:t xml:space="preserve"> que no afectan la opinión respecto a los estados</w:t>
      </w:r>
    </w:p>
    <w:p w:rsidR="00071B63" w:rsidRPr="0020104A" w:rsidRDefault="00071B63" w:rsidP="0020104A">
      <w:pPr>
        <w:suppressAutoHyphens/>
        <w:spacing w:after="240"/>
        <w:rPr>
          <w:rFonts w:cs="Arial"/>
          <w:b/>
          <w:bCs/>
        </w:rPr>
      </w:pPr>
      <w:bookmarkStart w:id="4" w:name="_Toc312054377"/>
      <w:bookmarkStart w:id="5" w:name="_Toc147733823"/>
      <w:bookmarkStart w:id="6" w:name="_Toc176148651"/>
      <w:bookmarkStart w:id="7" w:name="_Toc176148750"/>
      <w:bookmarkStart w:id="8" w:name="_Toc176149134"/>
      <w:bookmarkStart w:id="9" w:name="_Toc177548570"/>
      <w:bookmarkStart w:id="10" w:name="_Toc243304002"/>
      <w:bookmarkStart w:id="11" w:name="_Toc312054380"/>
      <w:r w:rsidRPr="0020104A">
        <w:rPr>
          <w:rFonts w:cs="Arial"/>
          <w:b/>
          <w:bCs/>
        </w:rPr>
        <w:t>1.1 Juicios contra la Intendencia</w:t>
      </w:r>
    </w:p>
    <w:p w:rsidR="00071B63" w:rsidRPr="0020104A" w:rsidRDefault="00071B63" w:rsidP="0020104A">
      <w:pPr>
        <w:suppressAutoHyphens/>
        <w:spacing w:line="360" w:lineRule="auto"/>
        <w:jc w:val="both"/>
        <w:rPr>
          <w:rFonts w:cs="Arial"/>
        </w:rPr>
      </w:pPr>
      <w:r w:rsidRPr="0020104A">
        <w:rPr>
          <w:rFonts w:cs="Arial"/>
        </w:rPr>
        <w:t>De acuerdo con la información presentada en la Rendición de Cuentas, al 31/12/2017 existían juicios contra la Intendencia por montos reclamados del orden de $ 17:357.530, U$S 21.600 y otros aún no determinados, lo que podría</w:t>
      </w:r>
    </w:p>
    <w:p w:rsidR="00071B63" w:rsidRDefault="00071B63" w:rsidP="0020104A">
      <w:pPr>
        <w:spacing w:after="240" w:line="360" w:lineRule="auto"/>
        <w:jc w:val="both"/>
        <w:rPr>
          <w:rFonts w:cs="Arial"/>
          <w:color w:val="FF0000"/>
        </w:rPr>
      </w:pPr>
      <w:proofErr w:type="gramStart"/>
      <w:r w:rsidRPr="0020104A">
        <w:rPr>
          <w:rFonts w:cs="Arial"/>
        </w:rPr>
        <w:t>incidir</w:t>
      </w:r>
      <w:proofErr w:type="gramEnd"/>
      <w:r w:rsidRPr="0020104A">
        <w:rPr>
          <w:rFonts w:cs="Arial"/>
        </w:rPr>
        <w:t xml:space="preserve"> en el déficit acumulado por las eventuales erogaciones que resulten</w:t>
      </w:r>
      <w:r w:rsidRPr="0020104A">
        <w:rPr>
          <w:rFonts w:cs="Arial"/>
          <w:color w:val="FF0000"/>
        </w:rPr>
        <w:t>.</w:t>
      </w:r>
    </w:p>
    <w:bookmarkEnd w:id="4"/>
    <w:bookmarkEnd w:id="5"/>
    <w:bookmarkEnd w:id="6"/>
    <w:bookmarkEnd w:id="7"/>
    <w:bookmarkEnd w:id="8"/>
    <w:bookmarkEnd w:id="9"/>
    <w:p w:rsidR="00071B63" w:rsidRPr="0020104A" w:rsidRDefault="00071B63" w:rsidP="0020104A">
      <w:pPr>
        <w:suppressAutoHyphens/>
        <w:spacing w:line="360" w:lineRule="auto"/>
        <w:jc w:val="both"/>
        <w:rPr>
          <w:rFonts w:cs="Arial"/>
          <w:b/>
          <w:bCs/>
          <w:lang w:val="es-UY" w:eastAsia="ar-SA"/>
        </w:rPr>
      </w:pPr>
      <w:r w:rsidRPr="0020104A">
        <w:rPr>
          <w:rFonts w:cs="Arial"/>
          <w:b/>
          <w:bCs/>
          <w:lang w:val="es-UY" w:eastAsia="ar-SA"/>
        </w:rPr>
        <w:t>1.2 Contabilización de s</w:t>
      </w:r>
      <w:bookmarkEnd w:id="10"/>
      <w:r w:rsidRPr="0020104A">
        <w:rPr>
          <w:rFonts w:cs="Arial"/>
          <w:b/>
          <w:bCs/>
          <w:lang w:val="es-UY" w:eastAsia="ar-SA"/>
        </w:rPr>
        <w:t>ueldos, aportes al BPS</w:t>
      </w:r>
      <w:bookmarkEnd w:id="11"/>
      <w:r w:rsidRPr="0020104A">
        <w:rPr>
          <w:rFonts w:cs="Arial"/>
          <w:b/>
          <w:bCs/>
          <w:lang w:val="es-UY" w:eastAsia="ar-SA"/>
        </w:rPr>
        <w:t xml:space="preserve"> y retenciones de IRPF</w:t>
      </w:r>
    </w:p>
    <w:p w:rsidR="00071B63" w:rsidRPr="0020104A" w:rsidRDefault="00071B63" w:rsidP="0020104A">
      <w:pPr>
        <w:suppressAutoHyphens/>
        <w:spacing w:line="360" w:lineRule="auto"/>
        <w:jc w:val="both"/>
        <w:rPr>
          <w:rFonts w:cs="Arial"/>
          <w:color w:val="FF0000"/>
          <w:lang w:val="es-UY" w:eastAsia="ar-SA"/>
        </w:rPr>
      </w:pPr>
      <w:r w:rsidRPr="0020104A">
        <w:rPr>
          <w:rFonts w:cs="Arial"/>
          <w:lang w:val="es-UY" w:eastAsia="ar-SA"/>
        </w:rPr>
        <w:t xml:space="preserve">Los aportes patronales correspondientes a diciembre de 2017 no se exponen en el Estado de Obligaciones Presupuestales Impagas, ya que son contabilizados como pagados al 31/12/2017. En consecuencia, el saldo al cierre del objeto 081 “Aportes Patronales” es cero, no coincidiendo con lo abonado al BPS por este concepto </w:t>
      </w:r>
      <w:bookmarkStart w:id="12" w:name="_Toc177548573"/>
      <w:bookmarkStart w:id="13" w:name="_Toc312054384"/>
      <w:r w:rsidR="000D562B">
        <w:rPr>
          <w:rFonts w:cs="Arial"/>
          <w:lang w:val="es-UY" w:eastAsia="ar-SA"/>
        </w:rPr>
        <w:t>en enero 2018, que ascendió a $</w:t>
      </w:r>
      <w:r w:rsidRPr="0020104A">
        <w:rPr>
          <w:rFonts w:cs="Arial"/>
          <w:lang w:val="es-UY" w:eastAsia="ar-SA"/>
        </w:rPr>
        <w:t>12.104.844 y el importe de IRPF de</w:t>
      </w:r>
      <w:r w:rsidR="000D562B">
        <w:rPr>
          <w:rFonts w:cs="Arial"/>
          <w:lang w:val="es-UY" w:eastAsia="ar-SA"/>
        </w:rPr>
        <w:t xml:space="preserve"> $ 3.547.792.</w:t>
      </w:r>
    </w:p>
    <w:bookmarkEnd w:id="12"/>
    <w:bookmarkEnd w:id="13"/>
    <w:p w:rsidR="00071B63" w:rsidRPr="000D562B" w:rsidRDefault="00071B63" w:rsidP="006C7027">
      <w:pPr>
        <w:pStyle w:val="Textoindependiente"/>
        <w:rPr>
          <w:highlight w:val="red"/>
          <w:lang w:val="es-UY"/>
        </w:rPr>
      </w:pPr>
    </w:p>
    <w:p w:rsidR="00071B63" w:rsidRDefault="00071B63" w:rsidP="000F386A">
      <w:pPr>
        <w:pStyle w:val="Textoindependiente"/>
        <w:rPr>
          <w:b/>
        </w:rPr>
      </w:pPr>
      <w:r>
        <w:rPr>
          <w:b/>
        </w:rPr>
        <w:t xml:space="preserve">2. </w:t>
      </w:r>
      <w:r w:rsidRPr="006E65A0">
        <w:rPr>
          <w:b/>
        </w:rPr>
        <w:t>Evaluación del control interno</w:t>
      </w:r>
    </w:p>
    <w:p w:rsidR="00071B63" w:rsidRDefault="00071B63" w:rsidP="000F386A">
      <w:pPr>
        <w:pStyle w:val="Textoindependiente"/>
      </w:pPr>
      <w:r w:rsidRPr="00950CC8">
        <w:t>El examen de los aspectos de control interno relevantes para la preparación y presentación razonable de la Rendición de Cuentas y Balance de Ejecución Presupuestal, permitió constatar las siguientes debilidades en relación a las actividades de control, información financiera y cumplimiento de normas legales:</w:t>
      </w:r>
    </w:p>
    <w:p w:rsidR="00071B63" w:rsidRDefault="00071B63" w:rsidP="000F386A">
      <w:pPr>
        <w:pStyle w:val="Textoindependiente"/>
      </w:pPr>
    </w:p>
    <w:p w:rsidR="00071B63" w:rsidRPr="0020104A" w:rsidRDefault="00071B63" w:rsidP="0020104A">
      <w:pPr>
        <w:suppressAutoHyphens/>
        <w:spacing w:line="360" w:lineRule="auto"/>
        <w:jc w:val="both"/>
        <w:rPr>
          <w:rFonts w:cs="Arial"/>
          <w:b/>
          <w:bCs/>
          <w:lang w:val="es-UY" w:eastAsia="ar-SA"/>
        </w:rPr>
      </w:pPr>
      <w:bookmarkStart w:id="14" w:name="_Toc312054394"/>
      <w:r w:rsidRPr="0020104A">
        <w:rPr>
          <w:rFonts w:cs="Arial"/>
          <w:b/>
          <w:bCs/>
          <w:lang w:val="es-UY" w:eastAsia="ar-SA"/>
        </w:rPr>
        <w:t>2.1 Respecto a recursos y manejo de fondos</w:t>
      </w:r>
      <w:bookmarkEnd w:id="14"/>
    </w:p>
    <w:p w:rsidR="00071B63" w:rsidRPr="0020104A" w:rsidRDefault="00071B63" w:rsidP="00071B63">
      <w:pPr>
        <w:numPr>
          <w:ilvl w:val="0"/>
          <w:numId w:val="22"/>
        </w:numPr>
        <w:suppressAutoHyphens/>
        <w:spacing w:after="200" w:line="360" w:lineRule="auto"/>
        <w:ind w:left="0" w:firstLine="0"/>
        <w:jc w:val="both"/>
        <w:rPr>
          <w:rFonts w:cs="Arial"/>
          <w:b/>
          <w:lang w:val="es-UY" w:eastAsia="ar-SA"/>
        </w:rPr>
      </w:pPr>
      <w:r w:rsidRPr="0020104A">
        <w:rPr>
          <w:rFonts w:cs="Arial"/>
          <w:lang w:val="es-UY" w:eastAsia="ar-SA"/>
        </w:rPr>
        <w:t>No se realizan controles con la periodicidad necesaria en la Oficina de Impositiva ni en los Municipios sobre las modificaciones, altas o bajas realizadas a la información procesada por el Sistema de Ingresos, a efectos de controlar que las mismas hayan tenido el respaldo normativo y la autorización correspondiente. No está establecido ningún procedimiento de control, excepto arqueos realizados por la Intendencia.</w:t>
      </w:r>
    </w:p>
    <w:p w:rsidR="00071B63" w:rsidRDefault="00071B63" w:rsidP="00071B63">
      <w:pPr>
        <w:numPr>
          <w:ilvl w:val="0"/>
          <w:numId w:val="22"/>
        </w:numPr>
        <w:suppressAutoHyphens/>
        <w:spacing w:after="200" w:line="360" w:lineRule="auto"/>
        <w:ind w:left="0" w:firstLine="0"/>
        <w:jc w:val="both"/>
        <w:rPr>
          <w:rFonts w:cs="Arial"/>
          <w:lang w:val="es-UY" w:eastAsia="ar-SA"/>
        </w:rPr>
      </w:pPr>
      <w:r w:rsidRPr="0020104A">
        <w:rPr>
          <w:rFonts w:cs="Arial"/>
          <w:lang w:val="es-UY" w:eastAsia="ar-SA"/>
        </w:rPr>
        <w:t>No se realiza el seguimiento correspondiente al cumplimiento de los convenios y de las correspo</w:t>
      </w:r>
      <w:r w:rsidR="000D562B">
        <w:rPr>
          <w:rFonts w:cs="Arial"/>
          <w:lang w:val="es-UY" w:eastAsia="ar-SA"/>
        </w:rPr>
        <w:t>ndientes causales de caducidad.</w:t>
      </w:r>
    </w:p>
    <w:p w:rsidR="00071B63" w:rsidRPr="0020104A" w:rsidRDefault="00071B63" w:rsidP="00071B63">
      <w:pPr>
        <w:numPr>
          <w:ilvl w:val="0"/>
          <w:numId w:val="22"/>
        </w:numPr>
        <w:suppressAutoHyphens/>
        <w:spacing w:after="200" w:line="360" w:lineRule="auto"/>
        <w:ind w:left="0" w:firstLine="0"/>
        <w:jc w:val="both"/>
        <w:rPr>
          <w:rFonts w:cs="Arial"/>
          <w:b/>
          <w:bCs/>
          <w:lang w:val="es-UY" w:eastAsia="ar-SA"/>
        </w:rPr>
      </w:pPr>
      <w:r w:rsidRPr="0020104A">
        <w:rPr>
          <w:rFonts w:cs="Arial"/>
          <w:lang w:val="es-UY" w:eastAsia="ar-SA"/>
        </w:rPr>
        <w:t>No se dispone de un texto ordenado actualizado de las normas relativas a los tributos que se recaudan, así como de las facilidades de pago otorgadas por la Intendencia. Se utilizan Circulares de la Dirección de Hacienda, de Recursos Humanos y de otras dependencia</w:t>
      </w:r>
      <w:bookmarkStart w:id="15" w:name="_Toc312054395"/>
      <w:r w:rsidR="000D562B">
        <w:rPr>
          <w:rFonts w:cs="Arial"/>
          <w:lang w:val="es-UY" w:eastAsia="ar-SA"/>
        </w:rPr>
        <w:t>s según el tema que corresponda.</w:t>
      </w:r>
    </w:p>
    <w:p w:rsidR="00071B63" w:rsidRPr="0020104A" w:rsidRDefault="00071B63" w:rsidP="0020104A">
      <w:pPr>
        <w:suppressAutoHyphens/>
        <w:spacing w:line="360" w:lineRule="auto"/>
        <w:jc w:val="both"/>
        <w:rPr>
          <w:rFonts w:cs="Arial"/>
          <w:b/>
          <w:bCs/>
          <w:lang w:val="es-UY" w:eastAsia="ar-SA"/>
        </w:rPr>
      </w:pPr>
      <w:r w:rsidRPr="0020104A">
        <w:rPr>
          <w:rFonts w:cs="Arial"/>
          <w:b/>
          <w:bCs/>
          <w:lang w:val="es-UY" w:eastAsia="ar-SA"/>
        </w:rPr>
        <w:t>2.2 Retribuciones personales</w:t>
      </w:r>
      <w:bookmarkEnd w:id="15"/>
    </w:p>
    <w:p w:rsidR="00071B63" w:rsidRPr="0020104A" w:rsidRDefault="00071B63" w:rsidP="00071B63">
      <w:pPr>
        <w:numPr>
          <w:ilvl w:val="0"/>
          <w:numId w:val="21"/>
        </w:numPr>
        <w:suppressAutoHyphens/>
        <w:spacing w:after="200" w:line="360" w:lineRule="auto"/>
        <w:ind w:left="0" w:firstLine="0"/>
        <w:jc w:val="both"/>
        <w:rPr>
          <w:rFonts w:cs="Arial"/>
          <w:lang w:val="es-UY" w:eastAsia="ar-SA"/>
        </w:rPr>
      </w:pPr>
      <w:r w:rsidRPr="0020104A">
        <w:rPr>
          <w:rFonts w:cs="Arial"/>
          <w:lang w:val="es-UY" w:eastAsia="ar-SA"/>
        </w:rPr>
        <w:t>Existe un sistema de control de entradas y salidas del personal, pero no se encuentra operativo. Para la liquidación de horas extras se considera la plani</w:t>
      </w:r>
      <w:r w:rsidR="00BA3BD4">
        <w:rPr>
          <w:rFonts w:cs="Arial"/>
          <w:lang w:val="es-UY" w:eastAsia="ar-SA"/>
        </w:rPr>
        <w:t>lla que autoriza cada Director.</w:t>
      </w:r>
    </w:p>
    <w:p w:rsidR="00071B63" w:rsidRPr="0020104A" w:rsidRDefault="00071B63" w:rsidP="00071B63">
      <w:pPr>
        <w:numPr>
          <w:ilvl w:val="0"/>
          <w:numId w:val="21"/>
        </w:numPr>
        <w:suppressAutoHyphens/>
        <w:spacing w:after="200" w:line="360" w:lineRule="auto"/>
        <w:ind w:left="0" w:firstLine="0"/>
        <w:jc w:val="both"/>
        <w:rPr>
          <w:rFonts w:cs="Arial"/>
          <w:lang w:val="es-UY" w:eastAsia="ar-SA"/>
        </w:rPr>
      </w:pPr>
      <w:r w:rsidRPr="0020104A">
        <w:rPr>
          <w:rFonts w:cs="Arial"/>
          <w:lang w:val="es-UY" w:eastAsia="ar-SA"/>
        </w:rPr>
        <w:t>No hay oposición de intereses en las liquidaciones de las retribuciones de los servicios personales, ya que dichas liquidaciones son efectuadas por Recursos Humanos y no son sometidas a un c</w:t>
      </w:r>
      <w:r w:rsidR="00BA3BD4">
        <w:rPr>
          <w:rFonts w:cs="Arial"/>
          <w:lang w:val="es-UY" w:eastAsia="ar-SA"/>
        </w:rPr>
        <w:t>ontrol externo a dicha oficina.</w:t>
      </w:r>
    </w:p>
    <w:p w:rsidR="00071B63" w:rsidRPr="0020104A" w:rsidRDefault="00071B63" w:rsidP="0020104A">
      <w:pPr>
        <w:suppressAutoHyphens/>
        <w:spacing w:line="360" w:lineRule="auto"/>
        <w:jc w:val="both"/>
        <w:rPr>
          <w:rFonts w:cs="Arial"/>
          <w:b/>
          <w:bCs/>
          <w:lang w:val="es-UY" w:eastAsia="ar-SA"/>
        </w:rPr>
      </w:pPr>
      <w:bookmarkStart w:id="16" w:name="_Toc312054397"/>
      <w:r w:rsidRPr="0020104A">
        <w:rPr>
          <w:rFonts w:cs="Arial"/>
          <w:b/>
          <w:bCs/>
          <w:lang w:val="es-UY" w:eastAsia="ar-SA"/>
        </w:rPr>
        <w:t>2.3 Saldos de acreedores</w:t>
      </w:r>
      <w:bookmarkEnd w:id="16"/>
    </w:p>
    <w:p w:rsidR="00071B63" w:rsidRPr="0020104A" w:rsidRDefault="00071B63" w:rsidP="00071B63">
      <w:pPr>
        <w:numPr>
          <w:ilvl w:val="0"/>
          <w:numId w:val="23"/>
        </w:numPr>
        <w:suppressAutoHyphens/>
        <w:spacing w:after="200" w:line="360" w:lineRule="auto"/>
        <w:ind w:left="0" w:firstLine="0"/>
        <w:contextualSpacing/>
        <w:jc w:val="both"/>
        <w:rPr>
          <w:rFonts w:cs="Arial"/>
          <w:lang w:val="es-UY" w:eastAsia="ar-SA"/>
        </w:rPr>
      </w:pPr>
      <w:bookmarkStart w:id="17" w:name="_Toc312054398"/>
      <w:r w:rsidRPr="0020104A">
        <w:rPr>
          <w:rFonts w:cs="Arial"/>
          <w:lang w:val="es-UY" w:eastAsia="ar-SA"/>
        </w:rPr>
        <w:t>No se conciliaron los saldos con UTE y ANTEL de las deudas convenidas correspondientes al 31/12/2017.</w:t>
      </w:r>
    </w:p>
    <w:p w:rsidR="00071B63" w:rsidRPr="0020104A" w:rsidRDefault="00071B63" w:rsidP="0020104A">
      <w:pPr>
        <w:spacing w:line="360" w:lineRule="auto"/>
        <w:ind w:left="709"/>
        <w:contextualSpacing/>
        <w:jc w:val="both"/>
        <w:rPr>
          <w:rFonts w:cs="Arial"/>
          <w:lang w:val="es-UY" w:eastAsia="ar-SA"/>
        </w:rPr>
      </w:pPr>
    </w:p>
    <w:bookmarkEnd w:id="17"/>
    <w:p w:rsidR="00071B63" w:rsidRPr="0020104A" w:rsidRDefault="00071B63" w:rsidP="0020104A">
      <w:pPr>
        <w:keepNext/>
        <w:numPr>
          <w:ilvl w:val="2"/>
          <w:numId w:val="0"/>
        </w:numPr>
        <w:tabs>
          <w:tab w:val="num" w:pos="720"/>
        </w:tabs>
        <w:suppressAutoHyphens/>
        <w:spacing w:after="60" w:line="360" w:lineRule="auto"/>
        <w:ind w:left="720" w:hanging="720"/>
        <w:jc w:val="both"/>
        <w:outlineLvl w:val="2"/>
        <w:rPr>
          <w:rFonts w:cs="Arial"/>
          <w:b/>
          <w:bCs/>
          <w:lang w:val="es-UY" w:eastAsia="ar-SA"/>
        </w:rPr>
      </w:pPr>
      <w:r w:rsidRPr="0020104A">
        <w:rPr>
          <w:rFonts w:cs="Arial"/>
          <w:b/>
          <w:bCs/>
          <w:lang w:val="es-UY" w:eastAsia="ar-SA"/>
        </w:rPr>
        <w:t>2.4 Procedimientos</w:t>
      </w:r>
    </w:p>
    <w:p w:rsidR="00071B63" w:rsidRDefault="00071B63" w:rsidP="00071B63">
      <w:pPr>
        <w:numPr>
          <w:ilvl w:val="0"/>
          <w:numId w:val="23"/>
        </w:numPr>
        <w:suppressAutoHyphens/>
        <w:spacing w:after="200" w:line="360" w:lineRule="auto"/>
        <w:ind w:left="0" w:firstLine="0"/>
        <w:contextualSpacing/>
        <w:jc w:val="both"/>
        <w:rPr>
          <w:rFonts w:cs="Arial"/>
          <w:lang w:val="es-UY" w:eastAsia="ar-SA"/>
        </w:rPr>
      </w:pPr>
      <w:r w:rsidRPr="0020104A">
        <w:rPr>
          <w:rFonts w:cs="Arial"/>
          <w:lang w:val="es-UY" w:eastAsia="ar-SA"/>
        </w:rPr>
        <w:t>La Intendencia no tiene manuales de procedimientos formalizados para todas las áreas, si bien se encuentra avanzando en el tema.</w:t>
      </w:r>
    </w:p>
    <w:p w:rsidR="00071B63" w:rsidRPr="0020104A" w:rsidRDefault="00071B63" w:rsidP="0020104A">
      <w:pPr>
        <w:suppressAutoHyphens/>
        <w:spacing w:after="200" w:line="360" w:lineRule="auto"/>
        <w:ind w:left="709"/>
        <w:contextualSpacing/>
        <w:jc w:val="both"/>
        <w:rPr>
          <w:rFonts w:cs="Arial"/>
          <w:lang w:val="es-UY" w:eastAsia="ar-SA"/>
        </w:rPr>
      </w:pPr>
    </w:p>
    <w:p w:rsidR="00071B63" w:rsidRPr="0020104A" w:rsidRDefault="00BA3BD4" w:rsidP="00071B63">
      <w:pPr>
        <w:numPr>
          <w:ilvl w:val="0"/>
          <w:numId w:val="24"/>
        </w:numPr>
        <w:suppressAutoHyphens/>
        <w:spacing w:after="240" w:line="360" w:lineRule="auto"/>
        <w:jc w:val="both"/>
        <w:outlineLvl w:val="1"/>
        <w:rPr>
          <w:rFonts w:cs="Arial"/>
          <w:b/>
          <w:bCs/>
          <w:iCs/>
          <w:lang w:val="es-UY" w:eastAsia="ar-SA"/>
        </w:rPr>
      </w:pPr>
      <w:bookmarkStart w:id="18" w:name="_Toc402458011"/>
      <w:bookmarkStart w:id="19" w:name="_Toc84082760"/>
      <w:bookmarkStart w:id="20" w:name="_Toc84082769"/>
      <w:bookmarkStart w:id="21" w:name="_Toc344371138"/>
      <w:bookmarkStart w:id="22" w:name="_Toc247944551"/>
      <w:r>
        <w:rPr>
          <w:rFonts w:cs="Arial"/>
          <w:b/>
          <w:bCs/>
          <w:iCs/>
          <w:lang w:val="es-UY" w:eastAsia="ar-SA"/>
        </w:rPr>
        <w:t>3. Recomendaciones</w:t>
      </w:r>
    </w:p>
    <w:p w:rsidR="00071B63" w:rsidRPr="0020104A" w:rsidRDefault="00071B63" w:rsidP="0020104A">
      <w:pPr>
        <w:keepNext/>
        <w:numPr>
          <w:ilvl w:val="1"/>
          <w:numId w:val="0"/>
        </w:numPr>
        <w:tabs>
          <w:tab w:val="num" w:pos="576"/>
        </w:tabs>
        <w:suppressAutoHyphens/>
        <w:spacing w:before="240" w:after="240" w:line="276" w:lineRule="auto"/>
        <w:ind w:left="576" w:hanging="576"/>
        <w:jc w:val="both"/>
        <w:outlineLvl w:val="1"/>
        <w:rPr>
          <w:rFonts w:cs="Arial"/>
          <w:b/>
          <w:bCs/>
          <w:iCs/>
          <w:lang w:val="es-ES_tradnl" w:eastAsia="ar-SA"/>
        </w:rPr>
      </w:pPr>
      <w:r w:rsidRPr="0020104A">
        <w:rPr>
          <w:rFonts w:cs="Arial"/>
          <w:b/>
          <w:bCs/>
          <w:iCs/>
          <w:lang w:val="es-ES_tradnl" w:eastAsia="ar-SA"/>
        </w:rPr>
        <w:t xml:space="preserve">3.1) </w:t>
      </w:r>
      <w:r>
        <w:rPr>
          <w:rFonts w:cs="Arial"/>
          <w:b/>
          <w:bCs/>
          <w:iCs/>
          <w:lang w:val="es-ES_tradnl" w:eastAsia="ar-SA"/>
        </w:rPr>
        <w:t>N</w:t>
      </w:r>
      <w:r w:rsidRPr="0020104A">
        <w:rPr>
          <w:rFonts w:cs="Arial"/>
          <w:b/>
          <w:bCs/>
          <w:iCs/>
          <w:lang w:val="es-ES_tradnl" w:eastAsia="ar-SA"/>
        </w:rPr>
        <w:t>o cumplidas</w:t>
      </w:r>
    </w:p>
    <w:p w:rsidR="00071B63" w:rsidRPr="0020104A" w:rsidRDefault="00071B63" w:rsidP="0020104A">
      <w:pPr>
        <w:keepNext/>
        <w:numPr>
          <w:ilvl w:val="1"/>
          <w:numId w:val="0"/>
        </w:numPr>
        <w:tabs>
          <w:tab w:val="num" w:pos="576"/>
        </w:tabs>
        <w:suppressAutoHyphens/>
        <w:spacing w:before="240" w:after="240" w:line="276" w:lineRule="auto"/>
        <w:ind w:left="576" w:hanging="576"/>
        <w:jc w:val="both"/>
        <w:outlineLvl w:val="1"/>
        <w:rPr>
          <w:rFonts w:cs="Arial"/>
          <w:b/>
          <w:bCs/>
          <w:iCs/>
          <w:lang w:val="es-UY" w:eastAsia="ar-SA"/>
        </w:rPr>
      </w:pPr>
      <w:r w:rsidRPr="0020104A">
        <w:rPr>
          <w:rFonts w:cs="Arial"/>
          <w:b/>
          <w:bCs/>
          <w:iCs/>
          <w:lang w:val="es-UY" w:eastAsia="ar-SA"/>
        </w:rPr>
        <w:t>3.1.1)  Inst</w:t>
      </w:r>
      <w:r w:rsidR="00BA3BD4">
        <w:rPr>
          <w:rFonts w:cs="Arial"/>
          <w:b/>
          <w:bCs/>
          <w:iCs/>
          <w:lang w:val="es-UY" w:eastAsia="ar-SA"/>
        </w:rPr>
        <w:t>ructivo del Tribunal de Cuentas</w:t>
      </w:r>
    </w:p>
    <w:p w:rsidR="00071B63" w:rsidRPr="0020104A" w:rsidRDefault="00071B63" w:rsidP="00071B63">
      <w:pPr>
        <w:numPr>
          <w:ilvl w:val="0"/>
          <w:numId w:val="25"/>
        </w:numPr>
        <w:suppressAutoHyphens/>
        <w:spacing w:after="200" w:line="360" w:lineRule="auto"/>
        <w:ind w:left="0" w:firstLine="0"/>
        <w:jc w:val="both"/>
        <w:rPr>
          <w:rFonts w:cs="Arial"/>
          <w:szCs w:val="22"/>
          <w:lang w:val="es-UY" w:eastAsia="ar-SA"/>
        </w:rPr>
      </w:pPr>
      <w:r w:rsidRPr="0020104A">
        <w:rPr>
          <w:rFonts w:cs="Arial"/>
          <w:szCs w:val="22"/>
          <w:lang w:val="es-UY" w:eastAsia="ar-SA"/>
        </w:rPr>
        <w:t>En el Estado Nº 4 de Ejecución del Presupuesto en relación a los Recursos se deben exponer todos l</w:t>
      </w:r>
      <w:r w:rsidR="00BA3BD4">
        <w:rPr>
          <w:rFonts w:cs="Arial"/>
          <w:szCs w:val="22"/>
          <w:lang w:val="es-UY" w:eastAsia="ar-SA"/>
        </w:rPr>
        <w:t>os ingresos de origen nacional.</w:t>
      </w:r>
    </w:p>
    <w:p w:rsidR="00071B63" w:rsidRPr="0020104A" w:rsidRDefault="00071B63" w:rsidP="00071B63">
      <w:pPr>
        <w:numPr>
          <w:ilvl w:val="0"/>
          <w:numId w:val="25"/>
        </w:numPr>
        <w:suppressAutoHyphens/>
        <w:spacing w:after="200" w:line="360" w:lineRule="auto"/>
        <w:ind w:left="0" w:firstLine="0"/>
        <w:jc w:val="both"/>
        <w:rPr>
          <w:rFonts w:cs="Arial"/>
          <w:szCs w:val="22"/>
          <w:lang w:val="es-UY" w:eastAsia="ar-SA"/>
        </w:rPr>
      </w:pPr>
      <w:r w:rsidRPr="0020104A">
        <w:rPr>
          <w:rFonts w:cs="Arial"/>
          <w:szCs w:val="22"/>
          <w:lang w:val="es-UY" w:eastAsia="ar-SA"/>
        </w:rPr>
        <w:t xml:space="preserve">En el Estado Nº 8 de la Evolución de las Obligaciones Presupuestales Impagas se deben exponer, en forma separada, las deudas presupuestales de las </w:t>
      </w:r>
      <w:proofErr w:type="spellStart"/>
      <w:r w:rsidRPr="0020104A">
        <w:rPr>
          <w:rFonts w:cs="Arial"/>
          <w:szCs w:val="22"/>
          <w:lang w:val="es-UY" w:eastAsia="ar-SA"/>
        </w:rPr>
        <w:t>extrapresupuestales</w:t>
      </w:r>
      <w:proofErr w:type="spellEnd"/>
      <w:r w:rsidRPr="0020104A">
        <w:rPr>
          <w:rFonts w:cs="Arial"/>
          <w:szCs w:val="22"/>
          <w:lang w:val="es-UY" w:eastAsia="ar-SA"/>
        </w:rPr>
        <w:t xml:space="preserve"> y presentar el listado de acreedores con los saldos discriminados por ejercicio.</w:t>
      </w:r>
    </w:p>
    <w:p w:rsidR="00071B63" w:rsidRPr="0020104A" w:rsidRDefault="00071B63" w:rsidP="00071B63">
      <w:pPr>
        <w:numPr>
          <w:ilvl w:val="0"/>
          <w:numId w:val="25"/>
        </w:numPr>
        <w:suppressAutoHyphens/>
        <w:spacing w:after="200" w:line="360" w:lineRule="auto"/>
        <w:ind w:left="0" w:firstLine="0"/>
        <w:jc w:val="both"/>
        <w:rPr>
          <w:rFonts w:cs="Arial"/>
          <w:szCs w:val="22"/>
          <w:lang w:val="es-UY" w:eastAsia="ar-SA"/>
        </w:rPr>
      </w:pPr>
      <w:r w:rsidRPr="0020104A">
        <w:rPr>
          <w:rFonts w:cs="Arial"/>
          <w:szCs w:val="22"/>
          <w:lang w:val="es-UY" w:eastAsia="ar-SA"/>
        </w:rPr>
        <w:t xml:space="preserve">En el Cuadro de Fondos de Indisponibles se deberán incluir partidas que corresponden a retenciones efectuadas por la Intendencia </w:t>
      </w:r>
      <w:r w:rsidR="00BA3BD4">
        <w:rPr>
          <w:rFonts w:cs="Arial"/>
          <w:szCs w:val="22"/>
          <w:lang w:val="es-UY" w:eastAsia="ar-SA"/>
        </w:rPr>
        <w:t>por cuenta y orden de terceros.</w:t>
      </w:r>
    </w:p>
    <w:p w:rsidR="00071B63" w:rsidRPr="0020104A" w:rsidRDefault="00BA3BD4" w:rsidP="0020104A">
      <w:pPr>
        <w:keepNext/>
        <w:numPr>
          <w:ilvl w:val="1"/>
          <w:numId w:val="0"/>
        </w:numPr>
        <w:tabs>
          <w:tab w:val="num" w:pos="576"/>
          <w:tab w:val="num" w:pos="2880"/>
        </w:tabs>
        <w:suppressAutoHyphens/>
        <w:spacing w:before="240" w:after="240" w:line="276" w:lineRule="auto"/>
        <w:ind w:left="576" w:hanging="576"/>
        <w:jc w:val="both"/>
        <w:outlineLvl w:val="1"/>
        <w:rPr>
          <w:rFonts w:cs="Arial"/>
          <w:b/>
          <w:bCs/>
          <w:iCs/>
          <w:lang w:val="es-UY" w:eastAsia="ar-SA"/>
        </w:rPr>
      </w:pPr>
      <w:r>
        <w:rPr>
          <w:rFonts w:cs="Arial"/>
          <w:b/>
          <w:bCs/>
          <w:iCs/>
          <w:lang w:val="es-UY" w:eastAsia="ar-SA"/>
        </w:rPr>
        <w:t>3.1.2) Control Interno</w:t>
      </w:r>
    </w:p>
    <w:p w:rsidR="00071B63" w:rsidRPr="0020104A" w:rsidRDefault="00071B63" w:rsidP="0020104A">
      <w:pPr>
        <w:suppressAutoHyphens/>
        <w:spacing w:line="360" w:lineRule="auto"/>
        <w:jc w:val="both"/>
        <w:rPr>
          <w:rFonts w:cs="Arial"/>
          <w:szCs w:val="20"/>
          <w:lang w:val="es-ES_tradnl" w:eastAsia="ar-SA"/>
        </w:rPr>
      </w:pPr>
      <w:r w:rsidRPr="0020104A">
        <w:rPr>
          <w:rFonts w:cs="Arial"/>
          <w:szCs w:val="20"/>
          <w:lang w:val="es-ES_tradnl" w:eastAsia="ar-SA"/>
        </w:rPr>
        <w:t>La Intendencia deberá arbitrar los mecanismos a fin de superar las debilidades de control interno señaladas en el numeral 2) del presente Informe.</w:t>
      </w:r>
    </w:p>
    <w:p w:rsidR="00071B63" w:rsidRPr="0020104A" w:rsidRDefault="00071B63" w:rsidP="0020104A">
      <w:pPr>
        <w:keepNext/>
        <w:numPr>
          <w:ilvl w:val="1"/>
          <w:numId w:val="0"/>
        </w:numPr>
        <w:tabs>
          <w:tab w:val="num" w:pos="576"/>
        </w:tabs>
        <w:suppressAutoHyphens/>
        <w:spacing w:before="240" w:after="240" w:line="276" w:lineRule="auto"/>
        <w:ind w:left="576" w:hanging="576"/>
        <w:jc w:val="both"/>
        <w:outlineLvl w:val="1"/>
        <w:rPr>
          <w:rFonts w:cs="Arial"/>
          <w:b/>
          <w:bCs/>
          <w:iCs/>
          <w:lang w:val="es-UY" w:eastAsia="ar-SA"/>
        </w:rPr>
      </w:pPr>
      <w:bookmarkStart w:id="23" w:name="_Toc207699455"/>
      <w:bookmarkStart w:id="24" w:name="_Toc343587290"/>
      <w:bookmarkStart w:id="25" w:name="_Toc407008335"/>
      <w:r w:rsidRPr="0020104A">
        <w:rPr>
          <w:rFonts w:cs="Arial"/>
          <w:b/>
          <w:bCs/>
          <w:iCs/>
          <w:lang w:val="es-UY" w:eastAsia="ar-SA"/>
        </w:rPr>
        <w:t>3.2) Recomendaciones del ejercicio</w:t>
      </w:r>
      <w:bookmarkEnd w:id="23"/>
      <w:bookmarkEnd w:id="24"/>
      <w:bookmarkEnd w:id="25"/>
    </w:p>
    <w:p w:rsidR="00071B63" w:rsidRPr="0020104A" w:rsidRDefault="00071B63" w:rsidP="0020104A">
      <w:pPr>
        <w:widowControl w:val="0"/>
        <w:suppressAutoHyphens/>
        <w:spacing w:after="240"/>
        <w:rPr>
          <w:rFonts w:cs="Arial"/>
          <w:szCs w:val="20"/>
          <w:lang w:val="es-ES_tradnl" w:eastAsia="ar-SA"/>
        </w:rPr>
      </w:pPr>
      <w:r w:rsidRPr="0020104A">
        <w:rPr>
          <w:rFonts w:cs="Arial"/>
          <w:szCs w:val="20"/>
          <w:lang w:val="es-ES_tradnl" w:eastAsia="ar-SA"/>
        </w:rPr>
        <w:t>Se reiteran las recomendaciones señaladas en el Numeral 3.1.</w:t>
      </w:r>
    </w:p>
    <w:bookmarkEnd w:id="18"/>
    <w:p w:rsidR="00071B63" w:rsidRDefault="00071B63" w:rsidP="009824BE">
      <w:pPr>
        <w:tabs>
          <w:tab w:val="num" w:pos="0"/>
        </w:tabs>
        <w:spacing w:line="360" w:lineRule="auto"/>
        <w:contextualSpacing/>
        <w:jc w:val="right"/>
        <w:rPr>
          <w:rFonts w:cs="Arial"/>
          <w:lang w:val="es-UY" w:eastAsia="ar-SA"/>
        </w:rPr>
      </w:pPr>
      <w:r w:rsidRPr="0020104A">
        <w:rPr>
          <w:rFonts w:cs="Arial"/>
          <w:lang w:val="es-UY" w:eastAsia="ar-SA"/>
        </w:rPr>
        <w:t xml:space="preserve">                                                                   Montevideo, </w:t>
      </w:r>
      <w:r>
        <w:rPr>
          <w:rFonts w:cs="Arial"/>
          <w:lang w:val="es-UY" w:eastAsia="ar-SA"/>
        </w:rPr>
        <w:t>7</w:t>
      </w:r>
      <w:r w:rsidRPr="0020104A">
        <w:rPr>
          <w:rFonts w:cs="Arial"/>
          <w:lang w:val="es-UY" w:eastAsia="ar-SA"/>
        </w:rPr>
        <w:t xml:space="preserve"> de </w:t>
      </w:r>
      <w:r>
        <w:rPr>
          <w:rFonts w:cs="Arial"/>
          <w:lang w:val="es-UY" w:eastAsia="ar-SA"/>
        </w:rPr>
        <w:t>enero de 2019</w:t>
      </w:r>
    </w:p>
    <w:p w:rsidR="00071B63" w:rsidRPr="00BA3BD4" w:rsidRDefault="00071B63" w:rsidP="00BA3BD4">
      <w:pPr>
        <w:tabs>
          <w:tab w:val="num" w:pos="0"/>
        </w:tabs>
        <w:spacing w:line="360" w:lineRule="auto"/>
        <w:contextualSpacing/>
        <w:rPr>
          <w:rFonts w:cs="Arial"/>
          <w:b/>
        </w:rPr>
      </w:pPr>
      <w:proofErr w:type="spellStart"/>
      <w:proofErr w:type="gramStart"/>
      <w:r>
        <w:rPr>
          <w:rFonts w:cs="Arial"/>
          <w:lang w:val="es-UY" w:eastAsia="ar-SA"/>
        </w:rPr>
        <w:t>ag</w:t>
      </w:r>
      <w:bookmarkEnd w:id="19"/>
      <w:bookmarkEnd w:id="20"/>
      <w:bookmarkEnd w:id="21"/>
      <w:bookmarkEnd w:id="22"/>
      <w:proofErr w:type="spellEnd"/>
      <w:proofErr w:type="gramEnd"/>
    </w:p>
    <w:sectPr w:rsidR="00071B63" w:rsidRPr="00BA3BD4" w:rsidSect="00534127">
      <w:footerReference w:type="even" r:id="rId9"/>
      <w:footerReference w:type="default" r:id="rId10"/>
      <w:pgSz w:w="11906" w:h="16838" w:code="9"/>
      <w:pgMar w:top="3402"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4E" w:rsidRDefault="0038044E">
      <w:r>
        <w:separator/>
      </w:r>
    </w:p>
  </w:endnote>
  <w:endnote w:type="continuationSeparator" w:id="0">
    <w:p w:rsidR="0038044E" w:rsidRDefault="0038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B1" w:rsidRDefault="00AB61B1">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B61B1" w:rsidRDefault="00AB61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B1" w:rsidRDefault="00AB61B1">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1C01">
      <w:rPr>
        <w:rStyle w:val="Nmerodepgina"/>
        <w:noProof/>
      </w:rPr>
      <w:t>1</w:t>
    </w:r>
    <w:r>
      <w:rPr>
        <w:rStyle w:val="Nmerodepgina"/>
      </w:rPr>
      <w:fldChar w:fldCharType="end"/>
    </w:r>
  </w:p>
  <w:p w:rsidR="00AB61B1" w:rsidRDefault="00AB61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4E" w:rsidRDefault="0038044E">
      <w:r>
        <w:separator/>
      </w:r>
    </w:p>
  </w:footnote>
  <w:footnote w:type="continuationSeparator" w:id="0">
    <w:p w:rsidR="0038044E" w:rsidRDefault="00380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szCs w:val="24"/>
      </w:rPr>
    </w:lvl>
  </w:abstractNum>
  <w:abstractNum w:abstractNumId="2">
    <w:nsid w:val="009507C0"/>
    <w:multiLevelType w:val="hybridMultilevel"/>
    <w:tmpl w:val="E2A8D05C"/>
    <w:lvl w:ilvl="0" w:tplc="AAFCFD2A">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00CA7E40"/>
    <w:multiLevelType w:val="hybridMultilevel"/>
    <w:tmpl w:val="D30E78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0558377C"/>
    <w:multiLevelType w:val="hybridMultilevel"/>
    <w:tmpl w:val="C40A3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6C5018"/>
    <w:multiLevelType w:val="hybridMultilevel"/>
    <w:tmpl w:val="8ED0586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79B4B82"/>
    <w:multiLevelType w:val="hybridMultilevel"/>
    <w:tmpl w:val="2096A064"/>
    <w:lvl w:ilvl="0" w:tplc="38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2E912D47"/>
    <w:multiLevelType w:val="hybridMultilevel"/>
    <w:tmpl w:val="4D72715A"/>
    <w:lvl w:ilvl="0" w:tplc="38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2F464076"/>
    <w:multiLevelType w:val="singleLevel"/>
    <w:tmpl w:val="C06ED338"/>
    <w:lvl w:ilvl="0">
      <w:start w:val="1"/>
      <w:numFmt w:val="decimal"/>
      <w:lvlText w:val="%1)"/>
      <w:lvlJc w:val="left"/>
      <w:pPr>
        <w:tabs>
          <w:tab w:val="num" w:pos="360"/>
        </w:tabs>
        <w:ind w:left="360" w:hanging="360"/>
      </w:pPr>
      <w:rPr>
        <w:rFonts w:ascii="Arial" w:eastAsia="Calibri" w:hAnsi="Arial" w:cs="Times New Roman"/>
        <w:b/>
      </w:rPr>
    </w:lvl>
  </w:abstractNum>
  <w:abstractNum w:abstractNumId="9">
    <w:nsid w:val="3D0E0A51"/>
    <w:multiLevelType w:val="hybridMultilevel"/>
    <w:tmpl w:val="5FF2616E"/>
    <w:lvl w:ilvl="0" w:tplc="F3A6EFF6">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451E649F"/>
    <w:multiLevelType w:val="hybridMultilevel"/>
    <w:tmpl w:val="FB44256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nsid w:val="47AE236C"/>
    <w:multiLevelType w:val="hybridMultilevel"/>
    <w:tmpl w:val="498CEB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FC04BF8"/>
    <w:multiLevelType w:val="hybridMultilevel"/>
    <w:tmpl w:val="7528F4FC"/>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57B63764"/>
    <w:multiLevelType w:val="hybridMultilevel"/>
    <w:tmpl w:val="90C65F40"/>
    <w:lvl w:ilvl="0" w:tplc="6D166090">
      <w:start w:val="1"/>
      <w:numFmt w:val="decimal"/>
      <w:lvlText w:val="%1)"/>
      <w:lvlJc w:val="left"/>
      <w:pPr>
        <w:tabs>
          <w:tab w:val="num" w:pos="360"/>
        </w:tabs>
        <w:ind w:left="340" w:hanging="34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5A5B2349"/>
    <w:multiLevelType w:val="hybridMultilevel"/>
    <w:tmpl w:val="9D14A406"/>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5">
    <w:nsid w:val="5DFC5887"/>
    <w:multiLevelType w:val="hybridMultilevel"/>
    <w:tmpl w:val="9F6A2EAE"/>
    <w:lvl w:ilvl="0" w:tplc="FFFFFFFF">
      <w:start w:val="1"/>
      <w:numFmt w:val="decimal"/>
      <w:lvlText w:val="%1)"/>
      <w:lvlJc w:val="left"/>
      <w:pPr>
        <w:tabs>
          <w:tab w:val="num" w:pos="360"/>
        </w:tabs>
        <w:ind w:left="340" w:hanging="34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60764B5E"/>
    <w:multiLevelType w:val="multilevel"/>
    <w:tmpl w:val="47FCFB16"/>
    <w:lvl w:ilvl="0">
      <w:start w:val="1"/>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644209B2"/>
    <w:multiLevelType w:val="hybridMultilevel"/>
    <w:tmpl w:val="3646AA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nsid w:val="700E2441"/>
    <w:multiLevelType w:val="hybridMultilevel"/>
    <w:tmpl w:val="05FCF546"/>
    <w:lvl w:ilvl="0" w:tplc="7540734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78B222D1"/>
    <w:multiLevelType w:val="hybridMultilevel"/>
    <w:tmpl w:val="E6C6E61C"/>
    <w:lvl w:ilvl="0" w:tplc="0C0A0001">
      <w:start w:val="1"/>
      <w:numFmt w:val="bullet"/>
      <w:lvlText w:val=""/>
      <w:lvlJc w:val="left"/>
      <w:pPr>
        <w:ind w:left="1429" w:hanging="360"/>
      </w:pPr>
      <w:rPr>
        <w:rFonts w:ascii="Symbol" w:hAnsi="Symbol" w:hint="default"/>
      </w:rPr>
    </w:lvl>
    <w:lvl w:ilvl="1" w:tplc="6D1C442A">
      <w:numFmt w:val="bullet"/>
      <w:lvlText w:val="-"/>
      <w:lvlJc w:val="left"/>
      <w:pPr>
        <w:tabs>
          <w:tab w:val="num" w:pos="2149"/>
        </w:tabs>
        <w:ind w:left="2149" w:hanging="360"/>
      </w:pPr>
      <w:rPr>
        <w:rFonts w:ascii="Arial" w:eastAsia="Times New Roman" w:hAnsi="Arial" w:cs="Aria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nsid w:val="7DD10451"/>
    <w:multiLevelType w:val="hybridMultilevel"/>
    <w:tmpl w:val="F8A09E6A"/>
    <w:lvl w:ilvl="0" w:tplc="3C0CE606">
      <w:start w:val="5"/>
      <w:numFmt w:val="decimal"/>
      <w:lvlText w:val="%1)"/>
      <w:lvlJc w:val="left"/>
      <w:pPr>
        <w:ind w:left="720" w:hanging="360"/>
      </w:pPr>
      <w:rPr>
        <w:rFonts w:cs="Times New Roman" w:hint="default"/>
        <w:b/>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nsid w:val="7F8D1927"/>
    <w:multiLevelType w:val="hybridMultilevel"/>
    <w:tmpl w:val="0B24CAD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5"/>
  </w:num>
  <w:num w:numId="4">
    <w:abstractNumId w:val="3"/>
  </w:num>
  <w:num w:numId="5">
    <w:abstractNumId w:val="12"/>
  </w:num>
  <w:num w:numId="6">
    <w:abstractNumId w:val="16"/>
  </w:num>
  <w:num w:numId="7">
    <w:abstractNumId w:val="21"/>
  </w:num>
  <w:num w:numId="8">
    <w:abstractNumId w:val="6"/>
  </w:num>
  <w:num w:numId="9">
    <w:abstractNumId w:val="11"/>
  </w:num>
  <w:num w:numId="10">
    <w:abstractNumId w:val="18"/>
  </w:num>
  <w:num w:numId="11">
    <w:abstractNumId w:val="5"/>
  </w:num>
  <w:num w:numId="12">
    <w:abstractNumId w:val="3"/>
  </w:num>
  <w:num w:numId="13">
    <w:abstractNumId w:val="2"/>
  </w:num>
  <w:num w:numId="14">
    <w:abstractNumId w:val="19"/>
  </w:num>
  <w:num w:numId="15">
    <w:abstractNumId w:val="8"/>
  </w:num>
  <w:num w:numId="16">
    <w:abstractNumId w:val="9"/>
  </w:num>
  <w:num w:numId="17">
    <w:abstractNumId w:val="1"/>
  </w:num>
  <w:num w:numId="18">
    <w:abstractNumId w:val="22"/>
  </w:num>
  <w:num w:numId="19">
    <w:abstractNumId w:val="14"/>
  </w:num>
  <w:num w:numId="20">
    <w:abstractNumId w:val="10"/>
  </w:num>
  <w:num w:numId="21">
    <w:abstractNumId w:val="17"/>
  </w:num>
  <w:num w:numId="22">
    <w:abstractNumId w:val="4"/>
  </w:num>
  <w:num w:numId="23">
    <w:abstractNumId w:val="20"/>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58"/>
    <w:rsid w:val="00001144"/>
    <w:rsid w:val="000053CD"/>
    <w:rsid w:val="00023D58"/>
    <w:rsid w:val="00024987"/>
    <w:rsid w:val="000470D7"/>
    <w:rsid w:val="000531E1"/>
    <w:rsid w:val="00065E05"/>
    <w:rsid w:val="00071B63"/>
    <w:rsid w:val="00097A84"/>
    <w:rsid w:val="000C54CB"/>
    <w:rsid w:val="000D022F"/>
    <w:rsid w:val="000D562B"/>
    <w:rsid w:val="000D5986"/>
    <w:rsid w:val="000F2535"/>
    <w:rsid w:val="000F6555"/>
    <w:rsid w:val="00110884"/>
    <w:rsid w:val="00116613"/>
    <w:rsid w:val="00120771"/>
    <w:rsid w:val="00126EEC"/>
    <w:rsid w:val="00162056"/>
    <w:rsid w:val="00165727"/>
    <w:rsid w:val="001759C9"/>
    <w:rsid w:val="00181613"/>
    <w:rsid w:val="001825FE"/>
    <w:rsid w:val="001B7595"/>
    <w:rsid w:val="001D3490"/>
    <w:rsid w:val="001F3E88"/>
    <w:rsid w:val="001F43D6"/>
    <w:rsid w:val="00213BA2"/>
    <w:rsid w:val="00222503"/>
    <w:rsid w:val="0023212C"/>
    <w:rsid w:val="0023661F"/>
    <w:rsid w:val="00237856"/>
    <w:rsid w:val="00244226"/>
    <w:rsid w:val="00264C41"/>
    <w:rsid w:val="0026501C"/>
    <w:rsid w:val="00270CF7"/>
    <w:rsid w:val="002B3056"/>
    <w:rsid w:val="002B4DA9"/>
    <w:rsid w:val="002C61B0"/>
    <w:rsid w:val="002D311B"/>
    <w:rsid w:val="002F2091"/>
    <w:rsid w:val="002F323D"/>
    <w:rsid w:val="00305D4A"/>
    <w:rsid w:val="003238DB"/>
    <w:rsid w:val="00336F7D"/>
    <w:rsid w:val="00360642"/>
    <w:rsid w:val="003702DF"/>
    <w:rsid w:val="00372D07"/>
    <w:rsid w:val="00376843"/>
    <w:rsid w:val="0038044E"/>
    <w:rsid w:val="00396D6A"/>
    <w:rsid w:val="003C23F3"/>
    <w:rsid w:val="003C5E0F"/>
    <w:rsid w:val="003E2D5F"/>
    <w:rsid w:val="00413C52"/>
    <w:rsid w:val="004234B3"/>
    <w:rsid w:val="004238DF"/>
    <w:rsid w:val="004242D4"/>
    <w:rsid w:val="00435E8B"/>
    <w:rsid w:val="00442358"/>
    <w:rsid w:val="00452CA7"/>
    <w:rsid w:val="00454D64"/>
    <w:rsid w:val="0048552C"/>
    <w:rsid w:val="004B168B"/>
    <w:rsid w:val="004B477B"/>
    <w:rsid w:val="004B4B18"/>
    <w:rsid w:val="004C664A"/>
    <w:rsid w:val="004E50E0"/>
    <w:rsid w:val="004F32B5"/>
    <w:rsid w:val="004F4077"/>
    <w:rsid w:val="004F50D2"/>
    <w:rsid w:val="004F59C8"/>
    <w:rsid w:val="00511E2C"/>
    <w:rsid w:val="005127D6"/>
    <w:rsid w:val="00521C01"/>
    <w:rsid w:val="00525E49"/>
    <w:rsid w:val="0052740F"/>
    <w:rsid w:val="00534127"/>
    <w:rsid w:val="005446FF"/>
    <w:rsid w:val="005869EB"/>
    <w:rsid w:val="005873D9"/>
    <w:rsid w:val="005941DC"/>
    <w:rsid w:val="005A1868"/>
    <w:rsid w:val="005B27ED"/>
    <w:rsid w:val="005B30C2"/>
    <w:rsid w:val="005D19AA"/>
    <w:rsid w:val="005D450F"/>
    <w:rsid w:val="005E7233"/>
    <w:rsid w:val="005F0A9C"/>
    <w:rsid w:val="00610A2E"/>
    <w:rsid w:val="00611BD7"/>
    <w:rsid w:val="00622A6E"/>
    <w:rsid w:val="00625FDD"/>
    <w:rsid w:val="00632661"/>
    <w:rsid w:val="00654DF8"/>
    <w:rsid w:val="00672A2A"/>
    <w:rsid w:val="00677845"/>
    <w:rsid w:val="00691488"/>
    <w:rsid w:val="006A0E49"/>
    <w:rsid w:val="006B59AA"/>
    <w:rsid w:val="006B6D60"/>
    <w:rsid w:val="006C1BC7"/>
    <w:rsid w:val="006E02B5"/>
    <w:rsid w:val="007161B4"/>
    <w:rsid w:val="00717912"/>
    <w:rsid w:val="00720339"/>
    <w:rsid w:val="007347E7"/>
    <w:rsid w:val="00753FEC"/>
    <w:rsid w:val="0076209A"/>
    <w:rsid w:val="007753B2"/>
    <w:rsid w:val="007B7B94"/>
    <w:rsid w:val="007E08BD"/>
    <w:rsid w:val="007F25E8"/>
    <w:rsid w:val="007F3F70"/>
    <w:rsid w:val="008210FD"/>
    <w:rsid w:val="0082383D"/>
    <w:rsid w:val="00847137"/>
    <w:rsid w:val="008519D3"/>
    <w:rsid w:val="00864BCA"/>
    <w:rsid w:val="00870FC3"/>
    <w:rsid w:val="00881A74"/>
    <w:rsid w:val="008A5625"/>
    <w:rsid w:val="008B387E"/>
    <w:rsid w:val="008B3CED"/>
    <w:rsid w:val="008D0124"/>
    <w:rsid w:val="008D6884"/>
    <w:rsid w:val="0090619B"/>
    <w:rsid w:val="00920DF5"/>
    <w:rsid w:val="00925C0F"/>
    <w:rsid w:val="00926777"/>
    <w:rsid w:val="009272A4"/>
    <w:rsid w:val="00927F1A"/>
    <w:rsid w:val="00930FEB"/>
    <w:rsid w:val="00937752"/>
    <w:rsid w:val="00945858"/>
    <w:rsid w:val="00975A6D"/>
    <w:rsid w:val="00980076"/>
    <w:rsid w:val="00994151"/>
    <w:rsid w:val="009A3E16"/>
    <w:rsid w:val="009B0B9F"/>
    <w:rsid w:val="009B39DD"/>
    <w:rsid w:val="009B686B"/>
    <w:rsid w:val="009C4B7A"/>
    <w:rsid w:val="00A06C1E"/>
    <w:rsid w:val="00A12195"/>
    <w:rsid w:val="00A15DDE"/>
    <w:rsid w:val="00A21109"/>
    <w:rsid w:val="00A25D4A"/>
    <w:rsid w:val="00A40797"/>
    <w:rsid w:val="00A4452C"/>
    <w:rsid w:val="00A44BBF"/>
    <w:rsid w:val="00A51DE1"/>
    <w:rsid w:val="00A74629"/>
    <w:rsid w:val="00AA5C37"/>
    <w:rsid w:val="00AB61B1"/>
    <w:rsid w:val="00AC20BF"/>
    <w:rsid w:val="00AC5D1E"/>
    <w:rsid w:val="00AF3BEC"/>
    <w:rsid w:val="00AF4C6A"/>
    <w:rsid w:val="00B022F4"/>
    <w:rsid w:val="00B11F57"/>
    <w:rsid w:val="00B20010"/>
    <w:rsid w:val="00B343C8"/>
    <w:rsid w:val="00B34C1E"/>
    <w:rsid w:val="00B41693"/>
    <w:rsid w:val="00B44D57"/>
    <w:rsid w:val="00B54EF8"/>
    <w:rsid w:val="00B639FE"/>
    <w:rsid w:val="00B71E05"/>
    <w:rsid w:val="00B94CF0"/>
    <w:rsid w:val="00BA3BD4"/>
    <w:rsid w:val="00BA7A98"/>
    <w:rsid w:val="00BB6B1D"/>
    <w:rsid w:val="00BB799C"/>
    <w:rsid w:val="00BC02CF"/>
    <w:rsid w:val="00BD3767"/>
    <w:rsid w:val="00BE332E"/>
    <w:rsid w:val="00BF6E47"/>
    <w:rsid w:val="00C40E34"/>
    <w:rsid w:val="00C52745"/>
    <w:rsid w:val="00C623D1"/>
    <w:rsid w:val="00C66454"/>
    <w:rsid w:val="00C91345"/>
    <w:rsid w:val="00C947CB"/>
    <w:rsid w:val="00CB11DA"/>
    <w:rsid w:val="00CB6BDE"/>
    <w:rsid w:val="00CD5FFA"/>
    <w:rsid w:val="00CF59C1"/>
    <w:rsid w:val="00D01CC3"/>
    <w:rsid w:val="00D0616B"/>
    <w:rsid w:val="00D13470"/>
    <w:rsid w:val="00D44D65"/>
    <w:rsid w:val="00D47A43"/>
    <w:rsid w:val="00D8157E"/>
    <w:rsid w:val="00D8541B"/>
    <w:rsid w:val="00D87D18"/>
    <w:rsid w:val="00D91607"/>
    <w:rsid w:val="00D951EE"/>
    <w:rsid w:val="00DB1507"/>
    <w:rsid w:val="00DD04C9"/>
    <w:rsid w:val="00DD3211"/>
    <w:rsid w:val="00DD64B5"/>
    <w:rsid w:val="00E04776"/>
    <w:rsid w:val="00E165C3"/>
    <w:rsid w:val="00E24557"/>
    <w:rsid w:val="00E30755"/>
    <w:rsid w:val="00E4302A"/>
    <w:rsid w:val="00E45AD2"/>
    <w:rsid w:val="00E5198B"/>
    <w:rsid w:val="00E61B1A"/>
    <w:rsid w:val="00E632A9"/>
    <w:rsid w:val="00E81693"/>
    <w:rsid w:val="00E93F02"/>
    <w:rsid w:val="00E94F81"/>
    <w:rsid w:val="00EA024B"/>
    <w:rsid w:val="00EA1EAF"/>
    <w:rsid w:val="00EB180E"/>
    <w:rsid w:val="00EB6B2C"/>
    <w:rsid w:val="00ED0702"/>
    <w:rsid w:val="00ED5E46"/>
    <w:rsid w:val="00ED6AAD"/>
    <w:rsid w:val="00EE5C28"/>
    <w:rsid w:val="00EF4E33"/>
    <w:rsid w:val="00F04889"/>
    <w:rsid w:val="00F11553"/>
    <w:rsid w:val="00F22988"/>
    <w:rsid w:val="00F3428D"/>
    <w:rsid w:val="00F347B4"/>
    <w:rsid w:val="00F35170"/>
    <w:rsid w:val="00F36BCF"/>
    <w:rsid w:val="00F43385"/>
    <w:rsid w:val="00F561C2"/>
    <w:rsid w:val="00F65F05"/>
    <w:rsid w:val="00FB1B57"/>
    <w:rsid w:val="00FB71CF"/>
    <w:rsid w:val="00FE164C"/>
    <w:rsid w:val="00FE55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List" w:locked="1"/>
    <w:lsdException w:name="Title" w:locked="1" w:qFormat="1"/>
    <w:lsdException w:name="Default Paragraph Font" w:locked="1"/>
    <w:lsdException w:name="Body Text" w:locked="1"/>
    <w:lsdException w:name="Subtitle" w:locked="1" w:qFormat="1"/>
    <w:lsdException w:name="Body Text Indent 3"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8"/>
    <w:rPr>
      <w:rFonts w:ascii="Arial" w:hAnsi="Arial"/>
      <w:sz w:val="24"/>
      <w:szCs w:val="24"/>
      <w:lang w:val="es-ES" w:eastAsia="es-ES"/>
    </w:rPr>
  </w:style>
  <w:style w:type="paragraph" w:styleId="Ttulo1">
    <w:name w:val="heading 1"/>
    <w:basedOn w:val="Normal"/>
    <w:next w:val="Normal"/>
    <w:link w:val="Ttulo1Car"/>
    <w:qFormat/>
    <w:rsid w:val="0023661F"/>
    <w:pPr>
      <w:spacing w:after="180" w:line="360" w:lineRule="auto"/>
      <w:outlineLvl w:val="0"/>
    </w:pPr>
    <w:rPr>
      <w:b/>
      <w:caps/>
      <w:kern w:val="18"/>
      <w:szCs w:val="20"/>
    </w:rPr>
  </w:style>
  <w:style w:type="paragraph" w:styleId="Ttulo2">
    <w:name w:val="heading 2"/>
    <w:basedOn w:val="Normal"/>
    <w:next w:val="Textoindependiente"/>
    <w:link w:val="Ttulo2Car"/>
    <w:qFormat/>
    <w:rsid w:val="0023661F"/>
    <w:pPr>
      <w:spacing w:after="170" w:line="360" w:lineRule="auto"/>
      <w:outlineLvl w:val="1"/>
    </w:pPr>
    <w:rPr>
      <w:b/>
      <w:kern w:val="18"/>
      <w:szCs w:val="20"/>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locked/>
    <w:rsid w:val="00442358"/>
    <w:rPr>
      <w:rFonts w:ascii="Arial" w:hAnsi="Arial" w:cs="Times New Roman"/>
      <w:b/>
      <w:sz w:val="20"/>
      <w:szCs w:val="20"/>
      <w:lang w:val="es-ES" w:eastAsia="es-ES"/>
    </w:rPr>
  </w:style>
  <w:style w:type="paragraph" w:styleId="Textoindependiente">
    <w:name w:val="Body Text"/>
    <w:basedOn w:val="Normal"/>
    <w:link w:val="TextoindependienteCar"/>
    <w:rsid w:val="00442358"/>
    <w:pPr>
      <w:spacing w:line="360" w:lineRule="auto"/>
      <w:jc w:val="both"/>
    </w:pPr>
    <w:rPr>
      <w:bCs/>
    </w:rPr>
  </w:style>
  <w:style w:type="character" w:customStyle="1" w:styleId="TextoindependienteCar">
    <w:name w:val="Texto independiente Car"/>
    <w:link w:val="Textoindependiente"/>
    <w:locked/>
    <w:rsid w:val="00442358"/>
    <w:rPr>
      <w:rFonts w:ascii="Arial"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link w:val="Piedepgina"/>
    <w:semiHidden/>
    <w:locked/>
    <w:rsid w:val="00442358"/>
    <w:rPr>
      <w:rFonts w:ascii="Arial" w:hAnsi="Arial" w:cs="Times New Roman"/>
      <w:sz w:val="24"/>
      <w:szCs w:val="24"/>
      <w:lang w:val="es-ES" w:eastAsia="es-ES"/>
    </w:rPr>
  </w:style>
  <w:style w:type="character" w:styleId="Nmerodepgina">
    <w:name w:val="page number"/>
    <w:semiHidden/>
    <w:rsid w:val="00442358"/>
    <w:rPr>
      <w:rFonts w:cs="Times New Roman"/>
    </w:rPr>
  </w:style>
  <w:style w:type="paragraph" w:styleId="Lista">
    <w:name w:val="List"/>
    <w:basedOn w:val="Normal"/>
    <w:semiHidden/>
    <w:rsid w:val="00442358"/>
    <w:pPr>
      <w:spacing w:line="360" w:lineRule="auto"/>
      <w:ind w:left="283" w:hanging="283"/>
      <w:jc w:val="both"/>
    </w:pPr>
    <w:rPr>
      <w:kern w:val="18"/>
      <w:szCs w:val="20"/>
      <w:lang w:val="es-ES_tradnl"/>
    </w:rPr>
  </w:style>
  <w:style w:type="character" w:customStyle="1" w:styleId="Ttulo1Car">
    <w:name w:val="Título 1 Car"/>
    <w:link w:val="Ttulo1"/>
    <w:locked/>
    <w:rsid w:val="0023661F"/>
    <w:rPr>
      <w:rFonts w:ascii="Arial" w:hAnsi="Arial" w:cs="Times New Roman"/>
      <w:b/>
      <w:caps/>
      <w:kern w:val="18"/>
      <w:sz w:val="20"/>
      <w:szCs w:val="20"/>
      <w:lang w:val="es-ES" w:eastAsia="es-ES"/>
    </w:rPr>
  </w:style>
  <w:style w:type="character" w:customStyle="1" w:styleId="Ttulo2Car">
    <w:name w:val="Título 2 Car"/>
    <w:link w:val="Ttulo2"/>
    <w:locked/>
    <w:rsid w:val="0023661F"/>
    <w:rPr>
      <w:rFonts w:ascii="Arial" w:hAnsi="Arial" w:cs="Times New Roman"/>
      <w:b/>
      <w:kern w:val="18"/>
      <w:sz w:val="20"/>
      <w:szCs w:val="20"/>
      <w:lang w:val="es-ES" w:eastAsia="es-ES"/>
    </w:rPr>
  </w:style>
  <w:style w:type="paragraph" w:styleId="Subttulo">
    <w:name w:val="Subtitle"/>
    <w:basedOn w:val="Normal"/>
    <w:link w:val="SubttuloCar"/>
    <w:qFormat/>
    <w:rsid w:val="0023661F"/>
    <w:pPr>
      <w:spacing w:line="360" w:lineRule="auto"/>
      <w:jc w:val="both"/>
    </w:pPr>
    <w:rPr>
      <w:rFonts w:ascii="Bookman Old Style" w:hAnsi="Bookman Old Style"/>
      <w:b/>
      <w:kern w:val="18"/>
      <w:szCs w:val="20"/>
    </w:rPr>
  </w:style>
  <w:style w:type="character" w:customStyle="1" w:styleId="SubttuloCar">
    <w:name w:val="Subtítulo Car"/>
    <w:link w:val="Subttulo"/>
    <w:locked/>
    <w:rsid w:val="0023661F"/>
    <w:rPr>
      <w:rFonts w:ascii="Bookman Old Style" w:hAnsi="Bookman Old Style" w:cs="Times New Roman"/>
      <w:b/>
      <w:kern w:val="18"/>
      <w:sz w:val="20"/>
      <w:szCs w:val="20"/>
      <w:lang w:val="es-ES" w:eastAsia="es-ES"/>
    </w:rPr>
  </w:style>
  <w:style w:type="paragraph" w:styleId="NormalWeb">
    <w:name w:val="Normal (Web)"/>
    <w:basedOn w:val="Normal"/>
    <w:rsid w:val="0023661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rsid w:val="0023661F"/>
  </w:style>
  <w:style w:type="paragraph" w:styleId="Sangra3detindependiente">
    <w:name w:val="Body Text Indent 3"/>
    <w:basedOn w:val="Normal"/>
    <w:link w:val="Sangra3detindependienteCar"/>
    <w:rsid w:val="0023661F"/>
    <w:pPr>
      <w:suppressAutoHyphens/>
      <w:spacing w:line="360" w:lineRule="auto"/>
      <w:ind w:firstLine="851"/>
      <w:jc w:val="both"/>
    </w:pPr>
    <w:rPr>
      <w:kern w:val="18"/>
      <w:szCs w:val="20"/>
      <w:lang w:val="es-ES_tradnl"/>
    </w:rPr>
  </w:style>
  <w:style w:type="character" w:customStyle="1" w:styleId="Sangra3detindependienteCar">
    <w:name w:val="Sangría 3 de t. independiente Car"/>
    <w:link w:val="Sangra3detindependiente"/>
    <w:locked/>
    <w:rsid w:val="0023661F"/>
    <w:rPr>
      <w:rFonts w:ascii="Arial" w:hAnsi="Arial" w:cs="Times New Roman"/>
      <w:kern w:val="18"/>
      <w:sz w:val="20"/>
      <w:szCs w:val="20"/>
      <w:lang w:val="es-ES_tradnl" w:eastAsia="es-ES"/>
    </w:rPr>
  </w:style>
  <w:style w:type="paragraph" w:styleId="Textodeglobo">
    <w:name w:val="Balloon Text"/>
    <w:basedOn w:val="Normal"/>
    <w:link w:val="TextodegloboCar"/>
    <w:rsid w:val="00A4452C"/>
    <w:rPr>
      <w:rFonts w:ascii="Tahoma" w:hAnsi="Tahoma" w:cs="Tahoma"/>
      <w:sz w:val="16"/>
      <w:szCs w:val="16"/>
    </w:rPr>
  </w:style>
  <w:style w:type="character" w:customStyle="1" w:styleId="TextodegloboCar">
    <w:name w:val="Texto de globo Car"/>
    <w:link w:val="Textodeglobo"/>
    <w:rsid w:val="00A4452C"/>
    <w:rPr>
      <w:rFonts w:ascii="Tahoma" w:hAnsi="Tahoma" w:cs="Tahoma"/>
      <w:sz w:val="16"/>
      <w:szCs w:val="16"/>
    </w:rPr>
  </w:style>
  <w:style w:type="paragraph" w:styleId="Prrafodelista">
    <w:name w:val="List Paragraph"/>
    <w:basedOn w:val="Normal"/>
    <w:uiPriority w:val="99"/>
    <w:qFormat/>
    <w:rsid w:val="005F0A9C"/>
    <w:pPr>
      <w:ind w:left="720"/>
      <w:contextualSpacing/>
    </w:pPr>
  </w:style>
  <w:style w:type="paragraph" w:styleId="Textoindependiente2">
    <w:name w:val="Body Text 2"/>
    <w:basedOn w:val="Normal"/>
    <w:link w:val="Textoindependiente2Car"/>
    <w:rsid w:val="00071B63"/>
    <w:pPr>
      <w:spacing w:line="360" w:lineRule="auto"/>
    </w:pPr>
    <w:rPr>
      <w:rFonts w:ascii="Bookman Old Style" w:eastAsia="Times New Roman" w:hAnsi="Bookman Old Style"/>
      <w:kern w:val="18"/>
      <w:szCs w:val="20"/>
    </w:rPr>
  </w:style>
  <w:style w:type="character" w:customStyle="1" w:styleId="Textoindependiente2Car">
    <w:name w:val="Texto independiente 2 Car"/>
    <w:basedOn w:val="Fuentedeprrafopredeter"/>
    <w:link w:val="Textoindependiente2"/>
    <w:rsid w:val="00071B63"/>
    <w:rPr>
      <w:rFonts w:ascii="Bookman Old Style" w:eastAsia="Times New Roman" w:hAnsi="Bookman Old Style"/>
      <w:kern w:val="18"/>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List" w:locked="1"/>
    <w:lsdException w:name="Title" w:locked="1" w:qFormat="1"/>
    <w:lsdException w:name="Default Paragraph Font" w:locked="1"/>
    <w:lsdException w:name="Body Text" w:locked="1"/>
    <w:lsdException w:name="Subtitle" w:locked="1" w:qFormat="1"/>
    <w:lsdException w:name="Body Text Indent 3"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8"/>
    <w:rPr>
      <w:rFonts w:ascii="Arial" w:hAnsi="Arial"/>
      <w:sz w:val="24"/>
      <w:szCs w:val="24"/>
      <w:lang w:val="es-ES" w:eastAsia="es-ES"/>
    </w:rPr>
  </w:style>
  <w:style w:type="paragraph" w:styleId="Ttulo1">
    <w:name w:val="heading 1"/>
    <w:basedOn w:val="Normal"/>
    <w:next w:val="Normal"/>
    <w:link w:val="Ttulo1Car"/>
    <w:qFormat/>
    <w:rsid w:val="0023661F"/>
    <w:pPr>
      <w:spacing w:after="180" w:line="360" w:lineRule="auto"/>
      <w:outlineLvl w:val="0"/>
    </w:pPr>
    <w:rPr>
      <w:b/>
      <w:caps/>
      <w:kern w:val="18"/>
      <w:szCs w:val="20"/>
    </w:rPr>
  </w:style>
  <w:style w:type="paragraph" w:styleId="Ttulo2">
    <w:name w:val="heading 2"/>
    <w:basedOn w:val="Normal"/>
    <w:next w:val="Textoindependiente"/>
    <w:link w:val="Ttulo2Car"/>
    <w:qFormat/>
    <w:rsid w:val="0023661F"/>
    <w:pPr>
      <w:spacing w:after="170" w:line="360" w:lineRule="auto"/>
      <w:outlineLvl w:val="1"/>
    </w:pPr>
    <w:rPr>
      <w:b/>
      <w:kern w:val="18"/>
      <w:szCs w:val="20"/>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locked/>
    <w:rsid w:val="00442358"/>
    <w:rPr>
      <w:rFonts w:ascii="Arial" w:hAnsi="Arial" w:cs="Times New Roman"/>
      <w:b/>
      <w:sz w:val="20"/>
      <w:szCs w:val="20"/>
      <w:lang w:val="es-ES" w:eastAsia="es-ES"/>
    </w:rPr>
  </w:style>
  <w:style w:type="paragraph" w:styleId="Textoindependiente">
    <w:name w:val="Body Text"/>
    <w:basedOn w:val="Normal"/>
    <w:link w:val="TextoindependienteCar"/>
    <w:rsid w:val="00442358"/>
    <w:pPr>
      <w:spacing w:line="360" w:lineRule="auto"/>
      <w:jc w:val="both"/>
    </w:pPr>
    <w:rPr>
      <w:bCs/>
    </w:rPr>
  </w:style>
  <w:style w:type="character" w:customStyle="1" w:styleId="TextoindependienteCar">
    <w:name w:val="Texto independiente Car"/>
    <w:link w:val="Textoindependiente"/>
    <w:locked/>
    <w:rsid w:val="00442358"/>
    <w:rPr>
      <w:rFonts w:ascii="Arial"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link w:val="Piedepgina"/>
    <w:semiHidden/>
    <w:locked/>
    <w:rsid w:val="00442358"/>
    <w:rPr>
      <w:rFonts w:ascii="Arial" w:hAnsi="Arial" w:cs="Times New Roman"/>
      <w:sz w:val="24"/>
      <w:szCs w:val="24"/>
      <w:lang w:val="es-ES" w:eastAsia="es-ES"/>
    </w:rPr>
  </w:style>
  <w:style w:type="character" w:styleId="Nmerodepgina">
    <w:name w:val="page number"/>
    <w:semiHidden/>
    <w:rsid w:val="00442358"/>
    <w:rPr>
      <w:rFonts w:cs="Times New Roman"/>
    </w:rPr>
  </w:style>
  <w:style w:type="paragraph" w:styleId="Lista">
    <w:name w:val="List"/>
    <w:basedOn w:val="Normal"/>
    <w:semiHidden/>
    <w:rsid w:val="00442358"/>
    <w:pPr>
      <w:spacing w:line="360" w:lineRule="auto"/>
      <w:ind w:left="283" w:hanging="283"/>
      <w:jc w:val="both"/>
    </w:pPr>
    <w:rPr>
      <w:kern w:val="18"/>
      <w:szCs w:val="20"/>
      <w:lang w:val="es-ES_tradnl"/>
    </w:rPr>
  </w:style>
  <w:style w:type="character" w:customStyle="1" w:styleId="Ttulo1Car">
    <w:name w:val="Título 1 Car"/>
    <w:link w:val="Ttulo1"/>
    <w:locked/>
    <w:rsid w:val="0023661F"/>
    <w:rPr>
      <w:rFonts w:ascii="Arial" w:hAnsi="Arial" w:cs="Times New Roman"/>
      <w:b/>
      <w:caps/>
      <w:kern w:val="18"/>
      <w:sz w:val="20"/>
      <w:szCs w:val="20"/>
      <w:lang w:val="es-ES" w:eastAsia="es-ES"/>
    </w:rPr>
  </w:style>
  <w:style w:type="character" w:customStyle="1" w:styleId="Ttulo2Car">
    <w:name w:val="Título 2 Car"/>
    <w:link w:val="Ttulo2"/>
    <w:locked/>
    <w:rsid w:val="0023661F"/>
    <w:rPr>
      <w:rFonts w:ascii="Arial" w:hAnsi="Arial" w:cs="Times New Roman"/>
      <w:b/>
      <w:kern w:val="18"/>
      <w:sz w:val="20"/>
      <w:szCs w:val="20"/>
      <w:lang w:val="es-ES" w:eastAsia="es-ES"/>
    </w:rPr>
  </w:style>
  <w:style w:type="paragraph" w:styleId="Subttulo">
    <w:name w:val="Subtitle"/>
    <w:basedOn w:val="Normal"/>
    <w:link w:val="SubttuloCar"/>
    <w:qFormat/>
    <w:rsid w:val="0023661F"/>
    <w:pPr>
      <w:spacing w:line="360" w:lineRule="auto"/>
      <w:jc w:val="both"/>
    </w:pPr>
    <w:rPr>
      <w:rFonts w:ascii="Bookman Old Style" w:hAnsi="Bookman Old Style"/>
      <w:b/>
      <w:kern w:val="18"/>
      <w:szCs w:val="20"/>
    </w:rPr>
  </w:style>
  <w:style w:type="character" w:customStyle="1" w:styleId="SubttuloCar">
    <w:name w:val="Subtítulo Car"/>
    <w:link w:val="Subttulo"/>
    <w:locked/>
    <w:rsid w:val="0023661F"/>
    <w:rPr>
      <w:rFonts w:ascii="Bookman Old Style" w:hAnsi="Bookman Old Style" w:cs="Times New Roman"/>
      <w:b/>
      <w:kern w:val="18"/>
      <w:sz w:val="20"/>
      <w:szCs w:val="20"/>
      <w:lang w:val="es-ES" w:eastAsia="es-ES"/>
    </w:rPr>
  </w:style>
  <w:style w:type="paragraph" w:styleId="NormalWeb">
    <w:name w:val="Normal (Web)"/>
    <w:basedOn w:val="Normal"/>
    <w:rsid w:val="0023661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rsid w:val="0023661F"/>
  </w:style>
  <w:style w:type="paragraph" w:styleId="Sangra3detindependiente">
    <w:name w:val="Body Text Indent 3"/>
    <w:basedOn w:val="Normal"/>
    <w:link w:val="Sangra3detindependienteCar"/>
    <w:rsid w:val="0023661F"/>
    <w:pPr>
      <w:suppressAutoHyphens/>
      <w:spacing w:line="360" w:lineRule="auto"/>
      <w:ind w:firstLine="851"/>
      <w:jc w:val="both"/>
    </w:pPr>
    <w:rPr>
      <w:kern w:val="18"/>
      <w:szCs w:val="20"/>
      <w:lang w:val="es-ES_tradnl"/>
    </w:rPr>
  </w:style>
  <w:style w:type="character" w:customStyle="1" w:styleId="Sangra3detindependienteCar">
    <w:name w:val="Sangría 3 de t. independiente Car"/>
    <w:link w:val="Sangra3detindependiente"/>
    <w:locked/>
    <w:rsid w:val="0023661F"/>
    <w:rPr>
      <w:rFonts w:ascii="Arial" w:hAnsi="Arial" w:cs="Times New Roman"/>
      <w:kern w:val="18"/>
      <w:sz w:val="20"/>
      <w:szCs w:val="20"/>
      <w:lang w:val="es-ES_tradnl" w:eastAsia="es-ES"/>
    </w:rPr>
  </w:style>
  <w:style w:type="paragraph" w:styleId="Textodeglobo">
    <w:name w:val="Balloon Text"/>
    <w:basedOn w:val="Normal"/>
    <w:link w:val="TextodegloboCar"/>
    <w:rsid w:val="00A4452C"/>
    <w:rPr>
      <w:rFonts w:ascii="Tahoma" w:hAnsi="Tahoma" w:cs="Tahoma"/>
      <w:sz w:val="16"/>
      <w:szCs w:val="16"/>
    </w:rPr>
  </w:style>
  <w:style w:type="character" w:customStyle="1" w:styleId="TextodegloboCar">
    <w:name w:val="Texto de globo Car"/>
    <w:link w:val="Textodeglobo"/>
    <w:rsid w:val="00A4452C"/>
    <w:rPr>
      <w:rFonts w:ascii="Tahoma" w:hAnsi="Tahoma" w:cs="Tahoma"/>
      <w:sz w:val="16"/>
      <w:szCs w:val="16"/>
    </w:rPr>
  </w:style>
  <w:style w:type="paragraph" w:styleId="Prrafodelista">
    <w:name w:val="List Paragraph"/>
    <w:basedOn w:val="Normal"/>
    <w:uiPriority w:val="99"/>
    <w:qFormat/>
    <w:rsid w:val="005F0A9C"/>
    <w:pPr>
      <w:ind w:left="720"/>
      <w:contextualSpacing/>
    </w:pPr>
  </w:style>
  <w:style w:type="paragraph" w:styleId="Textoindependiente2">
    <w:name w:val="Body Text 2"/>
    <w:basedOn w:val="Normal"/>
    <w:link w:val="Textoindependiente2Car"/>
    <w:rsid w:val="00071B63"/>
    <w:pPr>
      <w:spacing w:line="360" w:lineRule="auto"/>
    </w:pPr>
    <w:rPr>
      <w:rFonts w:ascii="Bookman Old Style" w:eastAsia="Times New Roman" w:hAnsi="Bookman Old Style"/>
      <w:kern w:val="18"/>
      <w:szCs w:val="20"/>
    </w:rPr>
  </w:style>
  <w:style w:type="character" w:customStyle="1" w:styleId="Textoindependiente2Car">
    <w:name w:val="Texto independiente 2 Car"/>
    <w:basedOn w:val="Fuentedeprrafopredeter"/>
    <w:link w:val="Textoindependiente2"/>
    <w:rsid w:val="00071B63"/>
    <w:rPr>
      <w:rFonts w:ascii="Bookman Old Style" w:eastAsia="Times New Roman" w:hAnsi="Bookman Old Style"/>
      <w:kern w:val="18"/>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56A0D-4279-417A-8F9A-AD974E09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2431</Words>
  <Characters>13795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RESOLUCION ADOPTADA POR EL</vt:lpstr>
    </vt:vector>
  </TitlesOfParts>
  <Company/>
  <LinksUpToDate>false</LinksUpToDate>
  <CharactersWithSpaces>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ADOPTADA POR EL</dc:title>
  <dc:creator>Gustavo De Souza</dc:creator>
  <cp:lastModifiedBy>Tribunal1</cp:lastModifiedBy>
  <cp:revision>16</cp:revision>
  <cp:lastPrinted>2019-01-29T16:51:00Z</cp:lastPrinted>
  <dcterms:created xsi:type="dcterms:W3CDTF">2019-01-29T16:31:00Z</dcterms:created>
  <dcterms:modified xsi:type="dcterms:W3CDTF">2019-02-25T17:39:00Z</dcterms:modified>
</cp:coreProperties>
</file>