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8E8" w:rsidRPr="00786EEB" w:rsidRDefault="003628E8" w:rsidP="00786EEB">
      <w:pPr>
        <w:tabs>
          <w:tab w:val="center" w:pos="4253"/>
        </w:tabs>
        <w:suppressAutoHyphens/>
        <w:jc w:val="right"/>
        <w:rPr>
          <w:rFonts w:cs="Arial"/>
          <w:b/>
          <w:sz w:val="28"/>
          <w:szCs w:val="28"/>
          <w:lang w:val="es-ES_tradnl"/>
        </w:rPr>
      </w:pPr>
      <w:bookmarkStart w:id="0" w:name="_GoBack"/>
      <w:bookmarkEnd w:id="0"/>
      <w:r>
        <w:rPr>
          <w:rFonts w:cs="Arial"/>
          <w:b/>
          <w:sz w:val="28"/>
          <w:szCs w:val="28"/>
          <w:lang w:val="es-ES_tradnl"/>
        </w:rPr>
        <w:t>RES. 264/19</w:t>
      </w:r>
    </w:p>
    <w:p w:rsidR="003628E8" w:rsidRDefault="003628E8" w:rsidP="00786EEB">
      <w:pPr>
        <w:tabs>
          <w:tab w:val="center" w:pos="4253"/>
        </w:tabs>
        <w:suppressAutoHyphens/>
        <w:jc w:val="right"/>
        <w:rPr>
          <w:rFonts w:cs="Arial"/>
          <w:b/>
          <w:lang w:val="es-ES_tradnl"/>
        </w:rPr>
      </w:pPr>
    </w:p>
    <w:p w:rsidR="003628E8" w:rsidRPr="00762B34" w:rsidRDefault="003628E8">
      <w:pPr>
        <w:tabs>
          <w:tab w:val="center" w:pos="4253"/>
        </w:tabs>
        <w:suppressAutoHyphens/>
        <w:jc w:val="center"/>
        <w:rPr>
          <w:rFonts w:cs="Arial"/>
          <w:b/>
          <w:lang w:val="es-ES_tradnl"/>
        </w:rPr>
      </w:pPr>
      <w:r w:rsidRPr="00762B34">
        <w:rPr>
          <w:rFonts w:cs="Arial"/>
          <w:b/>
          <w:lang w:val="es-ES_tradnl"/>
        </w:rPr>
        <w:t>RESOLUCION ADOPTADA POR EL</w:t>
      </w:r>
    </w:p>
    <w:p w:rsidR="003628E8" w:rsidRPr="00762B34" w:rsidRDefault="003628E8">
      <w:pPr>
        <w:tabs>
          <w:tab w:val="left" w:pos="-720"/>
        </w:tabs>
        <w:suppressAutoHyphens/>
        <w:jc w:val="center"/>
        <w:rPr>
          <w:rFonts w:cs="Arial"/>
          <w:b/>
          <w:lang w:val="es-ES_tradnl"/>
        </w:rPr>
      </w:pPr>
    </w:p>
    <w:p w:rsidR="003628E8" w:rsidRPr="00762B34" w:rsidRDefault="003628E8">
      <w:pPr>
        <w:tabs>
          <w:tab w:val="center" w:pos="4253"/>
        </w:tabs>
        <w:suppressAutoHyphens/>
        <w:jc w:val="center"/>
        <w:rPr>
          <w:rFonts w:cs="Arial"/>
          <w:b/>
          <w:lang w:val="es-ES_tradnl"/>
        </w:rPr>
      </w:pPr>
      <w:r w:rsidRPr="00762B34">
        <w:rPr>
          <w:rFonts w:cs="Arial"/>
          <w:b/>
          <w:lang w:val="es-ES_tradnl"/>
        </w:rPr>
        <w:t>TRIBUNAL DE CUENTAS</w:t>
      </w:r>
    </w:p>
    <w:p w:rsidR="003628E8" w:rsidRPr="00762B34" w:rsidRDefault="003628E8">
      <w:pPr>
        <w:tabs>
          <w:tab w:val="left" w:pos="-720"/>
        </w:tabs>
        <w:suppressAutoHyphens/>
        <w:jc w:val="center"/>
        <w:rPr>
          <w:rFonts w:cs="Arial"/>
          <w:b/>
          <w:lang w:val="es-ES_tradnl"/>
        </w:rPr>
      </w:pPr>
    </w:p>
    <w:p w:rsidR="003628E8" w:rsidRPr="00762B34" w:rsidRDefault="003628E8">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23 DE ENERO </w:t>
      </w:r>
      <w:r>
        <w:rPr>
          <w:rFonts w:ascii="Helvetica" w:hAnsi="Helvetica"/>
          <w:b/>
          <w:lang w:val="es-ES_tradnl"/>
        </w:rPr>
        <w:t>DE 2019</w:t>
      </w:r>
    </w:p>
    <w:p w:rsidR="003628E8" w:rsidRPr="00762B34" w:rsidRDefault="003628E8">
      <w:pPr>
        <w:tabs>
          <w:tab w:val="center" w:pos="4253"/>
        </w:tabs>
        <w:suppressAutoHyphens/>
        <w:jc w:val="center"/>
        <w:rPr>
          <w:rFonts w:cs="Arial"/>
          <w:b/>
          <w:lang w:val="es-ES_tradnl"/>
        </w:rPr>
      </w:pPr>
    </w:p>
    <w:p w:rsidR="003628E8" w:rsidRPr="003628E8" w:rsidRDefault="003628E8">
      <w:pPr>
        <w:tabs>
          <w:tab w:val="center" w:pos="4253"/>
        </w:tabs>
        <w:suppressAutoHyphens/>
        <w:jc w:val="center"/>
        <w:rPr>
          <w:rFonts w:cs="Arial"/>
          <w:b/>
          <w:lang w:val="en-US"/>
        </w:rPr>
      </w:pPr>
      <w:r w:rsidRPr="003628E8">
        <w:rPr>
          <w:rFonts w:cs="Arial"/>
          <w:b/>
          <w:lang w:val="en-US"/>
        </w:rPr>
        <w:t>(E. E. Nº</w:t>
      </w:r>
      <w:r w:rsidRPr="003628E8">
        <w:rPr>
          <w:b/>
        </w:rPr>
        <w:t>2018-17-1-0005988</w:t>
      </w:r>
      <w:r w:rsidRPr="003628E8">
        <w:rPr>
          <w:rFonts w:cs="Arial"/>
          <w:b/>
          <w:lang w:val="en-US"/>
        </w:rPr>
        <w:t xml:space="preserve">, </w:t>
      </w:r>
      <w:proofErr w:type="gramStart"/>
      <w:r w:rsidRPr="003628E8">
        <w:rPr>
          <w:rFonts w:cs="Arial"/>
          <w:b/>
          <w:lang w:val="en-US"/>
        </w:rPr>
        <w:t>Ent</w:t>
      </w:r>
      <w:proofErr w:type="gramEnd"/>
      <w:r w:rsidRPr="003628E8">
        <w:rPr>
          <w:rFonts w:cs="Arial"/>
          <w:b/>
          <w:lang w:val="en-US"/>
        </w:rPr>
        <w:t>. N°35/18)</w:t>
      </w:r>
    </w:p>
    <w:p w:rsidR="00F25715" w:rsidRDefault="00F25715" w:rsidP="003628E8">
      <w:pPr>
        <w:spacing w:line="360" w:lineRule="auto"/>
        <w:rPr>
          <w:b/>
          <w:bCs/>
          <w:i/>
          <w:iCs/>
        </w:rPr>
      </w:pPr>
    </w:p>
    <w:p w:rsidR="00F25715" w:rsidRDefault="00F25715" w:rsidP="00F25715">
      <w:pPr>
        <w:pStyle w:val="Textoindependiente"/>
      </w:pPr>
      <w:r>
        <w:t xml:space="preserve">      </w:t>
      </w:r>
      <w:r>
        <w:tab/>
      </w:r>
      <w:r w:rsidRPr="00F25715">
        <w:rPr>
          <w:b/>
        </w:rPr>
        <w:t xml:space="preserve">VISTO: </w:t>
      </w:r>
      <w:r>
        <w:t xml:space="preserve">las nuevas actuaciones remitidas por el Poder Legislativo  relacionadas con la reiteración del gasto derivado de la Licitación Pública </w:t>
      </w:r>
      <w:r w:rsidR="000361E9">
        <w:t xml:space="preserve">        </w:t>
      </w:r>
      <w:r>
        <w:t>Nº 1/2018</w:t>
      </w:r>
      <w:r w:rsidR="00131035">
        <w:t>,</w:t>
      </w:r>
      <w:r>
        <w:t xml:space="preserve"> cuyo objeto es la “Impermeabilización de azoteas, juntas y trabajos complementarios en revestimientos y tanques de agua sobre el cuarto piso del Edificio José Artigas del Poder Legislativo”;  </w:t>
      </w:r>
    </w:p>
    <w:p w:rsidR="00F25715" w:rsidRDefault="00F25715" w:rsidP="00F25715">
      <w:pPr>
        <w:pStyle w:val="Textoindependiente"/>
      </w:pPr>
      <w:r>
        <w:tab/>
      </w:r>
      <w:r w:rsidRPr="00F25715">
        <w:rPr>
          <w:b/>
        </w:rPr>
        <w:t xml:space="preserve">RESULTANDO: </w:t>
      </w:r>
      <w:r w:rsidRPr="001465B6">
        <w:rPr>
          <w:b/>
        </w:rPr>
        <w:t>1)</w:t>
      </w:r>
      <w:r>
        <w:t xml:space="preserve"> que en  S</w:t>
      </w:r>
      <w:r w:rsidRPr="00F25715">
        <w:rPr>
          <w:bCs/>
          <w:iCs/>
        </w:rPr>
        <w:t>esión de fecha 18 de octubre de 2018</w:t>
      </w:r>
      <w:r>
        <w:t>, este Tribunal</w:t>
      </w:r>
      <w:r w:rsidR="00713FF8">
        <w:t xml:space="preserve"> acordó </w:t>
      </w:r>
      <w:r>
        <w:t>observ</w:t>
      </w:r>
      <w:r w:rsidR="00713FF8">
        <w:t>ar</w:t>
      </w:r>
      <w:r>
        <w:t xml:space="preserve"> el gasto en base a las siguientes consideraciones: </w:t>
      </w:r>
    </w:p>
    <w:p w:rsidR="00F25715" w:rsidRDefault="00F25715" w:rsidP="00713FF8">
      <w:pPr>
        <w:pStyle w:val="Prrafodelista"/>
        <w:spacing w:line="360" w:lineRule="auto"/>
        <w:ind w:left="0" w:firstLine="720"/>
        <w:jc w:val="both"/>
        <w:rPr>
          <w:rFonts w:cs="Arial"/>
        </w:rPr>
      </w:pPr>
      <w:r w:rsidRPr="00F25715">
        <w:rPr>
          <w:rFonts w:cs="Arial"/>
          <w:b/>
          <w:lang w:val="es-ES_tradnl"/>
        </w:rPr>
        <w:t xml:space="preserve">1.1) </w:t>
      </w:r>
      <w:r w:rsidRPr="00957542">
        <w:rPr>
          <w:rFonts w:cs="Arial"/>
          <w:lang w:val="es-ES_tradnl"/>
        </w:rPr>
        <w:t>que</w:t>
      </w:r>
      <w:r w:rsidRPr="00957542">
        <w:rPr>
          <w:rFonts w:cs="Arial"/>
        </w:rPr>
        <w:t xml:space="preserve"> se confirió plazo de 2 días a la empresa KIDIL S.A. para presentar el certificado del MTOP (Artículo 18 del Pliego), cuando dicha documentación, conforme al </w:t>
      </w:r>
      <w:r w:rsidR="00713FF8">
        <w:rPr>
          <w:rFonts w:cs="Arial"/>
        </w:rPr>
        <w:t>a</w:t>
      </w:r>
      <w:r w:rsidRPr="00957542">
        <w:rPr>
          <w:rFonts w:cs="Arial"/>
        </w:rPr>
        <w:t xml:space="preserve">rtículo mencionado, debió agregarse en línea conjuntamente con la oferta, por lo cual no es de recibo el otorgamiento del plazo ni la aceptación de la documentación agregada; </w:t>
      </w:r>
    </w:p>
    <w:p w:rsidR="00F25715" w:rsidRDefault="00F25715" w:rsidP="00713FF8">
      <w:pPr>
        <w:pStyle w:val="Prrafodelista"/>
        <w:spacing w:line="360" w:lineRule="auto"/>
        <w:ind w:left="0" w:firstLine="720"/>
        <w:jc w:val="both"/>
        <w:rPr>
          <w:rFonts w:cs="Arial"/>
        </w:rPr>
      </w:pPr>
      <w:r w:rsidRPr="00F25715">
        <w:rPr>
          <w:rFonts w:cs="Arial"/>
          <w:b/>
        </w:rPr>
        <w:t xml:space="preserve">1.2) </w:t>
      </w:r>
      <w:r w:rsidRPr="00F25715">
        <w:rPr>
          <w:rFonts w:cs="Arial"/>
          <w:lang w:val="es-ES_tradnl"/>
        </w:rPr>
        <w:t>que</w:t>
      </w:r>
      <w:r w:rsidRPr="00F25715">
        <w:rPr>
          <w:rFonts w:cs="Arial"/>
        </w:rPr>
        <w:t xml:space="preserve"> en el caso no se da cumplimiento a lo establecido por el </w:t>
      </w:r>
      <w:r w:rsidR="00713FF8">
        <w:rPr>
          <w:rFonts w:cs="Arial"/>
        </w:rPr>
        <w:t>a</w:t>
      </w:r>
      <w:r w:rsidRPr="00F25715">
        <w:rPr>
          <w:rFonts w:cs="Arial"/>
        </w:rPr>
        <w:t>rtículo 65 del T.O.C.A.F. el cual preceptúa que “La Administración podrá otorgar a los proponentes un plazo máximo de dos días hábiles para salvar los defectos, carencias formales o errores evidentes o de escasa importancia”</w:t>
      </w:r>
      <w:r w:rsidR="00713FF8">
        <w:rPr>
          <w:rFonts w:cs="Arial"/>
        </w:rPr>
        <w:t>. E</w:t>
      </w:r>
      <w:r w:rsidRPr="00F25715">
        <w:rPr>
          <w:rFonts w:cs="Arial"/>
        </w:rPr>
        <w:t>n el caso</w:t>
      </w:r>
      <w:r w:rsidR="00713FF8">
        <w:rPr>
          <w:rFonts w:cs="Arial"/>
        </w:rPr>
        <w:t>,</w:t>
      </w:r>
      <w:r w:rsidRPr="00F25715">
        <w:rPr>
          <w:rFonts w:cs="Arial"/>
        </w:rPr>
        <w:t xml:space="preserve"> no se configura ninguna de las hipótesis mencionadas por el </w:t>
      </w:r>
      <w:r w:rsidR="00713FF8">
        <w:rPr>
          <w:rFonts w:cs="Arial"/>
        </w:rPr>
        <w:t>a</w:t>
      </w:r>
      <w:r w:rsidRPr="00F25715">
        <w:rPr>
          <w:rFonts w:cs="Arial"/>
        </w:rPr>
        <w:t>rtículo sino que</w:t>
      </w:r>
      <w:r w:rsidR="00713FF8">
        <w:rPr>
          <w:rFonts w:cs="Arial"/>
        </w:rPr>
        <w:t>,</w:t>
      </w:r>
      <w:r w:rsidRPr="00F25715">
        <w:rPr>
          <w:rFonts w:cs="Arial"/>
        </w:rPr>
        <w:t xml:space="preserve"> se otorga plazo para presentar documentación que debió adjuntarse </w:t>
      </w:r>
      <w:r w:rsidRPr="00F25715">
        <w:rPr>
          <w:rFonts w:cs="Arial"/>
        </w:rPr>
        <w:lastRenderedPageBreak/>
        <w:t xml:space="preserve">conjuntamente con el Pliego, tal como lo estableció la Administración en las bases del llamado;  </w:t>
      </w:r>
    </w:p>
    <w:p w:rsidR="00F25715" w:rsidRDefault="00F25715" w:rsidP="00713FF8">
      <w:pPr>
        <w:pStyle w:val="Prrafodelista"/>
        <w:spacing w:line="360" w:lineRule="auto"/>
        <w:ind w:left="0" w:firstLine="720"/>
        <w:jc w:val="both"/>
      </w:pPr>
      <w:r>
        <w:rPr>
          <w:rFonts w:cs="Arial"/>
          <w:b/>
        </w:rPr>
        <w:t>1.3)</w:t>
      </w:r>
      <w:r>
        <w:t xml:space="preserve"> se constata una discordancia entre la oferta y la Resolución de adjudicación en lo que refiere al plazo de ejecución. En efecto, de acuerdo al </w:t>
      </w:r>
      <w:r w:rsidR="00713FF8">
        <w:t>l</w:t>
      </w:r>
      <w:r>
        <w:t>iteral E</w:t>
      </w:r>
      <w:r w:rsidR="00713FF8">
        <w:t>)</w:t>
      </w:r>
      <w:r>
        <w:t xml:space="preserve"> del </w:t>
      </w:r>
      <w:r w:rsidR="00713FF8">
        <w:t>a</w:t>
      </w:r>
      <w:r>
        <w:t xml:space="preserve">rtículo 11 de la Memoria Descriptiva, la empresa deberá especificar concretamente la cantidad de días hábiles de trabajo en los que se compromete a finalizar las tareas y la empresa adjudicataria lo establece en 100 días hábiles laborables, en tanto en la Resolución de adjudicación se establece el plazo de un año a partir de la firma del contrato, con opción a prórrogas anuales hasta un máximo de tres; </w:t>
      </w:r>
    </w:p>
    <w:p w:rsidR="00F25715" w:rsidRDefault="00F25715" w:rsidP="00C6107C">
      <w:pPr>
        <w:spacing w:line="360" w:lineRule="auto"/>
        <w:jc w:val="both"/>
      </w:pPr>
      <w:r>
        <w:t xml:space="preserve"> </w:t>
      </w:r>
      <w:r w:rsidR="001465B6">
        <w:t xml:space="preserve">                             </w:t>
      </w:r>
      <w:r w:rsidR="001465B6" w:rsidRPr="001465B6">
        <w:rPr>
          <w:b/>
        </w:rPr>
        <w:t xml:space="preserve"> </w:t>
      </w:r>
      <w:r w:rsidR="001465B6">
        <w:rPr>
          <w:b/>
        </w:rPr>
        <w:t xml:space="preserve">     </w:t>
      </w:r>
      <w:r w:rsidR="001465B6" w:rsidRPr="001465B6">
        <w:rPr>
          <w:b/>
        </w:rPr>
        <w:t>2)</w:t>
      </w:r>
      <w:r w:rsidR="001465B6">
        <w:t xml:space="preserve"> que e</w:t>
      </w:r>
      <w:r>
        <w:t xml:space="preserve">n </w:t>
      </w:r>
      <w:r w:rsidR="00713FF8">
        <w:t>esta</w:t>
      </w:r>
      <w:r>
        <w:t xml:space="preserve"> oportunidad</w:t>
      </w:r>
      <w:r w:rsidR="00713FF8">
        <w:t>,</w:t>
      </w:r>
      <w:r>
        <w:t xml:space="preserve"> la Administración remite </w:t>
      </w:r>
      <w:r w:rsidR="00A05CB9">
        <w:t xml:space="preserve">copia de </w:t>
      </w:r>
      <w:r>
        <w:t>Resolución Nº 153/18 de fecha 26 de diciembre de 2018, mediante la cual la Presidencia de la Comisión Administrativa del Poder Legislativo reitera el gasto  relativo a la Licitación Pública Nº 1/2018, esgrimiendo que no han sido interpuestos recursos administrativos contra la Resolución, con lo cual la misma ha quedado firme. Expresan que asiste razón al Órgano de Contralor, manifestando la Administración que tratándose de un contrato de obra, se irá a modificar la Resolución estableciendo la obligación de realizarla dentro del plazo de 100 días hábiles conforme lo ofertado por la empresa</w:t>
      </w:r>
      <w:r w:rsidR="00A05CB9">
        <w:t>;</w:t>
      </w:r>
    </w:p>
    <w:p w:rsidR="00A05CB9" w:rsidRPr="00A05CB9" w:rsidRDefault="00C6107C" w:rsidP="00C6107C">
      <w:pPr>
        <w:spacing w:line="360" w:lineRule="auto"/>
        <w:jc w:val="both"/>
      </w:pPr>
      <w:r>
        <w:tab/>
      </w:r>
      <w:r w:rsidR="00464584">
        <w:rPr>
          <w:b/>
          <w:bCs/>
        </w:rPr>
        <w:t xml:space="preserve">CONSIDERANDO: </w:t>
      </w:r>
      <w:r w:rsidR="00A05CB9">
        <w:rPr>
          <w:b/>
          <w:bCs/>
        </w:rPr>
        <w:t xml:space="preserve">1) </w:t>
      </w:r>
      <w:r w:rsidR="00A05CB9">
        <w:t xml:space="preserve">que la Administración </w:t>
      </w:r>
      <w:r w:rsidR="00713FF8">
        <w:t xml:space="preserve">expresa que </w:t>
      </w:r>
      <w:r w:rsidR="00A05CB9">
        <w:t>modifica</w:t>
      </w:r>
      <w:r w:rsidR="00713FF8">
        <w:t>rá</w:t>
      </w:r>
      <w:r w:rsidR="00A05CB9">
        <w:t xml:space="preserve"> la Resolución </w:t>
      </w:r>
      <w:r w:rsidR="00713FF8">
        <w:t xml:space="preserve">Nº 3271/18 de 18/10/18, </w:t>
      </w:r>
      <w:r w:rsidR="00A05CB9">
        <w:t xml:space="preserve">estableciendo la obligación de realizar la obra dentro del plazo de 100 días hábiles conforme lo ofertado por la empresa; </w:t>
      </w:r>
    </w:p>
    <w:p w:rsidR="000A6D0D" w:rsidRPr="000A6D0D" w:rsidRDefault="00A05CB9" w:rsidP="00C6107C">
      <w:pPr>
        <w:spacing w:line="360" w:lineRule="auto"/>
        <w:jc w:val="both"/>
      </w:pPr>
      <w:r>
        <w:rPr>
          <w:b/>
          <w:bCs/>
        </w:rPr>
        <w:t xml:space="preserve">                                               2) </w:t>
      </w:r>
      <w:r w:rsidR="000A6D0D">
        <w:t>que se mantiene</w:t>
      </w:r>
      <w:r>
        <w:t>n</w:t>
      </w:r>
      <w:r w:rsidR="000A6D0D">
        <w:t xml:space="preserve"> incambiada</w:t>
      </w:r>
      <w:r>
        <w:t>s</w:t>
      </w:r>
      <w:r w:rsidR="000A6D0D">
        <w:t xml:space="preserve"> </w:t>
      </w:r>
      <w:r>
        <w:t>el resto de las  razones</w:t>
      </w:r>
      <w:r w:rsidR="000A6D0D">
        <w:t xml:space="preserve"> por la</w:t>
      </w:r>
      <w:r>
        <w:t>s</w:t>
      </w:r>
      <w:r w:rsidR="000A6D0D">
        <w:t xml:space="preserve"> cual</w:t>
      </w:r>
      <w:r>
        <w:t>es</w:t>
      </w:r>
      <w:r w:rsidR="000A6D0D">
        <w:t xml:space="preserve"> se observó el gasto de referencia, no esgrimiéndose por parte de la Administración argumentos que ameriten su reconsideración y subsiguiente levantamiento;  </w:t>
      </w:r>
    </w:p>
    <w:p w:rsidR="00C6107C" w:rsidRDefault="005076E5" w:rsidP="005076E5">
      <w:pPr>
        <w:spacing w:line="360" w:lineRule="auto"/>
        <w:ind w:firstLine="708"/>
        <w:jc w:val="both"/>
      </w:pPr>
      <w:r>
        <w:rPr>
          <w:b/>
          <w:bCs/>
        </w:rPr>
        <w:t xml:space="preserve">    </w:t>
      </w:r>
      <w:r w:rsidR="00C6107C">
        <w:rPr>
          <w:b/>
          <w:bCs/>
        </w:rPr>
        <w:t>ATENTO:</w:t>
      </w:r>
      <w:r w:rsidR="00C6107C">
        <w:t xml:space="preserve"> a lo precedentemente expuesto</w:t>
      </w:r>
      <w:r w:rsidR="00713FF8">
        <w:t xml:space="preserve"> y a lo establecido por el artículo 211 literal B) de la Constitución de la República</w:t>
      </w:r>
      <w:r w:rsidR="00C6107C">
        <w:t xml:space="preserve">; </w:t>
      </w:r>
    </w:p>
    <w:p w:rsidR="00C6107C" w:rsidRDefault="00C6107C" w:rsidP="00C6107C">
      <w:pPr>
        <w:spacing w:line="360" w:lineRule="auto"/>
        <w:ind w:firstLine="708"/>
        <w:jc w:val="both"/>
      </w:pPr>
    </w:p>
    <w:p w:rsidR="00C6107C" w:rsidRDefault="00C6107C" w:rsidP="00C6107C">
      <w:pPr>
        <w:pStyle w:val="Ttulo1"/>
      </w:pPr>
      <w:r>
        <w:t>EL TRIBUNAL ACUERDA</w:t>
      </w:r>
    </w:p>
    <w:p w:rsidR="00082905" w:rsidRDefault="00082905" w:rsidP="00082905">
      <w:pPr>
        <w:spacing w:line="360" w:lineRule="auto"/>
        <w:rPr>
          <w:b/>
          <w:bCs/>
        </w:rPr>
      </w:pPr>
    </w:p>
    <w:p w:rsidR="00A05CB9" w:rsidRDefault="00713FF8" w:rsidP="000361E9">
      <w:pPr>
        <w:pStyle w:val="Prrafodelista"/>
        <w:numPr>
          <w:ilvl w:val="0"/>
          <w:numId w:val="7"/>
        </w:numPr>
        <w:spacing w:line="360" w:lineRule="auto"/>
        <w:ind w:left="284" w:hanging="284"/>
        <w:jc w:val="both"/>
      </w:pPr>
      <w:r>
        <w:lastRenderedPageBreak/>
        <w:t xml:space="preserve">Dictada la Resolución por el Ordenador competente, modificando el Resultando III </w:t>
      </w:r>
      <w:r w:rsidR="006630FC">
        <w:t>de la Resolución Nº 3271/18 de 18/10/2018, como se establece en el Considerando III de la Resolución remitida,</w:t>
      </w:r>
      <w:r w:rsidR="00BE0F7A">
        <w:t xml:space="preserve"> control que se comete al Contador Auditor,</w:t>
      </w:r>
      <w:r w:rsidR="006630FC">
        <w:t xml:space="preserve"> l</w:t>
      </w:r>
      <w:r w:rsidR="00A05CB9" w:rsidRPr="00A05CB9">
        <w:t>evantar la observación  que surge del Consid</w:t>
      </w:r>
      <w:r w:rsidR="00A05CB9">
        <w:t>e</w:t>
      </w:r>
      <w:r w:rsidR="00A05CB9" w:rsidRPr="00A05CB9">
        <w:t xml:space="preserve">rando 3) de la Resolución de </w:t>
      </w:r>
      <w:r w:rsidR="006630FC">
        <w:t xml:space="preserve">este Tribunal acordada en </w:t>
      </w:r>
      <w:r w:rsidR="00A05CB9" w:rsidRPr="00A05CB9">
        <w:t xml:space="preserve">Sesión de fecha 18 de octubre de 2018;  </w:t>
      </w:r>
      <w:r w:rsidR="00082905" w:rsidRPr="00A05CB9">
        <w:t xml:space="preserve">  </w:t>
      </w:r>
    </w:p>
    <w:p w:rsidR="00082905" w:rsidRPr="00A05CB9" w:rsidRDefault="00082905" w:rsidP="000361E9">
      <w:pPr>
        <w:pStyle w:val="Prrafodelista"/>
        <w:numPr>
          <w:ilvl w:val="0"/>
          <w:numId w:val="7"/>
        </w:numPr>
        <w:spacing w:line="360" w:lineRule="auto"/>
        <w:ind w:left="284" w:hanging="284"/>
        <w:jc w:val="both"/>
      </w:pPr>
      <w:r>
        <w:t xml:space="preserve">Mantener </w:t>
      </w:r>
      <w:r w:rsidR="00A05CB9">
        <w:t xml:space="preserve">las restantes observaciones </w:t>
      </w:r>
      <w:r>
        <w:t>formulada</w:t>
      </w:r>
      <w:r w:rsidR="006630FC">
        <w:t>s</w:t>
      </w:r>
      <w:r>
        <w:t xml:space="preserve"> </w:t>
      </w:r>
      <w:r w:rsidR="006630FC">
        <w:t>en acuerdo de</w:t>
      </w:r>
      <w:r w:rsidR="00A05CB9">
        <w:rPr>
          <w:lang w:val="es-UY"/>
        </w:rPr>
        <w:t xml:space="preserve"> fecha 18 de octubre</w:t>
      </w:r>
      <w:r w:rsidRPr="00A05CB9">
        <w:rPr>
          <w:lang w:val="es-UY"/>
        </w:rPr>
        <w:t xml:space="preserve"> de 201</w:t>
      </w:r>
      <w:r w:rsidR="00A05CB9">
        <w:rPr>
          <w:lang w:val="es-UY"/>
        </w:rPr>
        <w:t>8</w:t>
      </w:r>
      <w:r w:rsidR="006630FC">
        <w:rPr>
          <w:lang w:val="es-UY"/>
        </w:rPr>
        <w:t>;</w:t>
      </w:r>
    </w:p>
    <w:p w:rsidR="00082905" w:rsidRDefault="000361E9" w:rsidP="000361E9">
      <w:pPr>
        <w:spacing w:line="360" w:lineRule="auto"/>
        <w:ind w:left="284" w:hanging="284"/>
        <w:jc w:val="both"/>
      </w:pPr>
      <w:r>
        <w:rPr>
          <w:b/>
        </w:rPr>
        <w:t xml:space="preserve">3) </w:t>
      </w:r>
      <w:r w:rsidR="006630FC">
        <w:rPr>
          <w:b/>
        </w:rPr>
        <w:t xml:space="preserve"> </w:t>
      </w:r>
      <w:r w:rsidR="006630FC" w:rsidRPr="006630FC">
        <w:t>D</w:t>
      </w:r>
      <w:r w:rsidR="00082905">
        <w:t>ar cuenta a la Asamblea General</w:t>
      </w:r>
      <w:r w:rsidR="006630FC">
        <w:t>;</w:t>
      </w:r>
    </w:p>
    <w:p w:rsidR="006630FC" w:rsidRDefault="006630FC" w:rsidP="000361E9">
      <w:pPr>
        <w:spacing w:line="360" w:lineRule="auto"/>
        <w:ind w:left="284" w:hanging="284"/>
        <w:jc w:val="both"/>
      </w:pPr>
      <w:r>
        <w:rPr>
          <w:b/>
        </w:rPr>
        <w:t>4</w:t>
      </w:r>
      <w:r w:rsidR="000361E9">
        <w:rPr>
          <w:b/>
        </w:rPr>
        <w:t>)</w:t>
      </w:r>
      <w:r>
        <w:t xml:space="preserve"> </w:t>
      </w:r>
      <w:r w:rsidR="000361E9">
        <w:t>Comunicar</w:t>
      </w:r>
      <w:r>
        <w:t xml:space="preserve"> al Contador Auditor;</w:t>
      </w:r>
    </w:p>
    <w:p w:rsidR="00C6107C" w:rsidRDefault="006630FC" w:rsidP="000361E9">
      <w:pPr>
        <w:spacing w:line="360" w:lineRule="auto"/>
        <w:ind w:left="284" w:hanging="284"/>
        <w:jc w:val="both"/>
      </w:pPr>
      <w:r>
        <w:rPr>
          <w:b/>
          <w:bCs/>
        </w:rPr>
        <w:t>5</w:t>
      </w:r>
      <w:r w:rsidR="000361E9">
        <w:rPr>
          <w:b/>
          <w:bCs/>
        </w:rPr>
        <w:t xml:space="preserve">) </w:t>
      </w:r>
      <w:r w:rsidR="0068513A">
        <w:t xml:space="preserve">Devolver </w:t>
      </w:r>
      <w:r w:rsidR="00082905">
        <w:t xml:space="preserve"> a</w:t>
      </w:r>
      <w:r w:rsidR="000361E9">
        <w:t>l Poder Legislativo.</w:t>
      </w:r>
    </w:p>
    <w:p w:rsidR="000361E9" w:rsidRPr="000361E9" w:rsidRDefault="000361E9" w:rsidP="000361E9">
      <w:pPr>
        <w:spacing w:line="360" w:lineRule="auto"/>
        <w:ind w:left="284" w:hanging="284"/>
        <w:jc w:val="both"/>
        <w:rPr>
          <w:sz w:val="20"/>
          <w:szCs w:val="20"/>
        </w:rPr>
      </w:pPr>
      <w:r>
        <w:rPr>
          <w:b/>
          <w:bCs/>
          <w:sz w:val="20"/>
          <w:szCs w:val="20"/>
        </w:rPr>
        <w:t>CLC</w:t>
      </w:r>
    </w:p>
    <w:p w:rsidR="00C6107C" w:rsidRDefault="00C6107C" w:rsidP="000361E9">
      <w:pPr>
        <w:spacing w:line="360" w:lineRule="auto"/>
        <w:ind w:left="284" w:hanging="284"/>
        <w:jc w:val="both"/>
      </w:pPr>
    </w:p>
    <w:p w:rsidR="00CD100A" w:rsidRDefault="00CD100A" w:rsidP="000361E9">
      <w:pPr>
        <w:spacing w:line="360" w:lineRule="auto"/>
        <w:ind w:left="284" w:hanging="284"/>
        <w:jc w:val="both"/>
      </w:pPr>
    </w:p>
    <w:p w:rsidR="00CD100A" w:rsidRDefault="00CD100A" w:rsidP="000361E9">
      <w:pPr>
        <w:spacing w:line="360" w:lineRule="auto"/>
        <w:ind w:left="284" w:hanging="284"/>
        <w:jc w:val="both"/>
      </w:pPr>
    </w:p>
    <w:p w:rsidR="00944024" w:rsidRDefault="00944024" w:rsidP="000361E9">
      <w:pPr>
        <w:spacing w:line="360" w:lineRule="auto"/>
        <w:ind w:left="284" w:hanging="284"/>
        <w:jc w:val="both"/>
      </w:pPr>
    </w:p>
    <w:p w:rsidR="00CD100A" w:rsidRDefault="00CD100A" w:rsidP="000361E9">
      <w:pPr>
        <w:spacing w:line="360" w:lineRule="auto"/>
        <w:ind w:left="284" w:hanging="284"/>
        <w:jc w:val="both"/>
      </w:pPr>
    </w:p>
    <w:p w:rsidR="00944024" w:rsidRPr="00944024" w:rsidRDefault="00F55927" w:rsidP="00944024">
      <w:pPr>
        <w:spacing w:line="360" w:lineRule="auto"/>
        <w:jc w:val="both"/>
        <w:rPr>
          <w:rFonts w:cs="Arial"/>
        </w:rPr>
      </w:pPr>
      <w:r w:rsidRPr="00E9382D">
        <w:rPr>
          <w:rFonts w:cs="Arial"/>
          <w:b/>
          <w:lang w:val="es-UY"/>
        </w:rPr>
        <w:t>CON</w:t>
      </w:r>
      <w:r>
        <w:rPr>
          <w:rFonts w:cs="Arial"/>
          <w:b/>
          <w:lang w:val="es-UY"/>
        </w:rPr>
        <w:t>S</w:t>
      </w:r>
      <w:r w:rsidRPr="00E9382D">
        <w:rPr>
          <w:rFonts w:cs="Arial"/>
          <w:b/>
          <w:lang w:val="es-UY"/>
        </w:rPr>
        <w:t xml:space="preserve">TANCIA DE FUNDAMENTO DE VOTO </w:t>
      </w:r>
      <w:r>
        <w:rPr>
          <w:rFonts w:cs="Arial"/>
          <w:b/>
          <w:lang w:val="es-UY"/>
        </w:rPr>
        <w:t>DISCORDE</w:t>
      </w:r>
      <w:r w:rsidRPr="00E9382D">
        <w:rPr>
          <w:rFonts w:cs="Arial"/>
          <w:b/>
          <w:lang w:val="es-UY"/>
        </w:rPr>
        <w:t xml:space="preserve"> DE</w:t>
      </w:r>
      <w:r>
        <w:rPr>
          <w:rFonts w:cs="Arial"/>
          <w:b/>
          <w:lang w:val="es-UY"/>
        </w:rPr>
        <w:t xml:space="preserve"> </w:t>
      </w:r>
      <w:r w:rsidRPr="00E9382D">
        <w:rPr>
          <w:rFonts w:cs="Arial"/>
          <w:b/>
          <w:lang w:val="es-UY"/>
        </w:rPr>
        <w:t>L</w:t>
      </w:r>
      <w:r>
        <w:rPr>
          <w:rFonts w:cs="Arial"/>
          <w:b/>
          <w:lang w:val="es-UY"/>
        </w:rPr>
        <w:t>A</w:t>
      </w:r>
      <w:r w:rsidRPr="00E9382D">
        <w:rPr>
          <w:rFonts w:cs="Arial"/>
          <w:b/>
          <w:lang w:val="es-UY"/>
        </w:rPr>
        <w:t xml:space="preserve"> PRESIDENT</w:t>
      </w:r>
      <w:r>
        <w:rPr>
          <w:rFonts w:cs="Arial"/>
          <w:b/>
          <w:lang w:val="es-UY"/>
        </w:rPr>
        <w:t>E</w:t>
      </w:r>
      <w:r w:rsidRPr="00E9382D">
        <w:rPr>
          <w:rFonts w:cs="Arial"/>
          <w:b/>
          <w:lang w:val="es-UY"/>
        </w:rPr>
        <w:t xml:space="preserve"> </w:t>
      </w:r>
      <w:r>
        <w:rPr>
          <w:rFonts w:cs="Arial"/>
          <w:b/>
          <w:lang w:val="es-UY"/>
        </w:rPr>
        <w:t xml:space="preserve">      CRA. SUSANA DÍAZ</w:t>
      </w:r>
      <w:r w:rsidRPr="00E9382D">
        <w:rPr>
          <w:rFonts w:cs="Arial"/>
          <w:b/>
          <w:lang w:val="es-UY"/>
        </w:rPr>
        <w:t xml:space="preserve">: </w:t>
      </w:r>
      <w:r>
        <w:rPr>
          <w:rFonts w:cs="Arial"/>
          <w:b/>
          <w:lang w:val="es-UY"/>
        </w:rPr>
        <w:t>“</w:t>
      </w:r>
      <w:r w:rsidR="00944024" w:rsidRPr="00944024">
        <w:rPr>
          <w:rFonts w:cs="Arial"/>
        </w:rPr>
        <w:t xml:space="preserve">Si bien se comparte el levantamiento de la observación relativa al plazo de contratación, no se acompaña el mantenimiento de las restantes observaciones sugeridas por los Servicios (manifestadas las discrepancias en la fundamentación en oportunidad del voto Discorde asunto 1.1.9 Sesión de 18/10/18), dado que si bien la Comisión Administradora no dio fiel cumplimiento a lo establecido en el artículo 18 del Pliego, situación que fuera observada por la empresa que a la postre resultó adjudicataria, se entiende que la resolución tomada deberá ser tenida en cuenta en futuras oportunidades, si bien en el caso específico no modifica el resultado de la Licitación, los cuestionamientos  realizados fueron tenidos en cuenta por lo que el resultado final  no se contrapone con los extremos que el TOCAF/012 preserva. </w:t>
      </w:r>
    </w:p>
    <w:p w:rsidR="00F55927" w:rsidRPr="00FB4277" w:rsidRDefault="00944024" w:rsidP="00D71A3A">
      <w:pPr>
        <w:spacing w:line="360" w:lineRule="auto"/>
        <w:jc w:val="both"/>
        <w:rPr>
          <w:rFonts w:cs="Arial"/>
          <w:lang w:val="es-UY"/>
        </w:rPr>
      </w:pPr>
      <w:r w:rsidRPr="00944024">
        <w:rPr>
          <w:rFonts w:cs="Arial"/>
        </w:rPr>
        <w:t>Por lo expuesto, quien suscribe no ha votado el Oficio de referencia.</w:t>
      </w:r>
      <w:r>
        <w:rPr>
          <w:rFonts w:cs="Arial"/>
        </w:rPr>
        <w:t>”</w:t>
      </w:r>
    </w:p>
    <w:sectPr w:rsidR="00F55927" w:rsidRPr="00FB4277" w:rsidSect="00AD12E6">
      <w:footerReference w:type="even" r:id="rId9"/>
      <w:footerReference w:type="default" r:id="rId10"/>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40A" w:rsidRDefault="0020040A">
      <w:r>
        <w:separator/>
      </w:r>
    </w:p>
  </w:endnote>
  <w:endnote w:type="continuationSeparator" w:id="0">
    <w:p w:rsidR="0020040A" w:rsidRDefault="00200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FF8" w:rsidRDefault="00713FF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713FF8" w:rsidRDefault="00713FF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FF8" w:rsidRDefault="00713FF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632EE">
      <w:rPr>
        <w:rStyle w:val="Nmerodepgina"/>
        <w:noProof/>
      </w:rPr>
      <w:t>1</w:t>
    </w:r>
    <w:r>
      <w:rPr>
        <w:rStyle w:val="Nmerodepgina"/>
      </w:rPr>
      <w:fldChar w:fldCharType="end"/>
    </w:r>
  </w:p>
  <w:p w:rsidR="00713FF8" w:rsidRDefault="00713F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40A" w:rsidRDefault="0020040A">
      <w:r>
        <w:separator/>
      </w:r>
    </w:p>
  </w:footnote>
  <w:footnote w:type="continuationSeparator" w:id="0">
    <w:p w:rsidR="0020040A" w:rsidRDefault="002004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72864"/>
    <w:multiLevelType w:val="hybridMultilevel"/>
    <w:tmpl w:val="39EEB342"/>
    <w:lvl w:ilvl="0" w:tplc="BB4CEEC2">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nsid w:val="15E7621A"/>
    <w:multiLevelType w:val="hybridMultilevel"/>
    <w:tmpl w:val="090094A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15E57E6"/>
    <w:multiLevelType w:val="hybridMultilevel"/>
    <w:tmpl w:val="A3022E1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51C51B1"/>
    <w:multiLevelType w:val="hybridMultilevel"/>
    <w:tmpl w:val="7C6CCF0E"/>
    <w:lvl w:ilvl="0" w:tplc="0CB26B6E">
      <w:start w:val="1"/>
      <w:numFmt w:val="decimal"/>
      <w:lvlText w:val="%1)"/>
      <w:lvlJc w:val="left"/>
      <w:pPr>
        <w:ind w:left="1068" w:hanging="360"/>
      </w:pPr>
      <w:rPr>
        <w:rFonts w:ascii="Arial" w:eastAsia="Times New Roman" w:hAnsi="Arial" w:cs="Times New Roman"/>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nsid w:val="737D6236"/>
    <w:multiLevelType w:val="hybridMultilevel"/>
    <w:tmpl w:val="F25C6FD6"/>
    <w:lvl w:ilvl="0" w:tplc="0C0A0001">
      <w:start w:val="1"/>
      <w:numFmt w:val="bullet"/>
      <w:lvlText w:val=""/>
      <w:lvlJc w:val="left"/>
      <w:pPr>
        <w:tabs>
          <w:tab w:val="num" w:pos="360"/>
        </w:tabs>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nsid w:val="76DF2189"/>
    <w:multiLevelType w:val="hybridMultilevel"/>
    <w:tmpl w:val="9C34E03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4"/>
  </w:num>
  <w:num w:numId="4">
    <w:abstractNumId w:val="1"/>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8E4"/>
    <w:rsid w:val="000361E9"/>
    <w:rsid w:val="00071CAA"/>
    <w:rsid w:val="00082905"/>
    <w:rsid w:val="000A6D0D"/>
    <w:rsid w:val="00131035"/>
    <w:rsid w:val="00142088"/>
    <w:rsid w:val="001465B6"/>
    <w:rsid w:val="00161639"/>
    <w:rsid w:val="001858E4"/>
    <w:rsid w:val="001A1AA7"/>
    <w:rsid w:val="0020040A"/>
    <w:rsid w:val="002868CE"/>
    <w:rsid w:val="00303EF4"/>
    <w:rsid w:val="0031224B"/>
    <w:rsid w:val="003628E8"/>
    <w:rsid w:val="00373343"/>
    <w:rsid w:val="003E61A4"/>
    <w:rsid w:val="00464584"/>
    <w:rsid w:val="00490B79"/>
    <w:rsid w:val="005076E5"/>
    <w:rsid w:val="005355C5"/>
    <w:rsid w:val="0054030C"/>
    <w:rsid w:val="00567024"/>
    <w:rsid w:val="005F71AA"/>
    <w:rsid w:val="006630FC"/>
    <w:rsid w:val="0068513A"/>
    <w:rsid w:val="00690982"/>
    <w:rsid w:val="00713FF8"/>
    <w:rsid w:val="007978D2"/>
    <w:rsid w:val="007D5096"/>
    <w:rsid w:val="007F3703"/>
    <w:rsid w:val="00841AD4"/>
    <w:rsid w:val="00854794"/>
    <w:rsid w:val="008632EE"/>
    <w:rsid w:val="008C0344"/>
    <w:rsid w:val="008E0C36"/>
    <w:rsid w:val="008E4DEF"/>
    <w:rsid w:val="00944024"/>
    <w:rsid w:val="00957542"/>
    <w:rsid w:val="0098336A"/>
    <w:rsid w:val="009A1922"/>
    <w:rsid w:val="009A1E35"/>
    <w:rsid w:val="00A05CB9"/>
    <w:rsid w:val="00A211DE"/>
    <w:rsid w:val="00A23B64"/>
    <w:rsid w:val="00AD12E6"/>
    <w:rsid w:val="00AD6BAD"/>
    <w:rsid w:val="00AE1BDE"/>
    <w:rsid w:val="00B233FF"/>
    <w:rsid w:val="00B7146C"/>
    <w:rsid w:val="00BB7FE9"/>
    <w:rsid w:val="00BC68DF"/>
    <w:rsid w:val="00BE0F7A"/>
    <w:rsid w:val="00C35143"/>
    <w:rsid w:val="00C6107C"/>
    <w:rsid w:val="00CA068F"/>
    <w:rsid w:val="00CC3AB4"/>
    <w:rsid w:val="00CD100A"/>
    <w:rsid w:val="00D843F8"/>
    <w:rsid w:val="00DA0E64"/>
    <w:rsid w:val="00DA4C44"/>
    <w:rsid w:val="00DB70C7"/>
    <w:rsid w:val="00DC3BB1"/>
    <w:rsid w:val="00DC49DB"/>
    <w:rsid w:val="00DC7030"/>
    <w:rsid w:val="00E01806"/>
    <w:rsid w:val="00E305C1"/>
    <w:rsid w:val="00F25715"/>
    <w:rsid w:val="00F34468"/>
    <w:rsid w:val="00F55927"/>
    <w:rsid w:val="00F66DEE"/>
    <w:rsid w:val="00FB55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07C"/>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C6107C"/>
    <w:pPr>
      <w:keepNext/>
      <w:spacing w:line="360" w:lineRule="auto"/>
      <w:ind w:firstLine="708"/>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6107C"/>
    <w:rPr>
      <w:rFonts w:ascii="Arial" w:eastAsia="Times New Roman" w:hAnsi="Arial" w:cs="Times New Roman"/>
      <w:b/>
      <w:bCs/>
      <w:sz w:val="24"/>
      <w:szCs w:val="24"/>
      <w:lang w:eastAsia="es-ES"/>
    </w:rPr>
  </w:style>
  <w:style w:type="paragraph" w:styleId="Textoindependiente">
    <w:name w:val="Body Text"/>
    <w:basedOn w:val="Normal"/>
    <w:link w:val="TextoindependienteCar"/>
    <w:semiHidden/>
    <w:rsid w:val="00C6107C"/>
    <w:pPr>
      <w:spacing w:line="360" w:lineRule="auto"/>
      <w:jc w:val="both"/>
    </w:pPr>
  </w:style>
  <w:style w:type="character" w:customStyle="1" w:styleId="TextoindependienteCar">
    <w:name w:val="Texto independiente Car"/>
    <w:basedOn w:val="Fuentedeprrafopredeter"/>
    <w:link w:val="Textoindependiente"/>
    <w:semiHidden/>
    <w:rsid w:val="00C6107C"/>
    <w:rPr>
      <w:rFonts w:ascii="Arial" w:eastAsia="Times New Roman" w:hAnsi="Arial" w:cs="Times New Roman"/>
      <w:sz w:val="24"/>
      <w:szCs w:val="24"/>
      <w:lang w:eastAsia="es-ES"/>
    </w:rPr>
  </w:style>
  <w:style w:type="paragraph" w:styleId="Piedepgina">
    <w:name w:val="footer"/>
    <w:basedOn w:val="Normal"/>
    <w:link w:val="PiedepginaCar"/>
    <w:semiHidden/>
    <w:rsid w:val="00C6107C"/>
    <w:pPr>
      <w:tabs>
        <w:tab w:val="center" w:pos="4252"/>
        <w:tab w:val="right" w:pos="8504"/>
      </w:tabs>
    </w:pPr>
  </w:style>
  <w:style w:type="character" w:customStyle="1" w:styleId="PiedepginaCar">
    <w:name w:val="Pie de página Car"/>
    <w:basedOn w:val="Fuentedeprrafopredeter"/>
    <w:link w:val="Piedepgina"/>
    <w:semiHidden/>
    <w:rsid w:val="00C6107C"/>
    <w:rPr>
      <w:rFonts w:ascii="Arial" w:eastAsia="Times New Roman" w:hAnsi="Arial" w:cs="Times New Roman"/>
      <w:sz w:val="24"/>
      <w:szCs w:val="24"/>
      <w:lang w:eastAsia="es-ES"/>
    </w:rPr>
  </w:style>
  <w:style w:type="character" w:styleId="Nmerodepgina">
    <w:name w:val="page number"/>
    <w:basedOn w:val="Fuentedeprrafopredeter"/>
    <w:semiHidden/>
    <w:rsid w:val="00C6107C"/>
  </w:style>
  <w:style w:type="paragraph" w:styleId="Sangradetextonormal">
    <w:name w:val="Body Text Indent"/>
    <w:basedOn w:val="Normal"/>
    <w:link w:val="SangradetextonormalCar"/>
    <w:semiHidden/>
    <w:rsid w:val="00C6107C"/>
    <w:pPr>
      <w:spacing w:line="360" w:lineRule="auto"/>
      <w:ind w:left="360"/>
      <w:jc w:val="both"/>
    </w:pPr>
    <w:rPr>
      <w:i/>
      <w:iCs/>
    </w:rPr>
  </w:style>
  <w:style w:type="character" w:customStyle="1" w:styleId="SangradetextonormalCar">
    <w:name w:val="Sangría de texto normal Car"/>
    <w:basedOn w:val="Fuentedeprrafopredeter"/>
    <w:link w:val="Sangradetextonormal"/>
    <w:semiHidden/>
    <w:rsid w:val="00C6107C"/>
    <w:rPr>
      <w:rFonts w:ascii="Arial" w:eastAsia="Times New Roman" w:hAnsi="Arial" w:cs="Times New Roman"/>
      <w:i/>
      <w:iCs/>
      <w:sz w:val="24"/>
      <w:szCs w:val="24"/>
      <w:lang w:eastAsia="es-ES"/>
    </w:rPr>
  </w:style>
  <w:style w:type="paragraph" w:styleId="Textoindependiente2">
    <w:name w:val="Body Text 2"/>
    <w:basedOn w:val="Normal"/>
    <w:link w:val="Textoindependiente2Car"/>
    <w:semiHidden/>
    <w:rsid w:val="00C6107C"/>
    <w:pPr>
      <w:spacing w:line="360" w:lineRule="auto"/>
      <w:jc w:val="center"/>
    </w:pPr>
    <w:rPr>
      <w:b/>
      <w:bCs/>
      <w:i/>
      <w:iCs/>
      <w:u w:val="single"/>
    </w:rPr>
  </w:style>
  <w:style w:type="character" w:customStyle="1" w:styleId="Textoindependiente2Car">
    <w:name w:val="Texto independiente 2 Car"/>
    <w:basedOn w:val="Fuentedeprrafopredeter"/>
    <w:link w:val="Textoindependiente2"/>
    <w:semiHidden/>
    <w:rsid w:val="00C6107C"/>
    <w:rPr>
      <w:rFonts w:ascii="Arial" w:eastAsia="Times New Roman" w:hAnsi="Arial" w:cs="Times New Roman"/>
      <w:b/>
      <w:bCs/>
      <w:i/>
      <w:iCs/>
      <w:sz w:val="24"/>
      <w:szCs w:val="24"/>
      <w:u w:val="single"/>
      <w:lang w:eastAsia="es-ES"/>
    </w:rPr>
  </w:style>
  <w:style w:type="paragraph" w:styleId="Sangra2detindependiente">
    <w:name w:val="Body Text Indent 2"/>
    <w:basedOn w:val="Normal"/>
    <w:link w:val="Sangra2detindependienteCar"/>
    <w:semiHidden/>
    <w:rsid w:val="00C6107C"/>
    <w:pPr>
      <w:spacing w:line="360" w:lineRule="auto"/>
      <w:ind w:left="360"/>
      <w:jc w:val="both"/>
    </w:pPr>
  </w:style>
  <w:style w:type="character" w:customStyle="1" w:styleId="Sangra2detindependienteCar">
    <w:name w:val="Sangría 2 de t. independiente Car"/>
    <w:basedOn w:val="Fuentedeprrafopredeter"/>
    <w:link w:val="Sangra2detindependiente"/>
    <w:semiHidden/>
    <w:rsid w:val="00C6107C"/>
    <w:rPr>
      <w:rFonts w:ascii="Arial" w:eastAsia="Times New Roman" w:hAnsi="Arial" w:cs="Times New Roman"/>
      <w:sz w:val="24"/>
      <w:szCs w:val="24"/>
      <w:lang w:eastAsia="es-ES"/>
    </w:rPr>
  </w:style>
  <w:style w:type="paragraph" w:styleId="Ttulo">
    <w:name w:val="Title"/>
    <w:basedOn w:val="Normal"/>
    <w:link w:val="TtuloCar"/>
    <w:qFormat/>
    <w:rsid w:val="00CA068F"/>
    <w:pPr>
      <w:spacing w:line="360" w:lineRule="auto"/>
      <w:jc w:val="center"/>
    </w:pPr>
    <w:rPr>
      <w:b/>
      <w:u w:val="single"/>
      <w:lang w:val="es-UY"/>
    </w:rPr>
  </w:style>
  <w:style w:type="character" w:customStyle="1" w:styleId="TtuloCar">
    <w:name w:val="Título Car"/>
    <w:basedOn w:val="Fuentedeprrafopredeter"/>
    <w:link w:val="Ttulo"/>
    <w:rsid w:val="00CA068F"/>
    <w:rPr>
      <w:rFonts w:ascii="Arial" w:eastAsia="Times New Roman" w:hAnsi="Arial" w:cs="Times New Roman"/>
      <w:b/>
      <w:sz w:val="24"/>
      <w:szCs w:val="24"/>
      <w:u w:val="single"/>
      <w:lang w:val="es-UY" w:eastAsia="es-ES"/>
    </w:rPr>
  </w:style>
  <w:style w:type="paragraph" w:styleId="Prrafodelista">
    <w:name w:val="List Paragraph"/>
    <w:basedOn w:val="Normal"/>
    <w:uiPriority w:val="34"/>
    <w:qFormat/>
    <w:rsid w:val="00FB55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07C"/>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C6107C"/>
    <w:pPr>
      <w:keepNext/>
      <w:spacing w:line="360" w:lineRule="auto"/>
      <w:ind w:firstLine="708"/>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6107C"/>
    <w:rPr>
      <w:rFonts w:ascii="Arial" w:eastAsia="Times New Roman" w:hAnsi="Arial" w:cs="Times New Roman"/>
      <w:b/>
      <w:bCs/>
      <w:sz w:val="24"/>
      <w:szCs w:val="24"/>
      <w:lang w:eastAsia="es-ES"/>
    </w:rPr>
  </w:style>
  <w:style w:type="paragraph" w:styleId="Textoindependiente">
    <w:name w:val="Body Text"/>
    <w:basedOn w:val="Normal"/>
    <w:link w:val="TextoindependienteCar"/>
    <w:semiHidden/>
    <w:rsid w:val="00C6107C"/>
    <w:pPr>
      <w:spacing w:line="360" w:lineRule="auto"/>
      <w:jc w:val="both"/>
    </w:pPr>
  </w:style>
  <w:style w:type="character" w:customStyle="1" w:styleId="TextoindependienteCar">
    <w:name w:val="Texto independiente Car"/>
    <w:basedOn w:val="Fuentedeprrafopredeter"/>
    <w:link w:val="Textoindependiente"/>
    <w:semiHidden/>
    <w:rsid w:val="00C6107C"/>
    <w:rPr>
      <w:rFonts w:ascii="Arial" w:eastAsia="Times New Roman" w:hAnsi="Arial" w:cs="Times New Roman"/>
      <w:sz w:val="24"/>
      <w:szCs w:val="24"/>
      <w:lang w:eastAsia="es-ES"/>
    </w:rPr>
  </w:style>
  <w:style w:type="paragraph" w:styleId="Piedepgina">
    <w:name w:val="footer"/>
    <w:basedOn w:val="Normal"/>
    <w:link w:val="PiedepginaCar"/>
    <w:semiHidden/>
    <w:rsid w:val="00C6107C"/>
    <w:pPr>
      <w:tabs>
        <w:tab w:val="center" w:pos="4252"/>
        <w:tab w:val="right" w:pos="8504"/>
      </w:tabs>
    </w:pPr>
  </w:style>
  <w:style w:type="character" w:customStyle="1" w:styleId="PiedepginaCar">
    <w:name w:val="Pie de página Car"/>
    <w:basedOn w:val="Fuentedeprrafopredeter"/>
    <w:link w:val="Piedepgina"/>
    <w:semiHidden/>
    <w:rsid w:val="00C6107C"/>
    <w:rPr>
      <w:rFonts w:ascii="Arial" w:eastAsia="Times New Roman" w:hAnsi="Arial" w:cs="Times New Roman"/>
      <w:sz w:val="24"/>
      <w:szCs w:val="24"/>
      <w:lang w:eastAsia="es-ES"/>
    </w:rPr>
  </w:style>
  <w:style w:type="character" w:styleId="Nmerodepgina">
    <w:name w:val="page number"/>
    <w:basedOn w:val="Fuentedeprrafopredeter"/>
    <w:semiHidden/>
    <w:rsid w:val="00C6107C"/>
  </w:style>
  <w:style w:type="paragraph" w:styleId="Sangradetextonormal">
    <w:name w:val="Body Text Indent"/>
    <w:basedOn w:val="Normal"/>
    <w:link w:val="SangradetextonormalCar"/>
    <w:semiHidden/>
    <w:rsid w:val="00C6107C"/>
    <w:pPr>
      <w:spacing w:line="360" w:lineRule="auto"/>
      <w:ind w:left="360"/>
      <w:jc w:val="both"/>
    </w:pPr>
    <w:rPr>
      <w:i/>
      <w:iCs/>
    </w:rPr>
  </w:style>
  <w:style w:type="character" w:customStyle="1" w:styleId="SangradetextonormalCar">
    <w:name w:val="Sangría de texto normal Car"/>
    <w:basedOn w:val="Fuentedeprrafopredeter"/>
    <w:link w:val="Sangradetextonormal"/>
    <w:semiHidden/>
    <w:rsid w:val="00C6107C"/>
    <w:rPr>
      <w:rFonts w:ascii="Arial" w:eastAsia="Times New Roman" w:hAnsi="Arial" w:cs="Times New Roman"/>
      <w:i/>
      <w:iCs/>
      <w:sz w:val="24"/>
      <w:szCs w:val="24"/>
      <w:lang w:eastAsia="es-ES"/>
    </w:rPr>
  </w:style>
  <w:style w:type="paragraph" w:styleId="Textoindependiente2">
    <w:name w:val="Body Text 2"/>
    <w:basedOn w:val="Normal"/>
    <w:link w:val="Textoindependiente2Car"/>
    <w:semiHidden/>
    <w:rsid w:val="00C6107C"/>
    <w:pPr>
      <w:spacing w:line="360" w:lineRule="auto"/>
      <w:jc w:val="center"/>
    </w:pPr>
    <w:rPr>
      <w:b/>
      <w:bCs/>
      <w:i/>
      <w:iCs/>
      <w:u w:val="single"/>
    </w:rPr>
  </w:style>
  <w:style w:type="character" w:customStyle="1" w:styleId="Textoindependiente2Car">
    <w:name w:val="Texto independiente 2 Car"/>
    <w:basedOn w:val="Fuentedeprrafopredeter"/>
    <w:link w:val="Textoindependiente2"/>
    <w:semiHidden/>
    <w:rsid w:val="00C6107C"/>
    <w:rPr>
      <w:rFonts w:ascii="Arial" w:eastAsia="Times New Roman" w:hAnsi="Arial" w:cs="Times New Roman"/>
      <w:b/>
      <w:bCs/>
      <w:i/>
      <w:iCs/>
      <w:sz w:val="24"/>
      <w:szCs w:val="24"/>
      <w:u w:val="single"/>
      <w:lang w:eastAsia="es-ES"/>
    </w:rPr>
  </w:style>
  <w:style w:type="paragraph" w:styleId="Sangra2detindependiente">
    <w:name w:val="Body Text Indent 2"/>
    <w:basedOn w:val="Normal"/>
    <w:link w:val="Sangra2detindependienteCar"/>
    <w:semiHidden/>
    <w:rsid w:val="00C6107C"/>
    <w:pPr>
      <w:spacing w:line="360" w:lineRule="auto"/>
      <w:ind w:left="360"/>
      <w:jc w:val="both"/>
    </w:pPr>
  </w:style>
  <w:style w:type="character" w:customStyle="1" w:styleId="Sangra2detindependienteCar">
    <w:name w:val="Sangría 2 de t. independiente Car"/>
    <w:basedOn w:val="Fuentedeprrafopredeter"/>
    <w:link w:val="Sangra2detindependiente"/>
    <w:semiHidden/>
    <w:rsid w:val="00C6107C"/>
    <w:rPr>
      <w:rFonts w:ascii="Arial" w:eastAsia="Times New Roman" w:hAnsi="Arial" w:cs="Times New Roman"/>
      <w:sz w:val="24"/>
      <w:szCs w:val="24"/>
      <w:lang w:eastAsia="es-ES"/>
    </w:rPr>
  </w:style>
  <w:style w:type="paragraph" w:styleId="Ttulo">
    <w:name w:val="Title"/>
    <w:basedOn w:val="Normal"/>
    <w:link w:val="TtuloCar"/>
    <w:qFormat/>
    <w:rsid w:val="00CA068F"/>
    <w:pPr>
      <w:spacing w:line="360" w:lineRule="auto"/>
      <w:jc w:val="center"/>
    </w:pPr>
    <w:rPr>
      <w:b/>
      <w:u w:val="single"/>
      <w:lang w:val="es-UY"/>
    </w:rPr>
  </w:style>
  <w:style w:type="character" w:customStyle="1" w:styleId="TtuloCar">
    <w:name w:val="Título Car"/>
    <w:basedOn w:val="Fuentedeprrafopredeter"/>
    <w:link w:val="Ttulo"/>
    <w:rsid w:val="00CA068F"/>
    <w:rPr>
      <w:rFonts w:ascii="Arial" w:eastAsia="Times New Roman" w:hAnsi="Arial" w:cs="Times New Roman"/>
      <w:b/>
      <w:sz w:val="24"/>
      <w:szCs w:val="24"/>
      <w:u w:val="single"/>
      <w:lang w:val="es-UY" w:eastAsia="es-ES"/>
    </w:rPr>
  </w:style>
  <w:style w:type="paragraph" w:styleId="Prrafodelista">
    <w:name w:val="List Paragraph"/>
    <w:basedOn w:val="Normal"/>
    <w:uiPriority w:val="34"/>
    <w:qFormat/>
    <w:rsid w:val="00FB55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57B75-10D4-423C-ABB5-40325C738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771</Words>
  <Characters>4246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MARIZA GONZALEZ PADILLA</dc:creator>
  <cp:lastModifiedBy>tribunal1</cp:lastModifiedBy>
  <cp:revision>2</cp:revision>
  <cp:lastPrinted>2019-01-29T18:42:00Z</cp:lastPrinted>
  <dcterms:created xsi:type="dcterms:W3CDTF">2019-01-29T18:45:00Z</dcterms:created>
  <dcterms:modified xsi:type="dcterms:W3CDTF">2019-01-29T18:45:00Z</dcterms:modified>
</cp:coreProperties>
</file>