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8F" w:rsidRPr="00EE7B8F" w:rsidRDefault="00EE7B8F" w:rsidP="00EE7B8F">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EE7B8F">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244/</w:t>
      </w:r>
      <w:r w:rsidRPr="00EE7B8F">
        <w:rPr>
          <w:rFonts w:ascii="Arial" w:eastAsia="Times New Roman" w:hAnsi="Arial" w:cs="Arial"/>
          <w:b/>
          <w:sz w:val="28"/>
          <w:szCs w:val="28"/>
          <w:lang w:val="es-ES_tradnl" w:eastAsia="es-ES"/>
        </w:rPr>
        <w:t>19</w:t>
      </w:r>
    </w:p>
    <w:p w:rsidR="00EE7B8F" w:rsidRPr="00EE7B8F" w:rsidRDefault="00EE7B8F" w:rsidP="00EE7B8F">
      <w:pPr>
        <w:tabs>
          <w:tab w:val="center" w:pos="4253"/>
        </w:tabs>
        <w:suppressAutoHyphens/>
        <w:spacing w:after="0" w:line="240" w:lineRule="auto"/>
        <w:jc w:val="right"/>
        <w:rPr>
          <w:rFonts w:ascii="Arial" w:eastAsia="Times New Roman" w:hAnsi="Arial" w:cs="Arial"/>
          <w:b/>
          <w:sz w:val="24"/>
          <w:szCs w:val="24"/>
          <w:lang w:val="es-ES_tradnl" w:eastAsia="es-ES"/>
        </w:rPr>
      </w:pPr>
    </w:p>
    <w:p w:rsidR="00EE7B8F" w:rsidRPr="00EE7B8F" w:rsidRDefault="00EE7B8F" w:rsidP="00EE7B8F">
      <w:pPr>
        <w:tabs>
          <w:tab w:val="center" w:pos="4253"/>
        </w:tabs>
        <w:suppressAutoHyphens/>
        <w:spacing w:after="0" w:line="240" w:lineRule="auto"/>
        <w:jc w:val="center"/>
        <w:rPr>
          <w:rFonts w:ascii="Arial" w:eastAsia="Times New Roman" w:hAnsi="Arial" w:cs="Arial"/>
          <w:b/>
          <w:sz w:val="24"/>
          <w:szCs w:val="24"/>
          <w:lang w:val="es-ES_tradnl" w:eastAsia="es-ES"/>
        </w:rPr>
      </w:pPr>
      <w:r w:rsidRPr="00EE7B8F">
        <w:rPr>
          <w:rFonts w:ascii="Arial" w:eastAsia="Times New Roman" w:hAnsi="Arial" w:cs="Arial"/>
          <w:b/>
          <w:sz w:val="24"/>
          <w:szCs w:val="24"/>
          <w:lang w:val="es-ES_tradnl" w:eastAsia="es-ES"/>
        </w:rPr>
        <w:t>RESOLUCION ADOPTADA POR EL</w:t>
      </w:r>
    </w:p>
    <w:p w:rsidR="00EE7B8F" w:rsidRPr="00EE7B8F" w:rsidRDefault="00EE7B8F" w:rsidP="00EE7B8F">
      <w:pPr>
        <w:tabs>
          <w:tab w:val="left" w:pos="-720"/>
        </w:tabs>
        <w:suppressAutoHyphens/>
        <w:spacing w:after="0" w:line="240" w:lineRule="auto"/>
        <w:jc w:val="center"/>
        <w:rPr>
          <w:rFonts w:ascii="Arial" w:eastAsia="Times New Roman" w:hAnsi="Arial" w:cs="Arial"/>
          <w:b/>
          <w:sz w:val="24"/>
          <w:szCs w:val="24"/>
          <w:lang w:val="es-ES_tradnl" w:eastAsia="es-ES"/>
        </w:rPr>
      </w:pPr>
    </w:p>
    <w:p w:rsidR="00EE7B8F" w:rsidRPr="00EE7B8F" w:rsidRDefault="00EE7B8F" w:rsidP="00EE7B8F">
      <w:pPr>
        <w:tabs>
          <w:tab w:val="center" w:pos="4253"/>
        </w:tabs>
        <w:suppressAutoHyphens/>
        <w:spacing w:after="0" w:line="240" w:lineRule="auto"/>
        <w:jc w:val="center"/>
        <w:rPr>
          <w:rFonts w:ascii="Arial" w:eastAsia="Times New Roman" w:hAnsi="Arial" w:cs="Arial"/>
          <w:b/>
          <w:sz w:val="24"/>
          <w:szCs w:val="24"/>
          <w:lang w:val="es-ES_tradnl" w:eastAsia="es-ES"/>
        </w:rPr>
      </w:pPr>
      <w:r w:rsidRPr="00EE7B8F">
        <w:rPr>
          <w:rFonts w:ascii="Arial" w:eastAsia="Times New Roman" w:hAnsi="Arial" w:cs="Arial"/>
          <w:b/>
          <w:sz w:val="24"/>
          <w:szCs w:val="24"/>
          <w:lang w:val="es-ES_tradnl" w:eastAsia="es-ES"/>
        </w:rPr>
        <w:t>TRIBUNAL DE CUENTAS</w:t>
      </w:r>
    </w:p>
    <w:p w:rsidR="00EE7B8F" w:rsidRPr="00EE7B8F" w:rsidRDefault="00EE7B8F" w:rsidP="00EE7B8F">
      <w:pPr>
        <w:tabs>
          <w:tab w:val="left" w:pos="-720"/>
        </w:tabs>
        <w:suppressAutoHyphens/>
        <w:spacing w:after="0" w:line="240" w:lineRule="auto"/>
        <w:jc w:val="center"/>
        <w:rPr>
          <w:rFonts w:ascii="Arial" w:eastAsia="Times New Roman" w:hAnsi="Arial" w:cs="Arial"/>
          <w:b/>
          <w:sz w:val="24"/>
          <w:szCs w:val="24"/>
          <w:lang w:val="es-ES_tradnl" w:eastAsia="es-ES"/>
        </w:rPr>
      </w:pPr>
    </w:p>
    <w:p w:rsidR="00EE7B8F" w:rsidRPr="00EE7B8F" w:rsidRDefault="00EE7B8F" w:rsidP="00EE7B8F">
      <w:pPr>
        <w:tabs>
          <w:tab w:val="center" w:pos="4253"/>
        </w:tabs>
        <w:suppressAutoHyphens/>
        <w:spacing w:after="0" w:line="240" w:lineRule="auto"/>
        <w:jc w:val="center"/>
        <w:rPr>
          <w:rFonts w:ascii="Arial" w:eastAsia="Times New Roman" w:hAnsi="Arial" w:cs="Arial"/>
          <w:b/>
          <w:sz w:val="24"/>
          <w:szCs w:val="24"/>
          <w:lang w:val="es-ES_tradnl" w:eastAsia="es-ES"/>
        </w:rPr>
      </w:pPr>
      <w:r w:rsidRPr="00EE7B8F">
        <w:rPr>
          <w:rFonts w:ascii="Arial" w:eastAsia="Times New Roman" w:hAnsi="Arial" w:cs="Arial"/>
          <w:b/>
          <w:sz w:val="24"/>
          <w:szCs w:val="24"/>
          <w:lang w:val="es-ES_tradnl" w:eastAsia="es-ES"/>
        </w:rPr>
        <w:t xml:space="preserve">EN SESION DE FECHA 23 DE ENERO </w:t>
      </w:r>
      <w:r w:rsidRPr="00EE7B8F">
        <w:rPr>
          <w:rFonts w:ascii="Helvetica" w:eastAsia="Times New Roman" w:hAnsi="Helvetica" w:cs="Times New Roman"/>
          <w:b/>
          <w:sz w:val="24"/>
          <w:szCs w:val="24"/>
          <w:lang w:val="es-ES_tradnl" w:eastAsia="es-ES"/>
        </w:rPr>
        <w:t>DE 2019</w:t>
      </w:r>
    </w:p>
    <w:p w:rsidR="00EE7B8F" w:rsidRPr="00EE7B8F" w:rsidRDefault="00EE7B8F" w:rsidP="00EE7B8F">
      <w:pPr>
        <w:tabs>
          <w:tab w:val="center" w:pos="4253"/>
        </w:tabs>
        <w:suppressAutoHyphens/>
        <w:spacing w:after="0" w:line="240" w:lineRule="auto"/>
        <w:jc w:val="center"/>
        <w:rPr>
          <w:rFonts w:ascii="Arial" w:eastAsia="Times New Roman" w:hAnsi="Arial" w:cs="Arial"/>
          <w:b/>
          <w:sz w:val="24"/>
          <w:szCs w:val="24"/>
          <w:lang w:val="es-ES_tradnl" w:eastAsia="es-ES"/>
        </w:rPr>
      </w:pPr>
    </w:p>
    <w:p w:rsidR="00EE7B8F" w:rsidRPr="00EE7B8F" w:rsidRDefault="00EE7B8F" w:rsidP="00EE7B8F">
      <w:pPr>
        <w:tabs>
          <w:tab w:val="center" w:pos="4253"/>
        </w:tabs>
        <w:suppressAutoHyphens/>
        <w:spacing w:after="0" w:line="240" w:lineRule="auto"/>
        <w:jc w:val="center"/>
        <w:rPr>
          <w:rFonts w:ascii="Arial" w:eastAsia="Times New Roman" w:hAnsi="Arial" w:cs="Arial"/>
          <w:b/>
          <w:sz w:val="24"/>
          <w:szCs w:val="24"/>
          <w:lang w:eastAsia="es-ES"/>
        </w:rPr>
      </w:pPr>
      <w:r w:rsidRPr="00EE7B8F">
        <w:rPr>
          <w:rFonts w:ascii="Arial" w:eastAsia="Times New Roman" w:hAnsi="Arial" w:cs="Arial"/>
          <w:b/>
          <w:sz w:val="24"/>
          <w:szCs w:val="24"/>
          <w:lang w:eastAsia="es-ES"/>
        </w:rPr>
        <w:t xml:space="preserve">(E. E. Nº 2018-17-1-0002149, </w:t>
      </w:r>
      <w:proofErr w:type="spellStart"/>
      <w:r w:rsidRPr="00EE7B8F">
        <w:rPr>
          <w:rFonts w:ascii="Arial" w:eastAsia="Times New Roman" w:hAnsi="Arial" w:cs="Arial"/>
          <w:b/>
          <w:sz w:val="24"/>
          <w:szCs w:val="24"/>
          <w:lang w:eastAsia="es-ES"/>
        </w:rPr>
        <w:t>Ent</w:t>
      </w:r>
      <w:proofErr w:type="spellEnd"/>
      <w:r w:rsidRPr="00EE7B8F">
        <w:rPr>
          <w:rFonts w:ascii="Arial" w:eastAsia="Times New Roman" w:hAnsi="Arial" w:cs="Arial"/>
          <w:b/>
          <w:sz w:val="24"/>
          <w:szCs w:val="24"/>
          <w:lang w:eastAsia="es-ES"/>
        </w:rPr>
        <w:t>. N° 1597/18)</w:t>
      </w:r>
    </w:p>
    <w:p w:rsidR="00527F1D" w:rsidRPr="00527F1D" w:rsidRDefault="00527F1D" w:rsidP="00527F1D">
      <w:pPr>
        <w:tabs>
          <w:tab w:val="left" w:pos="360"/>
          <w:tab w:val="left" w:pos="567"/>
          <w:tab w:val="left" w:pos="1560"/>
          <w:tab w:val="right" w:pos="5387"/>
          <w:tab w:val="right" w:pos="7513"/>
        </w:tabs>
        <w:spacing w:after="0" w:line="360" w:lineRule="auto"/>
        <w:jc w:val="center"/>
        <w:rPr>
          <w:rFonts w:ascii="Arial" w:eastAsia="Times New Roman" w:hAnsi="Arial" w:cs="Arial"/>
          <w:b/>
          <w:sz w:val="24"/>
          <w:szCs w:val="24"/>
          <w:lang w:val="es-ES_tradnl"/>
        </w:rPr>
      </w:pPr>
    </w:p>
    <w:p w:rsidR="00527F1D" w:rsidRPr="00527F1D" w:rsidRDefault="00527F1D" w:rsidP="0093576A">
      <w:pPr>
        <w:spacing w:after="0" w:line="360" w:lineRule="auto"/>
        <w:ind w:firstLine="851"/>
        <w:jc w:val="both"/>
        <w:rPr>
          <w:rFonts w:ascii="Arial" w:eastAsia="Times New Roman" w:hAnsi="Arial" w:cs="Arial"/>
          <w:sz w:val="24"/>
          <w:szCs w:val="24"/>
          <w:lang w:eastAsia="es-UY"/>
        </w:rPr>
      </w:pPr>
      <w:r w:rsidRPr="00527F1D">
        <w:rPr>
          <w:rFonts w:ascii="Arial" w:eastAsia="Times New Roman" w:hAnsi="Arial" w:cs="Arial"/>
          <w:b/>
          <w:sz w:val="24"/>
          <w:szCs w:val="24"/>
          <w:lang w:eastAsia="es-UY"/>
        </w:rPr>
        <w:t>VISTO:</w:t>
      </w:r>
      <w:r w:rsidRPr="00527F1D">
        <w:rPr>
          <w:rFonts w:ascii="Arial" w:eastAsia="Times New Roman" w:hAnsi="Arial" w:cs="Arial"/>
          <w:sz w:val="24"/>
          <w:szCs w:val="24"/>
          <w:lang w:eastAsia="es-UY"/>
        </w:rPr>
        <w:t xml:space="preserve"> que este Tribunal ha examinado el Balance de Ejecución Presupuestal de la Dirección General de Casinos (DGC) correspondiente al ejercicio finalizado el 31/12/2017;</w:t>
      </w:r>
    </w:p>
    <w:p w:rsidR="00527F1D" w:rsidRPr="00527F1D" w:rsidRDefault="00527F1D" w:rsidP="0093576A">
      <w:pPr>
        <w:spacing w:after="0" w:line="360" w:lineRule="auto"/>
        <w:ind w:firstLine="851"/>
        <w:jc w:val="both"/>
        <w:rPr>
          <w:rFonts w:ascii="Arial" w:eastAsia="Times New Roman" w:hAnsi="Arial" w:cs="Arial"/>
          <w:sz w:val="24"/>
          <w:szCs w:val="24"/>
          <w:lang w:eastAsia="es-UY"/>
        </w:rPr>
      </w:pPr>
      <w:r w:rsidRPr="00527F1D">
        <w:rPr>
          <w:rFonts w:ascii="Arial" w:eastAsia="Times New Roman" w:hAnsi="Arial" w:cs="Arial"/>
          <w:b/>
          <w:sz w:val="24"/>
          <w:szCs w:val="24"/>
          <w:lang w:eastAsia="es-UY"/>
        </w:rPr>
        <w:t>RESULTANDO:</w:t>
      </w:r>
      <w:r w:rsidRPr="00527F1D">
        <w:rPr>
          <w:rFonts w:ascii="Arial" w:eastAsia="Times New Roman" w:hAnsi="Arial" w:cs="Arial"/>
          <w:sz w:val="24"/>
          <w:szCs w:val="24"/>
          <w:lang w:eastAsia="es-UY"/>
        </w:rPr>
        <w:t xml:space="preserve"> que la auditoría fue practicada de acuerdo con los Principios Fundamentales de Auditoría (ISSAI 100 y 200) y de las Directrices de Auditoría Financiera (ISSAI 1000 a 1810) de la Organización Internacional de Entidades Fisca</w:t>
      </w:r>
      <w:r w:rsidR="0093576A">
        <w:rPr>
          <w:rFonts w:ascii="Arial" w:eastAsia="Times New Roman" w:hAnsi="Arial" w:cs="Arial"/>
          <w:sz w:val="24"/>
          <w:szCs w:val="24"/>
          <w:lang w:eastAsia="es-UY"/>
        </w:rPr>
        <w:t>lizadoras Superiores (INTOSAI);</w:t>
      </w:r>
    </w:p>
    <w:p w:rsidR="00527F1D" w:rsidRPr="00527F1D" w:rsidRDefault="00527F1D" w:rsidP="0093576A">
      <w:pPr>
        <w:spacing w:after="0" w:line="360" w:lineRule="auto"/>
        <w:ind w:firstLine="851"/>
        <w:jc w:val="both"/>
        <w:rPr>
          <w:rFonts w:ascii="Arial" w:eastAsia="Times New Roman" w:hAnsi="Arial" w:cs="Arial"/>
          <w:sz w:val="24"/>
          <w:szCs w:val="24"/>
          <w:lang w:eastAsia="es-UY"/>
        </w:rPr>
      </w:pPr>
      <w:r w:rsidRPr="00527F1D">
        <w:rPr>
          <w:rFonts w:ascii="Arial" w:eastAsia="Times New Roman" w:hAnsi="Arial" w:cs="Arial"/>
          <w:b/>
          <w:sz w:val="24"/>
          <w:szCs w:val="24"/>
          <w:lang w:eastAsia="es-UY"/>
        </w:rPr>
        <w:t>CONSIDERANDO:</w:t>
      </w:r>
      <w:r w:rsidRPr="00527F1D">
        <w:rPr>
          <w:rFonts w:ascii="Arial" w:eastAsia="Times New Roman" w:hAnsi="Arial" w:cs="Arial"/>
          <w:sz w:val="24"/>
          <w:szCs w:val="24"/>
          <w:lang w:eastAsia="es-UY"/>
        </w:rPr>
        <w:t xml:space="preserve"> que las conclusiones y evidencias obtenidas son las que se expresan en el Informe de Auditoría que incluye el Dictamen</w:t>
      </w:r>
      <w:r w:rsidR="0093576A">
        <w:rPr>
          <w:rFonts w:ascii="Arial" w:eastAsia="Times New Roman" w:hAnsi="Arial" w:cs="Arial"/>
          <w:sz w:val="24"/>
          <w:szCs w:val="24"/>
          <w:lang w:eastAsia="es-UY"/>
        </w:rPr>
        <w:t xml:space="preserve"> e Informe a la Administración;</w:t>
      </w:r>
    </w:p>
    <w:p w:rsidR="00527F1D" w:rsidRPr="00527F1D" w:rsidRDefault="00527F1D" w:rsidP="0093576A">
      <w:pPr>
        <w:spacing w:after="0" w:line="360" w:lineRule="auto"/>
        <w:ind w:firstLine="851"/>
        <w:jc w:val="both"/>
        <w:rPr>
          <w:rFonts w:ascii="Arial" w:eastAsia="Times New Roman" w:hAnsi="Arial" w:cs="Arial"/>
          <w:sz w:val="24"/>
          <w:szCs w:val="24"/>
          <w:lang w:eastAsia="es-UY"/>
        </w:rPr>
      </w:pPr>
      <w:r w:rsidRPr="00527F1D">
        <w:rPr>
          <w:rFonts w:ascii="Arial" w:eastAsia="Times New Roman" w:hAnsi="Arial" w:cs="Arial"/>
          <w:b/>
          <w:sz w:val="24"/>
          <w:szCs w:val="24"/>
          <w:lang w:eastAsia="es-UY"/>
        </w:rPr>
        <w:t>ATENTO:</w:t>
      </w:r>
      <w:r w:rsidRPr="00527F1D">
        <w:rPr>
          <w:rFonts w:ascii="Arial" w:eastAsia="Times New Roman" w:hAnsi="Arial" w:cs="Arial"/>
          <w:sz w:val="24"/>
          <w:szCs w:val="24"/>
          <w:lang w:eastAsia="es-UY"/>
        </w:rPr>
        <w:t xml:space="preserve"> a lo dispuesto en el Articulo 211 Literal C) y E) de la Constitución de la República y Artículos 94 del Texto Ordenado de la Ley de Administración Financiera (TOCAF);</w:t>
      </w:r>
    </w:p>
    <w:p w:rsidR="00527F1D" w:rsidRPr="00527F1D" w:rsidRDefault="00527F1D" w:rsidP="00527F1D">
      <w:pPr>
        <w:spacing w:after="0" w:line="360" w:lineRule="auto"/>
        <w:ind w:firstLine="709"/>
        <w:jc w:val="center"/>
        <w:rPr>
          <w:rFonts w:ascii="Arial" w:eastAsia="Times New Roman" w:hAnsi="Arial" w:cs="Arial"/>
          <w:b/>
          <w:sz w:val="24"/>
          <w:szCs w:val="24"/>
          <w:lang w:eastAsia="es-UY"/>
        </w:rPr>
      </w:pPr>
      <w:r w:rsidRPr="00527F1D">
        <w:rPr>
          <w:rFonts w:ascii="Arial" w:eastAsia="Times New Roman" w:hAnsi="Arial" w:cs="Arial"/>
          <w:b/>
          <w:sz w:val="24"/>
          <w:szCs w:val="24"/>
          <w:lang w:eastAsia="es-UY"/>
        </w:rPr>
        <w:t>EL TRIBUNAL ACUERDA</w:t>
      </w:r>
    </w:p>
    <w:p w:rsidR="00527F1D" w:rsidRPr="00527F1D" w:rsidRDefault="00527F1D" w:rsidP="00EE7B8F">
      <w:pPr>
        <w:numPr>
          <w:ilvl w:val="0"/>
          <w:numId w:val="9"/>
        </w:numPr>
        <w:tabs>
          <w:tab w:val="left" w:pos="567"/>
        </w:tabs>
        <w:spacing w:after="0" w:line="360" w:lineRule="auto"/>
        <w:ind w:left="567" w:hanging="567"/>
        <w:jc w:val="both"/>
        <w:rPr>
          <w:rFonts w:ascii="Arial" w:eastAsia="Times New Roman" w:hAnsi="Arial" w:cs="Arial"/>
          <w:sz w:val="24"/>
          <w:szCs w:val="24"/>
          <w:lang w:eastAsia="es-UY"/>
        </w:rPr>
      </w:pPr>
      <w:r w:rsidRPr="00527F1D">
        <w:rPr>
          <w:rFonts w:ascii="Arial" w:eastAsia="Times New Roman" w:hAnsi="Arial" w:cs="Arial"/>
          <w:sz w:val="24"/>
          <w:szCs w:val="24"/>
          <w:lang w:eastAsia="es-UY"/>
        </w:rPr>
        <w:t>Expedirse en los términos del  Informe de Auditoría que se adjunta;</w:t>
      </w:r>
    </w:p>
    <w:p w:rsidR="00527F1D" w:rsidRPr="00527F1D" w:rsidRDefault="00527F1D" w:rsidP="00EE7B8F">
      <w:pPr>
        <w:numPr>
          <w:ilvl w:val="0"/>
          <w:numId w:val="9"/>
        </w:numPr>
        <w:tabs>
          <w:tab w:val="left" w:pos="567"/>
        </w:tabs>
        <w:spacing w:after="0" w:line="360" w:lineRule="auto"/>
        <w:ind w:left="567" w:hanging="567"/>
        <w:jc w:val="both"/>
        <w:rPr>
          <w:rFonts w:ascii="Arial" w:eastAsia="Times New Roman" w:hAnsi="Arial" w:cs="Arial"/>
          <w:sz w:val="24"/>
          <w:szCs w:val="24"/>
          <w:lang w:eastAsia="es-UY"/>
        </w:rPr>
      </w:pPr>
      <w:r w:rsidRPr="00527F1D">
        <w:rPr>
          <w:rFonts w:ascii="Arial" w:eastAsia="Times New Roman" w:hAnsi="Arial" w:cs="Arial"/>
          <w:spacing w:val="-3"/>
          <w:sz w:val="24"/>
          <w:szCs w:val="24"/>
          <w:lang w:val="es-ES_tradnl" w:eastAsia="es-UY"/>
        </w:rPr>
        <w:t>Comunicar la presente Resolución al Poder Ejecutivo, a la Dirección General de Casinos del Estado y a la Oficina de Planeamiento y Presupuesto;</w:t>
      </w:r>
      <w:r w:rsidR="00EE7B8F">
        <w:rPr>
          <w:rFonts w:ascii="Arial" w:eastAsia="Times New Roman" w:hAnsi="Arial" w:cs="Arial"/>
          <w:spacing w:val="-3"/>
          <w:sz w:val="24"/>
          <w:szCs w:val="24"/>
          <w:lang w:val="es-ES_tradnl" w:eastAsia="es-UY"/>
        </w:rPr>
        <w:t xml:space="preserve"> y</w:t>
      </w:r>
    </w:p>
    <w:p w:rsidR="00527F1D" w:rsidRPr="00527F1D" w:rsidRDefault="00527F1D" w:rsidP="00EE7B8F">
      <w:pPr>
        <w:numPr>
          <w:ilvl w:val="0"/>
          <w:numId w:val="9"/>
        </w:numPr>
        <w:tabs>
          <w:tab w:val="left" w:pos="567"/>
        </w:tabs>
        <w:spacing w:after="0" w:line="360" w:lineRule="auto"/>
        <w:ind w:left="567" w:hanging="567"/>
        <w:jc w:val="both"/>
        <w:rPr>
          <w:rFonts w:ascii="Arial" w:eastAsia="Times New Roman" w:hAnsi="Arial" w:cs="Arial"/>
          <w:sz w:val="24"/>
          <w:szCs w:val="24"/>
          <w:lang w:eastAsia="es-UY"/>
        </w:rPr>
      </w:pPr>
      <w:r w:rsidRPr="00527F1D">
        <w:rPr>
          <w:rFonts w:ascii="Arial" w:eastAsia="Times New Roman" w:hAnsi="Arial" w:cs="Arial"/>
          <w:spacing w:val="-3"/>
          <w:sz w:val="24"/>
          <w:szCs w:val="24"/>
          <w:lang w:val="es-ES_tradnl" w:eastAsia="es-UY"/>
        </w:rPr>
        <w:t>Dar cuenta a la Asamblea General.</w:t>
      </w:r>
    </w:p>
    <w:p w:rsidR="00EE7B8F" w:rsidRDefault="00EE7B8F" w:rsidP="00527F1D">
      <w:pPr>
        <w:tabs>
          <w:tab w:val="left" w:pos="284"/>
        </w:tabs>
        <w:spacing w:after="0" w:line="360" w:lineRule="auto"/>
        <w:rPr>
          <w:rFonts w:ascii="Arial" w:eastAsia="Times New Roman" w:hAnsi="Arial" w:cs="Arial"/>
          <w:sz w:val="24"/>
          <w:szCs w:val="24"/>
          <w:lang w:eastAsia="es-UY"/>
        </w:rPr>
      </w:pPr>
    </w:p>
    <w:p w:rsidR="00527F1D" w:rsidRDefault="00EE7B8F" w:rsidP="00527F1D">
      <w:pPr>
        <w:tabs>
          <w:tab w:val="left" w:pos="284"/>
        </w:tabs>
        <w:spacing w:after="0" w:line="360" w:lineRule="auto"/>
        <w:rPr>
          <w:rFonts w:ascii="Arial" w:eastAsia="Times New Roman" w:hAnsi="Arial" w:cs="Arial"/>
          <w:sz w:val="24"/>
          <w:szCs w:val="24"/>
          <w:lang w:eastAsia="es-UY"/>
        </w:rPr>
      </w:pPr>
      <w:proofErr w:type="spellStart"/>
      <w:proofErr w:type="gramStart"/>
      <w:r>
        <w:rPr>
          <w:rFonts w:ascii="Arial" w:eastAsia="Times New Roman" w:hAnsi="Arial" w:cs="Arial"/>
          <w:sz w:val="24"/>
          <w:szCs w:val="24"/>
          <w:lang w:eastAsia="es-UY"/>
        </w:rPr>
        <w:t>cr</w:t>
      </w:r>
      <w:proofErr w:type="spellEnd"/>
      <w:proofErr w:type="gramEnd"/>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Pr="00122872" w:rsidRDefault="00F470D9" w:rsidP="00F960C5">
      <w:pPr>
        <w:jc w:val="center"/>
        <w:rPr>
          <w:rFonts w:ascii="Arial" w:hAnsi="Arial" w:cs="Arial"/>
          <w:b/>
          <w:sz w:val="24"/>
        </w:rPr>
      </w:pPr>
      <w:r>
        <w:rPr>
          <w:rFonts w:ascii="Arial" w:hAnsi="Arial" w:cs="Arial"/>
          <w:b/>
          <w:sz w:val="24"/>
        </w:rPr>
        <w:lastRenderedPageBreak/>
        <w:t>DICTAMEN</w:t>
      </w:r>
    </w:p>
    <w:p w:rsidR="00F470D9" w:rsidRPr="00122872" w:rsidRDefault="00F470D9" w:rsidP="00F960C5">
      <w:pPr>
        <w:spacing w:line="260" w:lineRule="atLeast"/>
        <w:jc w:val="both"/>
        <w:rPr>
          <w:rFonts w:ascii="Arial" w:hAnsi="Arial" w:cs="Arial"/>
          <w:sz w:val="18"/>
          <w:szCs w:val="18"/>
        </w:rPr>
      </w:pPr>
      <w:r>
        <w:rPr>
          <w:rFonts w:ascii="Arial" w:hAnsi="Arial" w:cs="Arial"/>
          <w:b/>
          <w:sz w:val="24"/>
          <w:szCs w:val="24"/>
        </w:rPr>
        <w:t>Opinión sin salvedades</w:t>
      </w:r>
    </w:p>
    <w:p w:rsidR="00F470D9" w:rsidRPr="00122872" w:rsidRDefault="00F470D9" w:rsidP="00D1428D">
      <w:pPr>
        <w:spacing w:after="0" w:line="360" w:lineRule="auto"/>
        <w:jc w:val="both"/>
        <w:rPr>
          <w:rFonts w:ascii="Arial" w:hAnsi="Arial" w:cs="Arial"/>
          <w:sz w:val="24"/>
          <w:szCs w:val="24"/>
        </w:rPr>
      </w:pPr>
      <w:r w:rsidRPr="00122872">
        <w:rPr>
          <w:rFonts w:ascii="Arial" w:hAnsi="Arial" w:cs="Arial"/>
          <w:sz w:val="24"/>
          <w:szCs w:val="24"/>
        </w:rPr>
        <w:t>El Tribunal de Cuentas ha auditado el Balan</w:t>
      </w:r>
      <w:r>
        <w:rPr>
          <w:rFonts w:ascii="Arial" w:hAnsi="Arial" w:cs="Arial"/>
          <w:sz w:val="24"/>
          <w:szCs w:val="24"/>
        </w:rPr>
        <w:t>ce de Ejecución Presupuestal</w:t>
      </w:r>
      <w:r w:rsidRPr="00122872">
        <w:rPr>
          <w:rFonts w:ascii="Arial" w:hAnsi="Arial" w:cs="Arial"/>
          <w:sz w:val="24"/>
          <w:szCs w:val="24"/>
        </w:rPr>
        <w:t xml:space="preserve"> </w:t>
      </w:r>
      <w:r>
        <w:rPr>
          <w:rFonts w:ascii="Arial" w:hAnsi="Arial" w:cs="Arial"/>
          <w:sz w:val="24"/>
          <w:szCs w:val="24"/>
        </w:rPr>
        <w:t xml:space="preserve">de la Dirección General de Casinos (DGC) </w:t>
      </w:r>
      <w:r w:rsidRPr="00122872">
        <w:rPr>
          <w:rFonts w:ascii="Arial" w:hAnsi="Arial" w:cs="Arial"/>
          <w:sz w:val="24"/>
          <w:szCs w:val="24"/>
        </w:rPr>
        <w:t xml:space="preserve">que comprenden </w:t>
      </w:r>
      <w:r>
        <w:rPr>
          <w:rFonts w:ascii="Arial" w:hAnsi="Arial" w:cs="Arial"/>
          <w:sz w:val="24"/>
          <w:szCs w:val="24"/>
        </w:rPr>
        <w:t>Estado de Ejecución del Presupuesto Operativo y de Inversiones, Estado de Asignaciones Presupuestarias, Ejecución Presupuestal de Ingresos</w:t>
      </w:r>
      <w:r w:rsidRPr="00122872">
        <w:rPr>
          <w:rFonts w:ascii="Arial" w:hAnsi="Arial" w:cs="Arial"/>
          <w:sz w:val="24"/>
          <w:szCs w:val="24"/>
        </w:rPr>
        <w:t xml:space="preserve">, por el ejercicio finalizado el </w:t>
      </w:r>
      <w:r>
        <w:rPr>
          <w:rFonts w:ascii="Arial" w:hAnsi="Arial" w:cs="Arial"/>
          <w:sz w:val="24"/>
          <w:szCs w:val="24"/>
        </w:rPr>
        <w:t>31 de diciembre de 2017</w:t>
      </w:r>
      <w:r w:rsidRPr="00122872">
        <w:rPr>
          <w:rFonts w:ascii="Arial" w:hAnsi="Arial" w:cs="Arial"/>
          <w:i/>
          <w:sz w:val="24"/>
          <w:szCs w:val="24"/>
        </w:rPr>
        <w:t xml:space="preserve">, </w:t>
      </w:r>
      <w:r w:rsidRPr="00122872">
        <w:rPr>
          <w:rFonts w:ascii="Arial" w:hAnsi="Arial" w:cs="Arial"/>
          <w:sz w:val="24"/>
          <w:szCs w:val="24"/>
        </w:rPr>
        <w:t>los Anexos y las notas</w:t>
      </w:r>
      <w:r w:rsidR="0093576A">
        <w:rPr>
          <w:rFonts w:ascii="Arial" w:hAnsi="Arial" w:cs="Arial"/>
          <w:sz w:val="24"/>
          <w:szCs w:val="24"/>
        </w:rPr>
        <w:t xml:space="preserve"> explicativas a dichos estados.</w:t>
      </w:r>
    </w:p>
    <w:p w:rsidR="00F470D9" w:rsidRDefault="00F470D9" w:rsidP="00D1428D">
      <w:pPr>
        <w:spacing w:after="0" w:line="360" w:lineRule="auto"/>
        <w:jc w:val="both"/>
        <w:rPr>
          <w:rFonts w:ascii="Arial" w:hAnsi="Arial" w:cs="Arial"/>
          <w:sz w:val="24"/>
          <w:szCs w:val="24"/>
        </w:rPr>
      </w:pPr>
      <w:r w:rsidRPr="00122872">
        <w:rPr>
          <w:rFonts w:ascii="Arial" w:hAnsi="Arial" w:cs="Arial"/>
          <w:sz w:val="24"/>
          <w:szCs w:val="24"/>
        </w:rPr>
        <w:t xml:space="preserve">En opinión del Tribunal de Cuentas, los estados referidos precedentemente presentan razonablemente, en todos sus aspectos significativos, la ejecución presupuestal de </w:t>
      </w:r>
      <w:r>
        <w:rPr>
          <w:rFonts w:ascii="Arial" w:hAnsi="Arial" w:cs="Arial"/>
          <w:sz w:val="24"/>
          <w:szCs w:val="24"/>
        </w:rPr>
        <w:t xml:space="preserve">la Dirección General de Casinos (DGC) </w:t>
      </w:r>
      <w:r w:rsidRPr="00122872">
        <w:rPr>
          <w:rFonts w:ascii="Arial" w:hAnsi="Arial" w:cs="Arial"/>
          <w:sz w:val="24"/>
          <w:szCs w:val="24"/>
        </w:rPr>
        <w:t xml:space="preserve">correspondiente al ejercicio finalizado el </w:t>
      </w:r>
      <w:r>
        <w:rPr>
          <w:rFonts w:ascii="Arial" w:hAnsi="Arial" w:cs="Arial"/>
          <w:sz w:val="24"/>
          <w:szCs w:val="24"/>
        </w:rPr>
        <w:t>31 de diciembre de 2017</w:t>
      </w:r>
      <w:r w:rsidRPr="00122872">
        <w:rPr>
          <w:rFonts w:ascii="Arial" w:hAnsi="Arial" w:cs="Arial"/>
          <w:sz w:val="24"/>
          <w:szCs w:val="24"/>
        </w:rPr>
        <w:t xml:space="preserve">, de acuerdo con </w:t>
      </w:r>
      <w:r>
        <w:rPr>
          <w:rFonts w:ascii="Arial" w:hAnsi="Arial" w:cs="Arial"/>
          <w:sz w:val="24"/>
          <w:szCs w:val="24"/>
        </w:rPr>
        <w:t xml:space="preserve">el Decreto </w:t>
      </w:r>
      <w:r w:rsidR="00170226">
        <w:rPr>
          <w:rFonts w:ascii="Arial" w:hAnsi="Arial" w:cs="Arial"/>
          <w:sz w:val="24"/>
          <w:szCs w:val="24"/>
        </w:rPr>
        <w:t>N°</w:t>
      </w:r>
      <w:r>
        <w:rPr>
          <w:rFonts w:ascii="Arial" w:hAnsi="Arial" w:cs="Arial"/>
          <w:sz w:val="24"/>
          <w:szCs w:val="24"/>
        </w:rPr>
        <w:t>402/016 de fecha 19 de diciembre 2016.</w:t>
      </w:r>
    </w:p>
    <w:p w:rsidR="0093576A" w:rsidRPr="00122872" w:rsidRDefault="0093576A" w:rsidP="00D1428D">
      <w:pPr>
        <w:spacing w:after="0" w:line="360" w:lineRule="auto"/>
        <w:jc w:val="both"/>
        <w:rPr>
          <w:rFonts w:ascii="Arial" w:hAnsi="Arial" w:cs="Arial"/>
          <w:color w:val="9BBB59"/>
          <w:sz w:val="24"/>
          <w:szCs w:val="24"/>
        </w:rPr>
      </w:pPr>
    </w:p>
    <w:p w:rsidR="00F470D9" w:rsidRPr="00122872" w:rsidRDefault="00F470D9" w:rsidP="00D1428D">
      <w:pPr>
        <w:spacing w:line="360" w:lineRule="auto"/>
        <w:jc w:val="both"/>
        <w:rPr>
          <w:rFonts w:ascii="Arial" w:hAnsi="Arial" w:cs="Arial"/>
          <w:b/>
          <w:sz w:val="24"/>
          <w:szCs w:val="24"/>
        </w:rPr>
      </w:pPr>
      <w:r w:rsidRPr="00122872">
        <w:rPr>
          <w:rFonts w:ascii="Arial" w:hAnsi="Arial" w:cs="Arial"/>
          <w:b/>
          <w:sz w:val="24"/>
          <w:szCs w:val="24"/>
        </w:rPr>
        <w:t>Opinión respecto al cumplimiento de la normativa legal aplicable</w:t>
      </w:r>
    </w:p>
    <w:p w:rsidR="00F470D9" w:rsidRDefault="00F470D9" w:rsidP="00D1428D">
      <w:pPr>
        <w:spacing w:after="0" w:line="360" w:lineRule="auto"/>
        <w:jc w:val="both"/>
        <w:rPr>
          <w:rFonts w:ascii="Arial" w:hAnsi="Arial" w:cs="Arial"/>
          <w:sz w:val="24"/>
          <w:szCs w:val="24"/>
        </w:rPr>
      </w:pPr>
      <w:r w:rsidRPr="00122872">
        <w:rPr>
          <w:rFonts w:ascii="Arial" w:hAnsi="Arial" w:cs="Arial"/>
          <w:sz w:val="24"/>
          <w:szCs w:val="24"/>
        </w:rPr>
        <w:t xml:space="preserve">En el curso de la auditoría se han constatado </w:t>
      </w:r>
      <w:r w:rsidR="00170226">
        <w:rPr>
          <w:rFonts w:ascii="Arial" w:hAnsi="Arial" w:cs="Arial"/>
          <w:sz w:val="24"/>
          <w:szCs w:val="24"/>
        </w:rPr>
        <w:t>los siguientes incumplimientos:</w:t>
      </w:r>
    </w:p>
    <w:p w:rsidR="00F470D9" w:rsidRPr="007F7B4E" w:rsidRDefault="00170226" w:rsidP="00D1428D">
      <w:pPr>
        <w:pStyle w:val="Sangradetextonormal"/>
        <w:numPr>
          <w:ilvl w:val="0"/>
          <w:numId w:val="1"/>
        </w:numPr>
        <w:tabs>
          <w:tab w:val="left" w:pos="426"/>
        </w:tabs>
        <w:spacing w:after="0" w:line="360" w:lineRule="auto"/>
        <w:ind w:left="426" w:hanging="426"/>
        <w:jc w:val="both"/>
        <w:rPr>
          <w:rFonts w:ascii="Arial" w:hAnsi="Arial" w:cs="Arial"/>
          <w:bCs/>
          <w:sz w:val="24"/>
          <w:szCs w:val="24"/>
        </w:rPr>
      </w:pPr>
      <w:r>
        <w:rPr>
          <w:rFonts w:ascii="Arial" w:hAnsi="Arial" w:cs="Arial"/>
          <w:bCs/>
          <w:sz w:val="24"/>
          <w:szCs w:val="24"/>
        </w:rPr>
        <w:t>Artículo 84 del TOCAF.</w:t>
      </w:r>
    </w:p>
    <w:p w:rsidR="00F470D9" w:rsidRPr="007F7B4E" w:rsidRDefault="00F470D9" w:rsidP="00D1428D">
      <w:pPr>
        <w:pStyle w:val="Sangradetextonormal"/>
        <w:numPr>
          <w:ilvl w:val="0"/>
          <w:numId w:val="1"/>
        </w:numPr>
        <w:tabs>
          <w:tab w:val="left" w:pos="426"/>
        </w:tabs>
        <w:spacing w:after="0" w:line="360" w:lineRule="auto"/>
        <w:ind w:left="426" w:hanging="426"/>
        <w:jc w:val="both"/>
        <w:rPr>
          <w:rFonts w:ascii="Arial" w:hAnsi="Arial" w:cs="Arial"/>
          <w:bCs/>
          <w:sz w:val="24"/>
          <w:szCs w:val="24"/>
        </w:rPr>
      </w:pPr>
      <w:r w:rsidRPr="007F7B4E">
        <w:rPr>
          <w:rFonts w:ascii="Arial" w:hAnsi="Arial" w:cs="Arial"/>
          <w:bCs/>
          <w:sz w:val="24"/>
          <w:szCs w:val="24"/>
        </w:rPr>
        <w:t>Artículo 89 del TOCAF</w:t>
      </w:r>
      <w:r w:rsidRPr="007F7B4E">
        <w:rPr>
          <w:rFonts w:ascii="Arial" w:hAnsi="Arial" w:cs="Arial"/>
          <w:sz w:val="24"/>
          <w:szCs w:val="24"/>
        </w:rPr>
        <w:t>.</w:t>
      </w:r>
    </w:p>
    <w:p w:rsidR="00F470D9" w:rsidRDefault="00F470D9" w:rsidP="00D1428D">
      <w:pPr>
        <w:pStyle w:val="Sangradetextonormal"/>
        <w:numPr>
          <w:ilvl w:val="0"/>
          <w:numId w:val="1"/>
        </w:numPr>
        <w:tabs>
          <w:tab w:val="left" w:pos="426"/>
        </w:tabs>
        <w:spacing w:after="0" w:line="360" w:lineRule="auto"/>
        <w:ind w:left="426" w:hanging="426"/>
        <w:jc w:val="both"/>
        <w:rPr>
          <w:rFonts w:ascii="Arial" w:hAnsi="Arial" w:cs="Arial"/>
          <w:bCs/>
          <w:sz w:val="24"/>
          <w:szCs w:val="24"/>
        </w:rPr>
      </w:pPr>
      <w:r w:rsidRPr="00527F1D">
        <w:rPr>
          <w:rFonts w:ascii="Arial" w:hAnsi="Arial" w:cs="Arial"/>
          <w:bCs/>
          <w:sz w:val="24"/>
          <w:szCs w:val="24"/>
        </w:rPr>
        <w:t>Numeral 4 de la Resolución del Presidente de la República de fecha 16/01/2014</w:t>
      </w:r>
      <w:r w:rsidR="00170226">
        <w:rPr>
          <w:rFonts w:ascii="Arial" w:hAnsi="Arial" w:cs="Arial"/>
          <w:bCs/>
          <w:sz w:val="24"/>
          <w:szCs w:val="24"/>
        </w:rPr>
        <w:t>.</w:t>
      </w:r>
    </w:p>
    <w:p w:rsidR="0093576A" w:rsidRPr="007F7B4E" w:rsidRDefault="0093576A" w:rsidP="0093576A">
      <w:pPr>
        <w:pStyle w:val="Sangradetextonormal"/>
        <w:tabs>
          <w:tab w:val="left" w:pos="426"/>
        </w:tabs>
        <w:spacing w:after="0" w:line="360" w:lineRule="auto"/>
        <w:ind w:left="426"/>
        <w:jc w:val="both"/>
        <w:rPr>
          <w:rFonts w:ascii="Arial" w:hAnsi="Arial" w:cs="Arial"/>
          <w:bCs/>
          <w:sz w:val="24"/>
          <w:szCs w:val="24"/>
        </w:rPr>
      </w:pPr>
    </w:p>
    <w:p w:rsidR="00F470D9" w:rsidRPr="00122872" w:rsidRDefault="00F470D9" w:rsidP="00D1428D">
      <w:pPr>
        <w:spacing w:line="360" w:lineRule="auto"/>
        <w:jc w:val="both"/>
        <w:rPr>
          <w:rFonts w:ascii="Arial" w:hAnsi="Arial" w:cs="Arial"/>
          <w:b/>
          <w:sz w:val="24"/>
          <w:szCs w:val="24"/>
        </w:rPr>
      </w:pPr>
      <w:r>
        <w:rPr>
          <w:rFonts w:ascii="Arial" w:hAnsi="Arial" w:cs="Arial"/>
          <w:b/>
          <w:sz w:val="24"/>
          <w:szCs w:val="24"/>
        </w:rPr>
        <w:t>Bas</w:t>
      </w:r>
      <w:r w:rsidR="0093576A">
        <w:rPr>
          <w:rFonts w:ascii="Arial" w:hAnsi="Arial" w:cs="Arial"/>
          <w:b/>
          <w:sz w:val="24"/>
          <w:szCs w:val="24"/>
        </w:rPr>
        <w:t>es para la Opinión sin salvedad</w:t>
      </w:r>
    </w:p>
    <w:p w:rsidR="00F470D9" w:rsidRDefault="00F470D9" w:rsidP="00BB3C20">
      <w:pPr>
        <w:spacing w:line="360" w:lineRule="auto"/>
        <w:jc w:val="both"/>
        <w:rPr>
          <w:rFonts w:ascii="Arial" w:hAnsi="Arial" w:cs="Arial"/>
          <w:sz w:val="24"/>
          <w:szCs w:val="24"/>
        </w:rPr>
      </w:pPr>
      <w:r w:rsidRPr="00122872">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122872">
        <w:rPr>
          <w:rFonts w:ascii="Arial" w:hAnsi="Arial" w:cs="Arial"/>
          <w:i/>
          <w:sz w:val="24"/>
          <w:szCs w:val="24"/>
        </w:rPr>
        <w:t>Responsabilidad del Tribunal de Cuentas por la auditoría de los estados</w:t>
      </w:r>
      <w:r w:rsidRPr="00122872">
        <w:rPr>
          <w:rFonts w:ascii="Arial" w:hAnsi="Arial" w:cs="Arial"/>
          <w:sz w:val="24"/>
          <w:szCs w:val="24"/>
        </w:rPr>
        <w:t>. Este Tribunal es independiente de</w:t>
      </w:r>
      <w:r>
        <w:rPr>
          <w:rFonts w:ascii="Arial" w:hAnsi="Arial" w:cs="Arial"/>
          <w:sz w:val="24"/>
          <w:szCs w:val="24"/>
        </w:rPr>
        <w:t xml:space="preserve"> la Dirección General de Casinos</w:t>
      </w:r>
      <w:r w:rsidRPr="00122872">
        <w:rPr>
          <w:rFonts w:ascii="Arial" w:hAnsi="Arial" w:cs="Arial"/>
          <w:sz w:val="24"/>
          <w:szCs w:val="24"/>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F470D9" w:rsidRPr="004A2019" w:rsidRDefault="00F470D9" w:rsidP="00D1428D">
      <w:pPr>
        <w:spacing w:line="360" w:lineRule="auto"/>
        <w:jc w:val="both"/>
        <w:rPr>
          <w:rFonts w:ascii="Arial" w:hAnsi="Arial" w:cs="Arial"/>
          <w:b/>
          <w:sz w:val="24"/>
          <w:szCs w:val="24"/>
        </w:rPr>
      </w:pPr>
      <w:r>
        <w:rPr>
          <w:rFonts w:ascii="Arial" w:hAnsi="Arial" w:cs="Arial"/>
          <w:b/>
          <w:sz w:val="24"/>
          <w:szCs w:val="24"/>
        </w:rPr>
        <w:t>Responsabilidad de la Dirección</w:t>
      </w:r>
      <w:r w:rsidRPr="004A2019">
        <w:rPr>
          <w:rFonts w:ascii="Arial" w:hAnsi="Arial" w:cs="Arial"/>
          <w:b/>
          <w:sz w:val="24"/>
          <w:szCs w:val="24"/>
        </w:rPr>
        <w:t xml:space="preserve"> en relación con los estados </w:t>
      </w:r>
      <w:r>
        <w:rPr>
          <w:rFonts w:ascii="Arial" w:hAnsi="Arial" w:cs="Arial"/>
          <w:b/>
          <w:sz w:val="24"/>
          <w:szCs w:val="24"/>
        </w:rPr>
        <w:t>de ejecución presupuestal</w:t>
      </w:r>
    </w:p>
    <w:p w:rsidR="00F470D9" w:rsidRPr="004A2019" w:rsidRDefault="00F470D9" w:rsidP="00D1428D">
      <w:pPr>
        <w:spacing w:line="360" w:lineRule="auto"/>
        <w:jc w:val="both"/>
        <w:rPr>
          <w:rFonts w:ascii="Arial" w:hAnsi="Arial" w:cs="Arial"/>
          <w:sz w:val="24"/>
          <w:szCs w:val="24"/>
        </w:rPr>
      </w:pPr>
      <w:r>
        <w:rPr>
          <w:rFonts w:ascii="Arial" w:hAnsi="Arial" w:cs="Arial"/>
          <w:sz w:val="24"/>
          <w:szCs w:val="24"/>
        </w:rPr>
        <w:t xml:space="preserve">La Dirección General de Casinos </w:t>
      </w:r>
      <w:r w:rsidRPr="004A2019">
        <w:rPr>
          <w:rFonts w:ascii="Arial" w:hAnsi="Arial" w:cs="Arial"/>
          <w:sz w:val="24"/>
          <w:szCs w:val="24"/>
        </w:rPr>
        <w:t xml:space="preserve">es responsable por la preparación y presentación razonable de los estados financieros de acuerdo con </w:t>
      </w:r>
      <w:r>
        <w:rPr>
          <w:rFonts w:ascii="Arial" w:hAnsi="Arial" w:cs="Arial"/>
          <w:sz w:val="24"/>
          <w:szCs w:val="24"/>
        </w:rPr>
        <w:t>el</w:t>
      </w:r>
      <w:r w:rsidRPr="004A2019">
        <w:rPr>
          <w:rFonts w:ascii="Arial" w:hAnsi="Arial" w:cs="Arial"/>
          <w:sz w:val="24"/>
          <w:szCs w:val="24"/>
        </w:rPr>
        <w:t xml:space="preserve"> </w:t>
      </w:r>
      <w:r>
        <w:rPr>
          <w:rFonts w:ascii="Arial" w:hAnsi="Arial" w:cs="Arial"/>
          <w:sz w:val="24"/>
          <w:szCs w:val="24"/>
        </w:rPr>
        <w:t>Decreto N° 402/016 de fecha 19 de diciembre 2016</w:t>
      </w:r>
      <w:r w:rsidRPr="004A2019">
        <w:rPr>
          <w:rFonts w:ascii="Arial" w:hAnsi="Arial" w:cs="Arial"/>
          <w:sz w:val="24"/>
          <w:szCs w:val="24"/>
        </w:rPr>
        <w:t xml:space="preserve"> y del control interno que la administración de la entidad consideró necesario para permitir la preparación de estados libres de errores significativos ya sea debido a fraude o error.</w:t>
      </w:r>
    </w:p>
    <w:p w:rsidR="00F470D9" w:rsidRPr="0093576A" w:rsidRDefault="00F470D9" w:rsidP="00D1428D">
      <w:pPr>
        <w:spacing w:line="360" w:lineRule="auto"/>
        <w:jc w:val="both"/>
        <w:rPr>
          <w:rFonts w:ascii="Arial" w:hAnsi="Arial" w:cs="Arial"/>
          <w:sz w:val="24"/>
          <w:szCs w:val="24"/>
        </w:rPr>
      </w:pPr>
      <w:r>
        <w:rPr>
          <w:rFonts w:ascii="Arial" w:hAnsi="Arial" w:cs="Arial"/>
          <w:sz w:val="24"/>
          <w:szCs w:val="24"/>
        </w:rPr>
        <w:t xml:space="preserve">La Dirección </w:t>
      </w:r>
      <w:r w:rsidRPr="004A2019">
        <w:rPr>
          <w:rFonts w:ascii="Arial" w:hAnsi="Arial" w:cs="Arial"/>
          <w:sz w:val="24"/>
          <w:szCs w:val="24"/>
        </w:rPr>
        <w:t>es responsable de supervisar el proceso de prepar</w:t>
      </w:r>
      <w:r>
        <w:rPr>
          <w:rFonts w:ascii="Arial" w:hAnsi="Arial" w:cs="Arial"/>
          <w:sz w:val="24"/>
          <w:szCs w:val="24"/>
        </w:rPr>
        <w:t>ación de los estados</w:t>
      </w:r>
      <w:r w:rsidRPr="004A2019">
        <w:rPr>
          <w:rFonts w:ascii="Arial" w:hAnsi="Arial" w:cs="Arial"/>
          <w:sz w:val="24"/>
          <w:szCs w:val="24"/>
        </w:rPr>
        <w:t xml:space="preserve"> de</w:t>
      </w:r>
      <w:r>
        <w:rPr>
          <w:rFonts w:ascii="Arial" w:hAnsi="Arial" w:cs="Arial"/>
          <w:sz w:val="24"/>
          <w:szCs w:val="24"/>
        </w:rPr>
        <w:t xml:space="preserve"> la Dirección General de Casinos</w:t>
      </w:r>
      <w:r w:rsidR="0093576A">
        <w:rPr>
          <w:rFonts w:ascii="Arial" w:hAnsi="Arial" w:cs="Arial"/>
          <w:sz w:val="24"/>
          <w:szCs w:val="24"/>
        </w:rPr>
        <w:t>.</w:t>
      </w:r>
    </w:p>
    <w:p w:rsidR="00F470D9" w:rsidRPr="00547E5F" w:rsidRDefault="00F470D9" w:rsidP="00D1428D">
      <w:pPr>
        <w:spacing w:line="360" w:lineRule="auto"/>
        <w:jc w:val="both"/>
        <w:rPr>
          <w:rFonts w:ascii="Arial" w:hAnsi="Arial" w:cs="Arial"/>
          <w:b/>
          <w:sz w:val="24"/>
          <w:szCs w:val="24"/>
        </w:rPr>
      </w:pPr>
      <w:r w:rsidRPr="00547E5F">
        <w:rPr>
          <w:rFonts w:ascii="Arial" w:hAnsi="Arial" w:cs="Arial"/>
          <w:b/>
          <w:sz w:val="24"/>
          <w:szCs w:val="24"/>
        </w:rPr>
        <w:t xml:space="preserve">Responsabilidad del Tribunal de Cuentas por la auditoría de los estados </w:t>
      </w:r>
      <w:r>
        <w:rPr>
          <w:rFonts w:ascii="Arial" w:hAnsi="Arial" w:cs="Arial"/>
          <w:b/>
          <w:sz w:val="24"/>
          <w:szCs w:val="24"/>
        </w:rPr>
        <w:t>de ejecución presupuestal</w:t>
      </w:r>
    </w:p>
    <w:p w:rsidR="00F470D9" w:rsidRPr="00547E5F" w:rsidRDefault="00F470D9" w:rsidP="00D1428D">
      <w:pPr>
        <w:spacing w:line="360" w:lineRule="auto"/>
        <w:jc w:val="both"/>
        <w:rPr>
          <w:rFonts w:ascii="Arial" w:hAnsi="Arial" w:cs="Arial"/>
          <w:sz w:val="24"/>
          <w:szCs w:val="24"/>
        </w:rPr>
      </w:pPr>
      <w:r w:rsidRPr="00547E5F">
        <w:rPr>
          <w:rFonts w:ascii="Arial" w:hAnsi="Arial" w:cs="Arial"/>
          <w:sz w:val="24"/>
          <w:szCs w:val="24"/>
        </w:rPr>
        <w:t>El objetivo de la auditoría consiste en obtener una seguridad razonable acerca</w:t>
      </w:r>
      <w:r>
        <w:rPr>
          <w:rFonts w:ascii="Arial" w:hAnsi="Arial" w:cs="Arial"/>
          <w:sz w:val="24"/>
          <w:szCs w:val="24"/>
        </w:rPr>
        <w:t xml:space="preserve"> de que los estados </w:t>
      </w:r>
      <w:r w:rsidRPr="00547E5F">
        <w:rPr>
          <w:rFonts w:ascii="Arial" w:hAnsi="Arial" w:cs="Arial"/>
          <w:sz w:val="24"/>
          <w:szCs w:val="24"/>
        </w:rPr>
        <w:t>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F470D9" w:rsidRPr="00547E5F" w:rsidRDefault="00F470D9" w:rsidP="00D1428D">
      <w:pPr>
        <w:spacing w:line="360" w:lineRule="auto"/>
        <w:jc w:val="both"/>
        <w:rPr>
          <w:rFonts w:ascii="Arial" w:hAnsi="Arial" w:cs="Arial"/>
          <w:sz w:val="24"/>
          <w:szCs w:val="24"/>
        </w:rPr>
      </w:pPr>
      <w:r w:rsidRPr="00547E5F">
        <w:rPr>
          <w:rFonts w:ascii="Arial" w:hAnsi="Arial" w:cs="Arial"/>
          <w:sz w:val="24"/>
          <w:szCs w:val="24"/>
        </w:rPr>
        <w:t xml:space="preserve">Como parte de una auditoría de acuerdo con las ISSAI referidas en la sección </w:t>
      </w:r>
      <w:r w:rsidRPr="00547E5F">
        <w:rPr>
          <w:rFonts w:ascii="Arial" w:hAnsi="Arial" w:cs="Arial"/>
          <w:i/>
          <w:sz w:val="24"/>
          <w:szCs w:val="24"/>
        </w:rPr>
        <w:t>Bases para la Opinión</w:t>
      </w:r>
      <w:r w:rsidRPr="00547E5F">
        <w:rPr>
          <w:rFonts w:ascii="Arial" w:hAnsi="Arial" w:cs="Arial"/>
          <w:sz w:val="24"/>
          <w:szCs w:val="24"/>
        </w:rPr>
        <w:t>, el Tribunal de Cuentas aplica su juicio profesional y mantiene el escepticismo profesional durante el proceso de auditoría. Asimismo:</w:t>
      </w:r>
    </w:p>
    <w:p w:rsidR="00F470D9" w:rsidRPr="00547E5F" w:rsidRDefault="00F470D9" w:rsidP="00D1428D">
      <w:pPr>
        <w:numPr>
          <w:ilvl w:val="0"/>
          <w:numId w:val="3"/>
        </w:numPr>
        <w:spacing w:line="360" w:lineRule="auto"/>
        <w:contextualSpacing/>
        <w:jc w:val="both"/>
        <w:rPr>
          <w:rFonts w:ascii="Arial" w:hAnsi="Arial" w:cs="Arial"/>
          <w:sz w:val="24"/>
          <w:szCs w:val="24"/>
        </w:rPr>
      </w:pPr>
      <w:r w:rsidRPr="00547E5F">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93576A">
        <w:rPr>
          <w:rFonts w:ascii="Arial" w:hAnsi="Arial" w:cs="Arial"/>
          <w:sz w:val="24"/>
          <w:szCs w:val="24"/>
        </w:rPr>
        <w:t>artamientos de control interno.</w:t>
      </w:r>
    </w:p>
    <w:p w:rsidR="00F470D9" w:rsidRPr="00547E5F" w:rsidRDefault="00F470D9" w:rsidP="00D1428D">
      <w:pPr>
        <w:numPr>
          <w:ilvl w:val="0"/>
          <w:numId w:val="3"/>
        </w:numPr>
        <w:spacing w:line="360" w:lineRule="auto"/>
        <w:contextualSpacing/>
        <w:jc w:val="both"/>
        <w:rPr>
          <w:rFonts w:ascii="Arial" w:hAnsi="Arial" w:cs="Arial"/>
          <w:sz w:val="24"/>
          <w:szCs w:val="24"/>
        </w:rPr>
      </w:pPr>
      <w:r w:rsidRPr="00547E5F">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F470D9" w:rsidRPr="00547E5F" w:rsidRDefault="00F470D9" w:rsidP="0093576A">
      <w:pPr>
        <w:numPr>
          <w:ilvl w:val="0"/>
          <w:numId w:val="3"/>
        </w:numPr>
        <w:spacing w:line="360" w:lineRule="auto"/>
        <w:contextualSpacing/>
        <w:jc w:val="both"/>
        <w:rPr>
          <w:rFonts w:ascii="Arial" w:hAnsi="Arial" w:cs="Arial"/>
          <w:sz w:val="24"/>
          <w:szCs w:val="24"/>
        </w:rPr>
      </w:pPr>
      <w:r w:rsidRPr="00547E5F">
        <w:rPr>
          <w:rFonts w:ascii="Arial" w:hAnsi="Arial" w:cs="Arial"/>
          <w:sz w:val="24"/>
          <w:szCs w:val="24"/>
        </w:rPr>
        <w:t>Evalúa la presentación general, la estructura y</w:t>
      </w:r>
      <w:r>
        <w:rPr>
          <w:rFonts w:ascii="Arial" w:hAnsi="Arial" w:cs="Arial"/>
          <w:sz w:val="24"/>
          <w:szCs w:val="24"/>
        </w:rPr>
        <w:t xml:space="preserve"> </w:t>
      </w:r>
      <w:r w:rsidRPr="00547E5F">
        <w:rPr>
          <w:rFonts w:ascii="Arial" w:hAnsi="Arial" w:cs="Arial"/>
          <w:sz w:val="24"/>
          <w:szCs w:val="24"/>
        </w:rPr>
        <w:t>contenido de los estados, incluyendo las revelaciones y si los estados representan las transacciones y eventos subyacentes de un modo que se logre una representación fiel de los mismos.</w:t>
      </w:r>
    </w:p>
    <w:p w:rsidR="00F470D9" w:rsidRPr="00547E5F" w:rsidRDefault="00F470D9" w:rsidP="00D1428D">
      <w:pPr>
        <w:spacing w:line="360" w:lineRule="auto"/>
        <w:contextualSpacing/>
        <w:jc w:val="both"/>
        <w:rPr>
          <w:rFonts w:ascii="Arial" w:hAnsi="Arial" w:cs="Arial"/>
          <w:sz w:val="24"/>
          <w:szCs w:val="24"/>
        </w:rPr>
      </w:pPr>
    </w:p>
    <w:p w:rsidR="00F470D9" w:rsidRPr="00547E5F" w:rsidRDefault="00F470D9" w:rsidP="00D1428D">
      <w:pPr>
        <w:spacing w:line="360" w:lineRule="auto"/>
        <w:jc w:val="both"/>
        <w:rPr>
          <w:rFonts w:ascii="Arial" w:hAnsi="Arial" w:cs="Arial"/>
          <w:b/>
          <w:sz w:val="24"/>
          <w:szCs w:val="24"/>
        </w:rPr>
      </w:pPr>
      <w:r w:rsidRPr="00547E5F">
        <w:rPr>
          <w:rFonts w:ascii="Arial" w:hAnsi="Arial" w:cs="Arial"/>
          <w:b/>
          <w:sz w:val="24"/>
          <w:szCs w:val="24"/>
        </w:rPr>
        <w:t>Informe de cumplimiento de la normativa vigente</w:t>
      </w:r>
    </w:p>
    <w:p w:rsidR="00F470D9" w:rsidRDefault="00F470D9" w:rsidP="00D1428D">
      <w:pPr>
        <w:spacing w:after="0" w:line="360" w:lineRule="auto"/>
        <w:jc w:val="both"/>
        <w:rPr>
          <w:rFonts w:ascii="Arial" w:hAnsi="Arial" w:cs="Arial"/>
          <w:sz w:val="24"/>
          <w:szCs w:val="24"/>
        </w:rPr>
      </w:pPr>
      <w:r w:rsidRPr="00547E5F">
        <w:rPr>
          <w:rFonts w:ascii="Arial" w:hAnsi="Arial" w:cs="Arial"/>
          <w:sz w:val="24"/>
          <w:szCs w:val="24"/>
        </w:rPr>
        <w:t xml:space="preserve">Respecto a los incumplimientos mencionados en el párrafo </w:t>
      </w:r>
      <w:r w:rsidRPr="00547E5F">
        <w:rPr>
          <w:rFonts w:ascii="Arial" w:hAnsi="Arial" w:cs="Arial"/>
          <w:i/>
          <w:sz w:val="24"/>
          <w:szCs w:val="24"/>
        </w:rPr>
        <w:t xml:space="preserve">Opinión respecto al cumplimiento de la normativa legal aplicable </w:t>
      </w:r>
      <w:r w:rsidRPr="00547E5F">
        <w:rPr>
          <w:rFonts w:ascii="Arial" w:hAnsi="Arial" w:cs="Arial"/>
          <w:sz w:val="24"/>
          <w:szCs w:val="24"/>
        </w:rPr>
        <w:t>corresponde señalar lo siguiente:</w:t>
      </w:r>
    </w:p>
    <w:p w:rsidR="00F470D9" w:rsidRDefault="00F470D9" w:rsidP="00D1428D">
      <w:pPr>
        <w:numPr>
          <w:ilvl w:val="0"/>
          <w:numId w:val="2"/>
        </w:numPr>
        <w:tabs>
          <w:tab w:val="left" w:pos="0"/>
        </w:tabs>
        <w:spacing w:after="0" w:line="360" w:lineRule="auto"/>
        <w:ind w:left="0" w:firstLine="284"/>
        <w:jc w:val="both"/>
        <w:rPr>
          <w:rFonts w:ascii="Arial" w:hAnsi="Arial" w:cs="Arial"/>
          <w:sz w:val="24"/>
          <w:szCs w:val="24"/>
        </w:rPr>
      </w:pPr>
      <w:r w:rsidRPr="003E0302">
        <w:rPr>
          <w:rFonts w:ascii="Arial" w:hAnsi="Arial" w:cs="Arial"/>
          <w:sz w:val="24"/>
          <w:szCs w:val="24"/>
        </w:rPr>
        <w:t>Art. 84 del TOCAF, no cuenta la Dirección General de Casinos con un inventario general de todos los bienes, actu</w:t>
      </w:r>
      <w:r>
        <w:rPr>
          <w:rFonts w:ascii="Arial" w:hAnsi="Arial" w:cs="Arial"/>
          <w:sz w:val="24"/>
          <w:szCs w:val="24"/>
        </w:rPr>
        <w:t>alizado y valuados al 31/12/2017</w:t>
      </w:r>
      <w:r w:rsidRPr="003E0302">
        <w:rPr>
          <w:rFonts w:ascii="Arial" w:hAnsi="Arial" w:cs="Arial"/>
          <w:sz w:val="24"/>
          <w:szCs w:val="24"/>
        </w:rPr>
        <w:t>.</w:t>
      </w:r>
    </w:p>
    <w:p w:rsidR="00F470D9" w:rsidRDefault="00F470D9" w:rsidP="00D1428D">
      <w:pPr>
        <w:numPr>
          <w:ilvl w:val="0"/>
          <w:numId w:val="2"/>
        </w:numPr>
        <w:spacing w:after="0" w:line="360" w:lineRule="auto"/>
        <w:ind w:left="0" w:firstLine="284"/>
        <w:jc w:val="both"/>
        <w:rPr>
          <w:rFonts w:ascii="Arial" w:hAnsi="Arial" w:cs="Arial"/>
          <w:sz w:val="24"/>
          <w:szCs w:val="24"/>
        </w:rPr>
      </w:pPr>
      <w:r w:rsidRPr="0099671B">
        <w:rPr>
          <w:rFonts w:ascii="Arial" w:hAnsi="Arial" w:cs="Arial"/>
          <w:sz w:val="24"/>
          <w:szCs w:val="24"/>
        </w:rPr>
        <w:t>Artículo 89 del TOCAF, las cajas chicas forman parte de los fondos permanentes (artículo 90 del TOCAF) y estos no pueden destinarse al pago de retribuciones ni suministros de bienes o servicios efectuados por organismos del Estado. La Dirección General de Casinos abonó facturas de combustibles con fondos de la caja chica perteneciente a la División Control, Seguridad y Logística.</w:t>
      </w:r>
    </w:p>
    <w:p w:rsidR="00F470D9" w:rsidRPr="0099671B" w:rsidRDefault="00F470D9" w:rsidP="00D1428D">
      <w:pPr>
        <w:numPr>
          <w:ilvl w:val="0"/>
          <w:numId w:val="2"/>
        </w:numPr>
        <w:spacing w:after="0" w:line="360" w:lineRule="auto"/>
        <w:ind w:left="0" w:firstLine="284"/>
        <w:jc w:val="both"/>
        <w:rPr>
          <w:rFonts w:ascii="Arial" w:hAnsi="Arial" w:cs="Arial"/>
          <w:sz w:val="24"/>
          <w:szCs w:val="24"/>
        </w:rPr>
      </w:pPr>
      <w:r>
        <w:rPr>
          <w:rFonts w:ascii="Arial" w:hAnsi="Arial" w:cs="Arial"/>
          <w:sz w:val="24"/>
          <w:szCs w:val="24"/>
        </w:rPr>
        <w:t xml:space="preserve">Numeral </w:t>
      </w:r>
      <w:r w:rsidRPr="00527F1D">
        <w:rPr>
          <w:rFonts w:ascii="Arial" w:hAnsi="Arial" w:cs="Arial"/>
          <w:sz w:val="24"/>
          <w:szCs w:val="24"/>
        </w:rPr>
        <w:t>4 de la Resolución del Presidente de la República de fecha 16/01/2014, correspondiente al Expediente 388/2013 por el que se contrataron 45 funcionarios zafrales, que ingresaron a prestar funciones a la DGC, sin suscribirse los contratos respe</w:t>
      </w:r>
      <w:r>
        <w:rPr>
          <w:rFonts w:ascii="Arial" w:hAnsi="Arial" w:cs="Arial"/>
          <w:sz w:val="24"/>
          <w:szCs w:val="24"/>
        </w:rPr>
        <w:t>c</w:t>
      </w:r>
      <w:r w:rsidRPr="00527F1D">
        <w:rPr>
          <w:rFonts w:ascii="Arial" w:hAnsi="Arial" w:cs="Arial"/>
          <w:sz w:val="24"/>
          <w:szCs w:val="24"/>
        </w:rPr>
        <w:t>tivos</w:t>
      </w:r>
      <w:r>
        <w:rPr>
          <w:rFonts w:ascii="Arial" w:hAnsi="Arial" w:cs="Arial"/>
          <w:sz w:val="24"/>
          <w:szCs w:val="24"/>
        </w:rPr>
        <w:t>.</w:t>
      </w:r>
    </w:p>
    <w:p w:rsidR="00F470D9" w:rsidRPr="00283680" w:rsidRDefault="00F470D9" w:rsidP="00D1428D">
      <w:pPr>
        <w:spacing w:after="260" w:line="360" w:lineRule="auto"/>
        <w:ind w:left="360"/>
        <w:jc w:val="right"/>
        <w:rPr>
          <w:rFonts w:ascii="Arial" w:hAnsi="Arial" w:cs="Arial"/>
          <w:sz w:val="24"/>
          <w:szCs w:val="24"/>
        </w:rPr>
      </w:pPr>
      <w:r w:rsidRPr="00547E5F">
        <w:rPr>
          <w:rFonts w:ascii="Arial" w:hAnsi="Arial" w:cs="Arial"/>
          <w:sz w:val="24"/>
          <w:szCs w:val="24"/>
        </w:rPr>
        <w:t xml:space="preserve">Montevideo, </w:t>
      </w:r>
      <w:r>
        <w:rPr>
          <w:rFonts w:ascii="Arial" w:hAnsi="Arial" w:cs="Arial"/>
          <w:sz w:val="24"/>
          <w:szCs w:val="24"/>
        </w:rPr>
        <w:t>9 de enero de 2019</w:t>
      </w:r>
    </w:p>
    <w:p w:rsidR="00F470D9" w:rsidRDefault="00F470D9" w:rsidP="00BB3C20">
      <w:pPr>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Default="00F470D9" w:rsidP="00527F1D">
      <w:pPr>
        <w:tabs>
          <w:tab w:val="left" w:pos="284"/>
        </w:tabs>
        <w:spacing w:after="0" w:line="360" w:lineRule="auto"/>
        <w:rPr>
          <w:rFonts w:ascii="Arial" w:eastAsia="Times New Roman" w:hAnsi="Arial" w:cs="Arial"/>
          <w:sz w:val="24"/>
          <w:szCs w:val="24"/>
          <w:lang w:eastAsia="es-UY"/>
        </w:rPr>
      </w:pPr>
    </w:p>
    <w:p w:rsidR="00F470D9" w:rsidRPr="00527F1D" w:rsidRDefault="00F470D9" w:rsidP="00527F1D">
      <w:pPr>
        <w:tabs>
          <w:tab w:val="left" w:pos="0"/>
        </w:tabs>
        <w:spacing w:after="0" w:line="360" w:lineRule="auto"/>
        <w:ind w:hanging="8647"/>
        <w:jc w:val="center"/>
        <w:rPr>
          <w:rFonts w:ascii="Arial" w:eastAsia="Times New Roman" w:hAnsi="Arial" w:cs="Arial"/>
          <w:b/>
          <w:sz w:val="24"/>
          <w:szCs w:val="24"/>
          <w:lang w:val="es-CO" w:eastAsia="es-UY"/>
        </w:rPr>
      </w:pPr>
      <w:r w:rsidRPr="00527F1D">
        <w:rPr>
          <w:rFonts w:ascii="Arial" w:eastAsia="Times New Roman" w:hAnsi="Arial" w:cs="Arial"/>
          <w:b/>
          <w:sz w:val="24"/>
          <w:szCs w:val="24"/>
          <w:lang w:val="es-CO" w:eastAsia="es-UY"/>
        </w:rPr>
        <w:tab/>
        <w:t>INFORME A LA ADMINISTRACION</w:t>
      </w:r>
    </w:p>
    <w:p w:rsidR="00F470D9" w:rsidRPr="00527F1D" w:rsidRDefault="00F470D9" w:rsidP="00527F1D">
      <w:pPr>
        <w:tabs>
          <w:tab w:val="left" w:pos="0"/>
        </w:tabs>
        <w:spacing w:after="0" w:line="360" w:lineRule="auto"/>
        <w:ind w:hanging="8647"/>
        <w:rPr>
          <w:rFonts w:ascii="Arial" w:eastAsia="Times New Roman" w:hAnsi="Arial" w:cs="Arial"/>
          <w:b/>
          <w:sz w:val="24"/>
          <w:szCs w:val="24"/>
          <w:lang w:val="es-CO" w:eastAsia="es-UY"/>
        </w:rPr>
      </w:pPr>
    </w:p>
    <w:p w:rsidR="00F470D9" w:rsidRPr="00527F1D" w:rsidRDefault="00F470D9" w:rsidP="00527F1D">
      <w:pPr>
        <w:spacing w:after="0" w:line="360" w:lineRule="auto"/>
        <w:jc w:val="both"/>
        <w:rPr>
          <w:rFonts w:ascii="Arial" w:eastAsia="Times New Roman" w:hAnsi="Arial" w:cs="Arial"/>
          <w:sz w:val="24"/>
          <w:szCs w:val="24"/>
          <w:lang w:eastAsia="es-UY"/>
        </w:rPr>
      </w:pPr>
      <w:r w:rsidRPr="00527F1D">
        <w:rPr>
          <w:rFonts w:ascii="Arial" w:eastAsia="Times New Roman" w:hAnsi="Arial" w:cs="Arial"/>
          <w:sz w:val="24"/>
          <w:szCs w:val="24"/>
          <w:lang w:eastAsia="es-ES"/>
        </w:rPr>
        <w:t xml:space="preserve">El Tribunal de Cuentas ha examinado el Balance de Ejecución Presupuestal de la </w:t>
      </w:r>
      <w:r w:rsidRPr="00527F1D">
        <w:rPr>
          <w:rFonts w:ascii="Arial" w:eastAsia="Times New Roman" w:hAnsi="Arial" w:cs="Arial"/>
          <w:spacing w:val="-12"/>
          <w:sz w:val="24"/>
          <w:szCs w:val="24"/>
          <w:lang w:eastAsia="es-ES"/>
        </w:rPr>
        <w:t xml:space="preserve">Dirección General de Casinos (DGC) </w:t>
      </w:r>
      <w:r w:rsidRPr="00527F1D">
        <w:rPr>
          <w:rFonts w:ascii="Arial" w:eastAsia="Times New Roman" w:hAnsi="Arial" w:cs="Arial"/>
          <w:sz w:val="24"/>
          <w:szCs w:val="24"/>
          <w:lang w:eastAsia="es-UY"/>
        </w:rPr>
        <w:t>correspondiente al período 1º de enero al 31 de diciembre de 2017</w:t>
      </w:r>
      <w:r w:rsidRPr="00527F1D">
        <w:rPr>
          <w:rFonts w:ascii="Arial" w:eastAsia="Times New Roman" w:hAnsi="Arial" w:cs="Arial"/>
          <w:spacing w:val="-12"/>
          <w:sz w:val="24"/>
          <w:szCs w:val="24"/>
          <w:lang w:eastAsia="es-ES"/>
        </w:rPr>
        <w:t xml:space="preserve"> y ha emitido su</w:t>
      </w:r>
      <w:r w:rsidRPr="00527F1D">
        <w:rPr>
          <w:rFonts w:ascii="Arial" w:eastAsia="Times New Roman" w:hAnsi="Arial" w:cs="Arial"/>
          <w:sz w:val="24"/>
          <w:szCs w:val="24"/>
          <w:lang w:eastAsia="es-ES"/>
        </w:rPr>
        <w:t xml:space="preserve"> Dictamen</w:t>
      </w:r>
      <w:r w:rsidR="0093576A">
        <w:rPr>
          <w:rFonts w:ascii="Arial" w:eastAsia="Times New Roman" w:hAnsi="Arial" w:cs="Arial"/>
          <w:sz w:val="24"/>
          <w:szCs w:val="24"/>
          <w:lang w:eastAsia="es-UY"/>
        </w:rPr>
        <w:t>.</w:t>
      </w:r>
    </w:p>
    <w:p w:rsidR="00F470D9" w:rsidRPr="00527F1D" w:rsidRDefault="00F470D9" w:rsidP="00527F1D">
      <w:pPr>
        <w:spacing w:after="0" w:line="360" w:lineRule="auto"/>
        <w:jc w:val="both"/>
        <w:rPr>
          <w:rFonts w:ascii="Arial" w:eastAsia="Times New Roman" w:hAnsi="Arial" w:cs="Arial"/>
          <w:sz w:val="24"/>
          <w:szCs w:val="24"/>
          <w:lang w:eastAsia="es-UY"/>
        </w:rPr>
      </w:pPr>
      <w:r w:rsidRPr="00527F1D">
        <w:rPr>
          <w:rFonts w:ascii="Arial" w:eastAsia="Times New Roman" w:hAnsi="Arial" w:cs="Arial"/>
          <w:sz w:val="24"/>
          <w:szCs w:val="24"/>
          <w:lang w:eastAsia="es-UY"/>
        </w:rPr>
        <w:t>Este informe contiene consideraciones relativas a la evaluación del control interno. Se incluyen además, comentarios que se han entendido pertinente exponer relacionado a la situación de determinados capítulos y rubros de los estados examinados y a disposiciones legales vigentes.</w:t>
      </w:r>
    </w:p>
    <w:p w:rsidR="00F470D9" w:rsidRPr="00527F1D" w:rsidRDefault="00F470D9" w:rsidP="00527F1D">
      <w:pPr>
        <w:spacing w:after="0" w:line="360" w:lineRule="auto"/>
        <w:jc w:val="both"/>
        <w:rPr>
          <w:rFonts w:ascii="Arial" w:eastAsia="Times New Roman" w:hAnsi="Arial" w:cs="Arial"/>
          <w:sz w:val="24"/>
          <w:szCs w:val="24"/>
          <w:lang w:eastAsia="es-UY"/>
        </w:rPr>
      </w:pPr>
      <w:r w:rsidRPr="00527F1D">
        <w:rPr>
          <w:rFonts w:ascii="Arial" w:eastAsia="Times New Roman" w:hAnsi="Arial" w:cs="Arial"/>
          <w:sz w:val="24"/>
          <w:szCs w:val="24"/>
          <w:lang w:eastAsia="es-ES"/>
        </w:rPr>
        <w:t xml:space="preserve">También se agregan las principales recomendaciones que </w:t>
      </w:r>
      <w:proofErr w:type="gramStart"/>
      <w:r w:rsidRPr="00527F1D">
        <w:rPr>
          <w:rFonts w:ascii="Arial" w:eastAsia="Times New Roman" w:hAnsi="Arial" w:cs="Arial"/>
          <w:sz w:val="24"/>
          <w:szCs w:val="24"/>
          <w:lang w:eastAsia="es-ES"/>
        </w:rPr>
        <w:t>deberá</w:t>
      </w:r>
      <w:proofErr w:type="gramEnd"/>
      <w:r w:rsidRPr="00527F1D">
        <w:rPr>
          <w:rFonts w:ascii="Arial" w:eastAsia="Times New Roman" w:hAnsi="Arial" w:cs="Arial"/>
          <w:sz w:val="24"/>
          <w:szCs w:val="24"/>
          <w:lang w:eastAsia="es-ES"/>
        </w:rPr>
        <w:t xml:space="preserve"> atender el Organismo y una </w:t>
      </w:r>
      <w:r w:rsidRPr="00527F1D">
        <w:rPr>
          <w:rFonts w:ascii="Arial" w:eastAsia="Times New Roman" w:hAnsi="Arial" w:cs="Arial"/>
          <w:sz w:val="24"/>
          <w:szCs w:val="24"/>
          <w:lang w:eastAsia="es-UY"/>
        </w:rPr>
        <w:t>evaluación del cumplimiento de las recomendaciones presentadas en el informe de auditoría del ejercicio anterior.</w:t>
      </w:r>
    </w:p>
    <w:p w:rsidR="00F470D9" w:rsidRDefault="00F470D9" w:rsidP="00527F1D">
      <w:pPr>
        <w:tabs>
          <w:tab w:val="left" w:pos="284"/>
        </w:tabs>
        <w:spacing w:after="0" w:line="360" w:lineRule="auto"/>
        <w:jc w:val="both"/>
        <w:rPr>
          <w:rFonts w:ascii="Arial" w:eastAsia="Times New Roman" w:hAnsi="Arial" w:cs="Arial"/>
          <w:b/>
          <w:sz w:val="24"/>
          <w:szCs w:val="24"/>
          <w:lang w:val="es-ES" w:eastAsia="es-ES"/>
        </w:rPr>
      </w:pPr>
    </w:p>
    <w:p w:rsidR="00F470D9" w:rsidRPr="00527F1D" w:rsidRDefault="0093576A" w:rsidP="00527F1D">
      <w:pPr>
        <w:tabs>
          <w:tab w:val="left" w:pos="284"/>
        </w:tabs>
        <w:spacing w:after="0" w:line="36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Presentación de los Estados</w:t>
      </w:r>
    </w:p>
    <w:p w:rsidR="00F470D9" w:rsidRPr="00527F1D" w:rsidRDefault="00F470D9" w:rsidP="00527F1D">
      <w:pPr>
        <w:spacing w:after="0" w:line="360" w:lineRule="auto"/>
        <w:jc w:val="both"/>
        <w:rPr>
          <w:rFonts w:ascii="Arial" w:eastAsia="Times New Roman" w:hAnsi="Arial" w:cs="Arial"/>
          <w:spacing w:val="-3"/>
          <w:sz w:val="24"/>
          <w:szCs w:val="24"/>
          <w:lang w:val="es-ES_tradnl" w:eastAsia="es-ES"/>
        </w:rPr>
      </w:pPr>
      <w:r w:rsidRPr="00527F1D">
        <w:rPr>
          <w:rFonts w:ascii="Arial" w:eastAsia="Times New Roman" w:hAnsi="Arial" w:cs="Arial"/>
          <w:bCs/>
          <w:sz w:val="24"/>
          <w:szCs w:val="24"/>
          <w:lang w:val="es-ES" w:eastAsia="es-ES"/>
        </w:rPr>
        <w:t>El</w:t>
      </w:r>
      <w:r w:rsidRPr="00527F1D">
        <w:rPr>
          <w:rFonts w:ascii="Arial" w:eastAsia="Times New Roman" w:hAnsi="Arial" w:cs="Arial"/>
          <w:sz w:val="24"/>
          <w:szCs w:val="24"/>
          <w:lang w:eastAsia="es-ES"/>
        </w:rPr>
        <w:t xml:space="preserve"> Balance de Ejecución Presupuestal de la </w:t>
      </w:r>
      <w:r w:rsidRPr="00527F1D">
        <w:rPr>
          <w:rFonts w:ascii="Arial" w:eastAsia="Times New Roman" w:hAnsi="Arial" w:cs="Arial"/>
          <w:spacing w:val="-12"/>
          <w:sz w:val="24"/>
          <w:szCs w:val="24"/>
          <w:lang w:eastAsia="es-ES"/>
        </w:rPr>
        <w:t>Dirección General de Casinos</w:t>
      </w:r>
      <w:r w:rsidRPr="00527F1D">
        <w:rPr>
          <w:rFonts w:ascii="Arial" w:eastAsia="Times New Roman" w:hAnsi="Arial" w:cs="Arial"/>
          <w:bCs/>
          <w:sz w:val="24"/>
          <w:szCs w:val="24"/>
          <w:lang w:val="es-ES" w:eastAsia="es-ES"/>
        </w:rPr>
        <w:t xml:space="preserve"> correspondiente al ejercicio finalizado el </w:t>
      </w:r>
      <w:r w:rsidRPr="00527F1D">
        <w:rPr>
          <w:rFonts w:ascii="Arial" w:eastAsia="Times New Roman" w:hAnsi="Arial" w:cs="Arial"/>
          <w:spacing w:val="-12"/>
          <w:sz w:val="24"/>
          <w:szCs w:val="24"/>
          <w:lang w:eastAsia="es-ES"/>
        </w:rPr>
        <w:t>31/12/2017</w:t>
      </w:r>
      <w:r w:rsidR="0093576A">
        <w:rPr>
          <w:rFonts w:ascii="Arial" w:eastAsia="Times New Roman" w:hAnsi="Arial" w:cs="Arial"/>
          <w:bCs/>
          <w:sz w:val="24"/>
          <w:szCs w:val="24"/>
          <w:lang w:val="es-ES" w:eastAsia="es-ES"/>
        </w:rPr>
        <w:t>, fue remitido por Oficio N°</w:t>
      </w:r>
      <w:r w:rsidRPr="00527F1D">
        <w:rPr>
          <w:rFonts w:ascii="Arial" w:eastAsia="Times New Roman" w:hAnsi="Arial" w:cs="Arial"/>
          <w:bCs/>
          <w:sz w:val="24"/>
          <w:szCs w:val="24"/>
          <w:lang w:val="es-ES" w:eastAsia="es-ES"/>
        </w:rPr>
        <w:t>39/2018 de fecha 22/03/2018</w:t>
      </w:r>
      <w:r w:rsidRPr="00527F1D">
        <w:rPr>
          <w:rFonts w:ascii="Arial" w:eastAsia="Times New Roman" w:hAnsi="Arial" w:cs="Arial"/>
          <w:spacing w:val="-3"/>
          <w:sz w:val="24"/>
          <w:szCs w:val="24"/>
          <w:lang w:val="es-ES_tradnl" w:eastAsia="es-ES"/>
        </w:rPr>
        <w:t xml:space="preserve"> para su examen a este Tribunal.</w:t>
      </w:r>
    </w:p>
    <w:p w:rsidR="00F470D9" w:rsidRPr="0093576A" w:rsidRDefault="00F470D9" w:rsidP="00527F1D">
      <w:pPr>
        <w:tabs>
          <w:tab w:val="left" w:pos="284"/>
        </w:tabs>
        <w:spacing w:after="0" w:line="360" w:lineRule="auto"/>
        <w:jc w:val="both"/>
        <w:rPr>
          <w:rFonts w:ascii="Arial" w:eastAsia="Times New Roman" w:hAnsi="Arial" w:cs="Arial"/>
          <w:b/>
          <w:sz w:val="24"/>
          <w:szCs w:val="24"/>
          <w:lang w:val="es-ES_tradnl" w:eastAsia="es-ES"/>
        </w:rPr>
      </w:pPr>
    </w:p>
    <w:p w:rsidR="00F470D9" w:rsidRPr="00527F1D" w:rsidRDefault="00F470D9" w:rsidP="00527F1D">
      <w:pPr>
        <w:tabs>
          <w:tab w:val="left" w:pos="284"/>
        </w:tabs>
        <w:spacing w:after="0" w:line="360" w:lineRule="auto"/>
        <w:jc w:val="both"/>
        <w:rPr>
          <w:rFonts w:ascii="Arial" w:eastAsia="Times New Roman" w:hAnsi="Arial" w:cs="Arial"/>
          <w:b/>
          <w:sz w:val="24"/>
          <w:szCs w:val="24"/>
          <w:lang w:val="es-ES" w:eastAsia="es-ES"/>
        </w:rPr>
      </w:pPr>
      <w:r w:rsidRPr="00527F1D">
        <w:rPr>
          <w:rFonts w:ascii="Arial" w:eastAsia="Times New Roman" w:hAnsi="Arial" w:cs="Arial"/>
          <w:b/>
          <w:sz w:val="24"/>
          <w:szCs w:val="24"/>
          <w:lang w:val="es-ES" w:eastAsia="es-ES"/>
        </w:rPr>
        <w:t>Evaluación del control interno</w:t>
      </w:r>
    </w:p>
    <w:p w:rsidR="00F470D9" w:rsidRPr="00527F1D" w:rsidRDefault="00F470D9" w:rsidP="00527F1D">
      <w:pPr>
        <w:spacing w:after="0" w:line="360" w:lineRule="auto"/>
        <w:jc w:val="both"/>
        <w:rPr>
          <w:rFonts w:ascii="Arial" w:eastAsia="Times New Roman" w:hAnsi="Arial" w:cs="Arial"/>
          <w:bCs/>
          <w:sz w:val="24"/>
          <w:szCs w:val="24"/>
          <w:lang w:eastAsia="es-ES"/>
        </w:rPr>
      </w:pPr>
      <w:r w:rsidRPr="00527F1D">
        <w:rPr>
          <w:rFonts w:ascii="Arial" w:eastAsia="Times New Roman" w:hAnsi="Arial" w:cs="Arial"/>
          <w:bCs/>
          <w:sz w:val="24"/>
          <w:szCs w:val="24"/>
          <w:lang w:eastAsia="es-ES"/>
        </w:rPr>
        <w:t>El examen de los aspectos de control interno relevantes para la preparación y presentación razonable de los estados financieros, permitió constatar la siguiente debilidad en relación a las actividades de control, información financiera y cumplimiento de normas legales:</w:t>
      </w:r>
    </w:p>
    <w:p w:rsidR="00F470D9" w:rsidRPr="00527F1D" w:rsidRDefault="00F470D9" w:rsidP="00527F1D">
      <w:pPr>
        <w:tabs>
          <w:tab w:val="left" w:pos="426"/>
        </w:tabs>
        <w:spacing w:after="0" w:line="360" w:lineRule="auto"/>
        <w:jc w:val="both"/>
        <w:rPr>
          <w:rFonts w:ascii="Arial" w:eastAsia="Times New Roman" w:hAnsi="Arial" w:cs="Arial"/>
          <w:bCs/>
          <w:sz w:val="24"/>
          <w:szCs w:val="24"/>
          <w:lang w:eastAsia="es-UY"/>
        </w:rPr>
      </w:pPr>
      <w:r>
        <w:rPr>
          <w:rFonts w:ascii="Arial" w:eastAsia="Times New Roman" w:hAnsi="Arial" w:cs="Arial"/>
          <w:bCs/>
          <w:sz w:val="24"/>
          <w:szCs w:val="24"/>
          <w:lang w:eastAsia="es-UY"/>
        </w:rPr>
        <w:t>S</w:t>
      </w:r>
      <w:r w:rsidRPr="00527F1D">
        <w:rPr>
          <w:rFonts w:ascii="Arial" w:eastAsia="Times New Roman" w:hAnsi="Arial" w:cs="Arial"/>
          <w:bCs/>
          <w:sz w:val="24"/>
          <w:szCs w:val="24"/>
          <w:lang w:eastAsia="es-UY"/>
        </w:rPr>
        <w:t xml:space="preserve">e contrataron 45 funcionarios zafrales, que ingresaron a prestar funciones a la DGC, </w:t>
      </w:r>
      <w:r>
        <w:rPr>
          <w:rFonts w:ascii="Arial" w:eastAsia="Times New Roman" w:hAnsi="Arial" w:cs="Arial"/>
          <w:bCs/>
          <w:sz w:val="24"/>
          <w:szCs w:val="24"/>
          <w:lang w:eastAsia="es-UY"/>
        </w:rPr>
        <w:t>y no</w:t>
      </w:r>
      <w:r w:rsidRPr="00527F1D">
        <w:rPr>
          <w:rFonts w:ascii="Arial" w:eastAsia="Times New Roman" w:hAnsi="Arial" w:cs="Arial"/>
          <w:bCs/>
          <w:sz w:val="24"/>
          <w:szCs w:val="24"/>
          <w:lang w:eastAsia="es-UY"/>
        </w:rPr>
        <w:t xml:space="preserve"> suscribi</w:t>
      </w:r>
      <w:r>
        <w:rPr>
          <w:rFonts w:ascii="Arial" w:eastAsia="Times New Roman" w:hAnsi="Arial" w:cs="Arial"/>
          <w:bCs/>
          <w:sz w:val="24"/>
          <w:szCs w:val="24"/>
          <w:lang w:eastAsia="es-UY"/>
        </w:rPr>
        <w:t>eron</w:t>
      </w:r>
      <w:r w:rsidRPr="00527F1D">
        <w:rPr>
          <w:rFonts w:ascii="Arial" w:eastAsia="Times New Roman" w:hAnsi="Arial" w:cs="Arial"/>
          <w:bCs/>
          <w:sz w:val="24"/>
          <w:szCs w:val="24"/>
          <w:lang w:eastAsia="es-UY"/>
        </w:rPr>
        <w:t xml:space="preserve"> los contratos respetivos</w:t>
      </w:r>
      <w:r>
        <w:rPr>
          <w:rFonts w:ascii="Arial" w:eastAsia="Times New Roman" w:hAnsi="Arial" w:cs="Arial"/>
          <w:bCs/>
          <w:sz w:val="24"/>
          <w:szCs w:val="24"/>
          <w:lang w:eastAsia="es-UY"/>
        </w:rPr>
        <w:t xml:space="preserve"> no dando cumplimiento al </w:t>
      </w:r>
      <w:r w:rsidRPr="00527F1D">
        <w:rPr>
          <w:rFonts w:ascii="Arial" w:eastAsia="Times New Roman" w:hAnsi="Arial" w:cs="Arial"/>
          <w:bCs/>
          <w:sz w:val="24"/>
          <w:szCs w:val="24"/>
          <w:lang w:eastAsia="es-UY"/>
        </w:rPr>
        <w:t xml:space="preserve"> Numeral 4 de la Resolución del Presidente de l</w:t>
      </w:r>
      <w:r w:rsidR="0093576A">
        <w:rPr>
          <w:rFonts w:ascii="Arial" w:eastAsia="Times New Roman" w:hAnsi="Arial" w:cs="Arial"/>
          <w:bCs/>
          <w:sz w:val="24"/>
          <w:szCs w:val="24"/>
          <w:lang w:eastAsia="es-UY"/>
        </w:rPr>
        <w:t>a República de fecha 16/01/2014.</w:t>
      </w:r>
    </w:p>
    <w:p w:rsidR="00F470D9" w:rsidRDefault="00F470D9" w:rsidP="00527F1D">
      <w:pPr>
        <w:tabs>
          <w:tab w:val="left" w:pos="284"/>
        </w:tabs>
        <w:spacing w:after="0" w:line="360" w:lineRule="auto"/>
        <w:jc w:val="both"/>
        <w:rPr>
          <w:rFonts w:ascii="Arial" w:eastAsia="Times New Roman" w:hAnsi="Arial" w:cs="Arial"/>
          <w:b/>
          <w:color w:val="000000"/>
          <w:sz w:val="24"/>
          <w:szCs w:val="24"/>
          <w:lang w:eastAsia="es-UY"/>
        </w:rPr>
      </w:pPr>
    </w:p>
    <w:p w:rsidR="00F470D9" w:rsidRDefault="00F470D9" w:rsidP="00527F1D">
      <w:pPr>
        <w:tabs>
          <w:tab w:val="left" w:pos="284"/>
        </w:tabs>
        <w:spacing w:after="0" w:line="360" w:lineRule="auto"/>
        <w:jc w:val="both"/>
        <w:rPr>
          <w:rFonts w:ascii="Arial" w:eastAsia="Times New Roman" w:hAnsi="Arial" w:cs="Arial"/>
          <w:b/>
          <w:color w:val="000000"/>
          <w:sz w:val="24"/>
          <w:szCs w:val="24"/>
          <w:lang w:eastAsia="es-UY"/>
        </w:rPr>
      </w:pPr>
    </w:p>
    <w:p w:rsidR="00F470D9" w:rsidRPr="00527F1D" w:rsidRDefault="00F470D9" w:rsidP="00527F1D">
      <w:pPr>
        <w:tabs>
          <w:tab w:val="left" w:pos="284"/>
        </w:tabs>
        <w:spacing w:after="0" w:line="360" w:lineRule="auto"/>
        <w:jc w:val="both"/>
        <w:rPr>
          <w:rFonts w:ascii="Arial" w:eastAsia="Times New Roman" w:hAnsi="Arial" w:cs="Arial"/>
          <w:b/>
          <w:color w:val="000000"/>
          <w:sz w:val="24"/>
          <w:szCs w:val="24"/>
          <w:lang w:eastAsia="es-UY"/>
        </w:rPr>
      </w:pPr>
      <w:r w:rsidRPr="00527F1D">
        <w:rPr>
          <w:rFonts w:ascii="Arial" w:eastAsia="Times New Roman" w:hAnsi="Arial" w:cs="Arial"/>
          <w:b/>
          <w:color w:val="000000"/>
          <w:sz w:val="24"/>
          <w:szCs w:val="24"/>
          <w:lang w:eastAsia="es-UY"/>
        </w:rPr>
        <w:t>Recomendaciones</w:t>
      </w:r>
    </w:p>
    <w:p w:rsidR="00F470D9" w:rsidRPr="00527F1D" w:rsidRDefault="00F470D9" w:rsidP="00527F1D">
      <w:pPr>
        <w:numPr>
          <w:ilvl w:val="1"/>
          <w:numId w:val="4"/>
        </w:numPr>
        <w:tabs>
          <w:tab w:val="left" w:pos="567"/>
        </w:tabs>
        <w:spacing w:after="0" w:line="360" w:lineRule="auto"/>
        <w:jc w:val="both"/>
        <w:rPr>
          <w:rFonts w:ascii="Arial" w:eastAsia="Times New Roman" w:hAnsi="Arial" w:cs="Arial"/>
          <w:b/>
          <w:sz w:val="24"/>
          <w:szCs w:val="24"/>
          <w:lang w:eastAsia="es-UY"/>
        </w:rPr>
      </w:pPr>
      <w:r w:rsidRPr="00527F1D">
        <w:rPr>
          <w:rFonts w:ascii="Arial" w:eastAsia="Times New Roman" w:hAnsi="Arial" w:cs="Arial"/>
          <w:b/>
          <w:color w:val="000000"/>
          <w:sz w:val="24"/>
          <w:szCs w:val="24"/>
          <w:lang w:eastAsia="es-UY"/>
        </w:rPr>
        <w:t>Recomenda</w:t>
      </w:r>
      <w:r w:rsidR="0093576A">
        <w:rPr>
          <w:rFonts w:ascii="Arial" w:eastAsia="Times New Roman" w:hAnsi="Arial" w:cs="Arial"/>
          <w:b/>
          <w:color w:val="000000"/>
          <w:sz w:val="24"/>
          <w:szCs w:val="24"/>
          <w:lang w:eastAsia="es-UY"/>
        </w:rPr>
        <w:t>ciones de ejercicios anteriores</w:t>
      </w:r>
    </w:p>
    <w:p w:rsidR="00F470D9" w:rsidRPr="00527F1D" w:rsidRDefault="00F470D9" w:rsidP="00527F1D">
      <w:pPr>
        <w:numPr>
          <w:ilvl w:val="1"/>
          <w:numId w:val="8"/>
        </w:numPr>
        <w:tabs>
          <w:tab w:val="left" w:pos="567"/>
        </w:tabs>
        <w:spacing w:after="0" w:line="360" w:lineRule="auto"/>
        <w:jc w:val="both"/>
        <w:rPr>
          <w:rFonts w:ascii="Arial" w:eastAsia="Times New Roman" w:hAnsi="Arial" w:cs="Arial"/>
          <w:b/>
          <w:sz w:val="24"/>
          <w:szCs w:val="24"/>
          <w:lang w:eastAsia="es-UY"/>
        </w:rPr>
      </w:pPr>
      <w:r w:rsidRPr="00527F1D">
        <w:rPr>
          <w:rFonts w:ascii="Arial" w:eastAsia="Times New Roman" w:hAnsi="Arial" w:cs="Arial"/>
          <w:b/>
          <w:color w:val="000000"/>
          <w:sz w:val="24"/>
          <w:szCs w:val="24"/>
          <w:lang w:eastAsia="es-UY"/>
        </w:rPr>
        <w:t>C</w:t>
      </w:r>
      <w:r w:rsidR="0093576A">
        <w:rPr>
          <w:rFonts w:ascii="Arial" w:eastAsia="Times New Roman" w:hAnsi="Arial" w:cs="Arial"/>
          <w:b/>
          <w:sz w:val="24"/>
          <w:szCs w:val="24"/>
          <w:lang w:eastAsia="es-UY"/>
        </w:rPr>
        <w:t>umplidas</w:t>
      </w:r>
    </w:p>
    <w:p w:rsidR="00F470D9" w:rsidRPr="00527F1D" w:rsidRDefault="00F470D9" w:rsidP="00527F1D">
      <w:pPr>
        <w:numPr>
          <w:ilvl w:val="0"/>
          <w:numId w:val="5"/>
        </w:numPr>
        <w:tabs>
          <w:tab w:val="left" w:pos="284"/>
        </w:tabs>
        <w:spacing w:after="0" w:line="360" w:lineRule="auto"/>
        <w:jc w:val="both"/>
        <w:rPr>
          <w:rFonts w:ascii="Arial" w:eastAsia="Times New Roman" w:hAnsi="Arial" w:cs="Arial"/>
          <w:b/>
          <w:color w:val="000000"/>
          <w:sz w:val="24"/>
          <w:szCs w:val="24"/>
          <w:lang w:eastAsia="es-UY"/>
        </w:rPr>
      </w:pPr>
      <w:r w:rsidRPr="00527F1D">
        <w:rPr>
          <w:rFonts w:ascii="Arial" w:eastAsia="Times New Roman" w:hAnsi="Arial" w:cs="Arial"/>
          <w:color w:val="000000"/>
          <w:sz w:val="24"/>
          <w:szCs w:val="24"/>
          <w:lang w:eastAsia="es-UY"/>
        </w:rPr>
        <w:t>Se implementaron las medidas pertinentes para garantizar una adecuada separación de funciones en lo que respecta a los procedimientos de adquisición, recepción, custodia y gestión del uso de las máquinas y material de juego.</w:t>
      </w:r>
    </w:p>
    <w:p w:rsidR="00F470D9" w:rsidRPr="00527F1D" w:rsidRDefault="00F470D9" w:rsidP="00527F1D">
      <w:pPr>
        <w:tabs>
          <w:tab w:val="left" w:pos="284"/>
          <w:tab w:val="left" w:pos="709"/>
        </w:tabs>
        <w:spacing w:after="0" w:line="360" w:lineRule="auto"/>
        <w:jc w:val="both"/>
        <w:rPr>
          <w:rFonts w:ascii="Arial" w:eastAsia="Times New Roman" w:hAnsi="Arial" w:cs="Arial"/>
          <w:b/>
          <w:color w:val="000000"/>
          <w:sz w:val="24"/>
          <w:szCs w:val="24"/>
          <w:lang w:eastAsia="es-UY"/>
        </w:rPr>
      </w:pPr>
    </w:p>
    <w:p w:rsidR="00F470D9" w:rsidRPr="00527F1D" w:rsidRDefault="0093576A" w:rsidP="00527F1D">
      <w:pPr>
        <w:numPr>
          <w:ilvl w:val="1"/>
          <w:numId w:val="6"/>
        </w:numPr>
        <w:tabs>
          <w:tab w:val="left" w:pos="426"/>
        </w:tabs>
        <w:spacing w:after="0" w:line="360" w:lineRule="auto"/>
        <w:jc w:val="both"/>
        <w:rPr>
          <w:rFonts w:ascii="Arial" w:eastAsia="Times New Roman" w:hAnsi="Arial" w:cs="Arial"/>
          <w:b/>
          <w:color w:val="000000"/>
          <w:sz w:val="24"/>
          <w:szCs w:val="24"/>
          <w:lang w:eastAsia="es-UY"/>
        </w:rPr>
      </w:pPr>
      <w:r>
        <w:rPr>
          <w:rFonts w:ascii="Arial" w:eastAsia="Times New Roman" w:hAnsi="Arial" w:cs="Arial"/>
          <w:b/>
          <w:color w:val="000000"/>
          <w:sz w:val="24"/>
          <w:szCs w:val="24"/>
          <w:lang w:eastAsia="es-UY"/>
        </w:rPr>
        <w:t>) No cumplidas</w:t>
      </w:r>
    </w:p>
    <w:p w:rsidR="00F470D9" w:rsidRPr="00527F1D" w:rsidRDefault="00F470D9" w:rsidP="00527F1D">
      <w:pPr>
        <w:numPr>
          <w:ilvl w:val="0"/>
          <w:numId w:val="7"/>
        </w:numPr>
        <w:tabs>
          <w:tab w:val="left" w:pos="426"/>
        </w:tabs>
        <w:spacing w:after="0" w:line="360" w:lineRule="auto"/>
        <w:jc w:val="both"/>
        <w:rPr>
          <w:rFonts w:ascii="Arial" w:eastAsia="Times New Roman" w:hAnsi="Arial" w:cs="Arial"/>
          <w:b/>
          <w:color w:val="000000"/>
          <w:sz w:val="24"/>
          <w:szCs w:val="24"/>
          <w:lang w:eastAsia="es-UY"/>
        </w:rPr>
      </w:pPr>
      <w:r w:rsidRPr="00527F1D">
        <w:rPr>
          <w:rFonts w:ascii="Arial" w:eastAsia="Times New Roman" w:hAnsi="Arial" w:cs="Arial"/>
          <w:color w:val="000000"/>
          <w:sz w:val="24"/>
          <w:szCs w:val="24"/>
          <w:lang w:eastAsia="es-UY"/>
        </w:rPr>
        <w:t>No se realizan periódicamente recuentos físicos para controlar la existencia, destino y ubicación de los bienes de uso, dejando constancia formal de las actuaciones realizadas.</w:t>
      </w:r>
    </w:p>
    <w:p w:rsidR="00F470D9" w:rsidRPr="00527F1D" w:rsidRDefault="00F470D9" w:rsidP="00527F1D">
      <w:pPr>
        <w:numPr>
          <w:ilvl w:val="0"/>
          <w:numId w:val="7"/>
        </w:numPr>
        <w:tabs>
          <w:tab w:val="left" w:pos="426"/>
        </w:tabs>
        <w:spacing w:after="0" w:line="360" w:lineRule="auto"/>
        <w:jc w:val="both"/>
        <w:rPr>
          <w:rFonts w:ascii="Arial" w:eastAsia="Times New Roman" w:hAnsi="Arial" w:cs="Arial"/>
          <w:b/>
          <w:color w:val="000000"/>
          <w:sz w:val="24"/>
          <w:szCs w:val="24"/>
          <w:lang w:eastAsia="es-UY"/>
        </w:rPr>
      </w:pPr>
      <w:r w:rsidRPr="00527F1D">
        <w:rPr>
          <w:rFonts w:ascii="Arial" w:eastAsia="Times New Roman" w:hAnsi="Arial" w:cs="Arial"/>
          <w:color w:val="000000"/>
          <w:sz w:val="24"/>
          <w:szCs w:val="24"/>
          <w:lang w:eastAsia="es-UY"/>
        </w:rPr>
        <w:t>No cumplen lo dispuesto en las Resoluciones Presidenciales en las que se designan funcionarios sin suscr</w:t>
      </w:r>
      <w:r w:rsidR="00170226">
        <w:rPr>
          <w:rFonts w:ascii="Arial" w:eastAsia="Times New Roman" w:hAnsi="Arial" w:cs="Arial"/>
          <w:color w:val="000000"/>
          <w:sz w:val="24"/>
          <w:szCs w:val="24"/>
          <w:lang w:eastAsia="es-UY"/>
        </w:rPr>
        <w:t>ibir los contratos respectivos.</w:t>
      </w:r>
    </w:p>
    <w:p w:rsidR="00F470D9" w:rsidRPr="00527F1D" w:rsidRDefault="0093576A" w:rsidP="00527F1D">
      <w:pPr>
        <w:spacing w:after="0" w:line="360" w:lineRule="auto"/>
        <w:jc w:val="right"/>
        <w:rPr>
          <w:rFonts w:ascii="Arial" w:eastAsia="Times New Roman" w:hAnsi="Arial" w:cs="Arial"/>
          <w:sz w:val="24"/>
          <w:szCs w:val="24"/>
          <w:lang w:val="es-ES" w:eastAsia="es-UY"/>
        </w:rPr>
      </w:pPr>
      <w:r>
        <w:rPr>
          <w:rFonts w:ascii="Arial" w:eastAsia="Times New Roman" w:hAnsi="Arial" w:cs="Arial"/>
          <w:sz w:val="24"/>
          <w:szCs w:val="24"/>
          <w:lang w:val="es-ES" w:eastAsia="es-UY"/>
        </w:rPr>
        <w:t>Montevideo, 9 de enero de 2019</w:t>
      </w:r>
    </w:p>
    <w:p w:rsidR="00F470D9" w:rsidRPr="00527F1D" w:rsidRDefault="00F470D9" w:rsidP="00527F1D">
      <w:pPr>
        <w:spacing w:after="0" w:line="360" w:lineRule="auto"/>
        <w:jc w:val="right"/>
        <w:rPr>
          <w:rFonts w:ascii="Arial" w:eastAsia="Times New Roman" w:hAnsi="Arial" w:cs="Arial"/>
          <w:sz w:val="24"/>
          <w:szCs w:val="24"/>
          <w:lang w:val="es-ES" w:eastAsia="es-UY"/>
        </w:rPr>
      </w:pPr>
    </w:p>
    <w:p w:rsidR="00F470D9" w:rsidRPr="00F470D9" w:rsidRDefault="00F470D9" w:rsidP="00F470D9">
      <w:pPr>
        <w:rPr>
          <w:rFonts w:ascii="Arial" w:eastAsia="Times New Roman" w:hAnsi="Arial" w:cs="Arial"/>
          <w:sz w:val="24"/>
          <w:szCs w:val="24"/>
          <w:lang w:val="es-ES" w:eastAsia="es-UY"/>
        </w:rPr>
      </w:pPr>
      <w:proofErr w:type="spellStart"/>
      <w:proofErr w:type="gramStart"/>
      <w:r>
        <w:rPr>
          <w:rFonts w:ascii="Arial" w:eastAsia="Times New Roman" w:hAnsi="Arial" w:cs="Arial"/>
          <w:sz w:val="24"/>
          <w:szCs w:val="24"/>
          <w:lang w:val="es-ES" w:eastAsia="es-UY"/>
        </w:rPr>
        <w:t>cr</w:t>
      </w:r>
      <w:proofErr w:type="spellEnd"/>
      <w:proofErr w:type="gramEnd"/>
    </w:p>
    <w:sectPr w:rsidR="00F470D9" w:rsidRPr="00F470D9" w:rsidSect="00EE7B8F">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0C" w:rsidRDefault="0040050C" w:rsidP="00F960C5">
      <w:pPr>
        <w:spacing w:after="0" w:line="240" w:lineRule="auto"/>
      </w:pPr>
      <w:r>
        <w:separator/>
      </w:r>
    </w:p>
  </w:endnote>
  <w:endnote w:type="continuationSeparator" w:id="0">
    <w:p w:rsidR="0040050C" w:rsidRDefault="0040050C" w:rsidP="00F9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Humnst BT">
    <w:altName w:val="Lucida Sans Unicode"/>
    <w:charset w:val="00"/>
    <w:family w:val="swiss"/>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0C" w:rsidRDefault="0040050C" w:rsidP="00F960C5">
      <w:pPr>
        <w:spacing w:after="0" w:line="240" w:lineRule="auto"/>
      </w:pPr>
      <w:r>
        <w:separator/>
      </w:r>
    </w:p>
  </w:footnote>
  <w:footnote w:type="continuationSeparator" w:id="0">
    <w:p w:rsidR="0040050C" w:rsidRDefault="0040050C" w:rsidP="00F96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658"/>
    <w:multiLevelType w:val="hybridMultilevel"/>
    <w:tmpl w:val="5C52402C"/>
    <w:lvl w:ilvl="0" w:tplc="840C4786">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06675DB8"/>
    <w:multiLevelType w:val="hybridMultilevel"/>
    <w:tmpl w:val="4EDCC19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B896613"/>
    <w:multiLevelType w:val="hybridMultilevel"/>
    <w:tmpl w:val="85D4B3E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46C00112"/>
    <w:multiLevelType w:val="hybridMultilevel"/>
    <w:tmpl w:val="6568AFD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4EDC1AD7"/>
    <w:multiLevelType w:val="multilevel"/>
    <w:tmpl w:val="B2F63B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70A3739D"/>
    <w:multiLevelType w:val="multilevel"/>
    <w:tmpl w:val="0652E200"/>
    <w:lvl w:ilvl="0">
      <w:start w:val="4"/>
      <w:numFmt w:val="decimal"/>
      <w:lvlText w:val="%1"/>
      <w:lvlJc w:val="left"/>
      <w:pPr>
        <w:ind w:left="360" w:hanging="360"/>
      </w:pPr>
      <w:rPr>
        <w:rFonts w:hint="default"/>
        <w:color w:val="000000"/>
      </w:rPr>
    </w:lvl>
    <w:lvl w:ilvl="1">
      <w:start w:val="1"/>
      <w:numFmt w:val="decimal"/>
      <w:lvlText w:val="%2"/>
      <w:lvlJc w:val="left"/>
      <w:pPr>
        <w:ind w:left="360" w:hanging="360"/>
      </w:pPr>
      <w:rPr>
        <w:rFonts w:ascii="Arial" w:eastAsia="Times New Roman" w:hAnsi="Arial" w:cs="Arial"/>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79771C52"/>
    <w:multiLevelType w:val="multilevel"/>
    <w:tmpl w:val="47945432"/>
    <w:lvl w:ilvl="0">
      <w:start w:val="1"/>
      <w:numFmt w:val="decimal"/>
      <w:lvlText w:val="%1."/>
      <w:lvlJc w:val="left"/>
      <w:pPr>
        <w:ind w:left="405" w:hanging="405"/>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8">
    <w:nsid w:val="79F62019"/>
    <w:multiLevelType w:val="hybridMultilevel"/>
    <w:tmpl w:val="0C7C6AA4"/>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2"/>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C6"/>
    <w:rsid w:val="00170226"/>
    <w:rsid w:val="0040050C"/>
    <w:rsid w:val="00527F1D"/>
    <w:rsid w:val="007F7B4E"/>
    <w:rsid w:val="008A325B"/>
    <w:rsid w:val="00905AC6"/>
    <w:rsid w:val="0093576A"/>
    <w:rsid w:val="00A767C4"/>
    <w:rsid w:val="00D1428D"/>
    <w:rsid w:val="00EE7B8F"/>
    <w:rsid w:val="00F470D9"/>
    <w:rsid w:val="00F960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960C5"/>
    <w:pPr>
      <w:tabs>
        <w:tab w:val="left" w:pos="360"/>
        <w:tab w:val="left" w:pos="567"/>
        <w:tab w:val="left" w:pos="1560"/>
        <w:tab w:val="right" w:pos="5387"/>
        <w:tab w:val="right" w:pos="7513"/>
      </w:tabs>
      <w:spacing w:after="0" w:line="240" w:lineRule="auto"/>
    </w:pPr>
    <w:rPr>
      <w:rFonts w:ascii="ZapfHumnst BT" w:eastAsia="Times New Roman" w:hAnsi="ZapfHumnst BT" w:cs="Times New Roman"/>
      <w:sz w:val="24"/>
      <w:szCs w:val="20"/>
      <w:lang w:val="es-ES_tradnl"/>
    </w:rPr>
  </w:style>
  <w:style w:type="character" w:customStyle="1" w:styleId="TextoindependienteCar">
    <w:name w:val="Texto independiente Car"/>
    <w:basedOn w:val="Fuentedeprrafopredeter"/>
    <w:link w:val="Textoindependiente"/>
    <w:semiHidden/>
    <w:rsid w:val="00F960C5"/>
    <w:rPr>
      <w:rFonts w:ascii="ZapfHumnst BT" w:eastAsia="Times New Roman" w:hAnsi="ZapfHumnst BT" w:cs="Times New Roman"/>
      <w:sz w:val="24"/>
      <w:szCs w:val="20"/>
      <w:lang w:val="es-ES_tradnl"/>
    </w:rPr>
  </w:style>
  <w:style w:type="paragraph" w:styleId="Sangradetextonormal">
    <w:name w:val="Body Text Indent"/>
    <w:basedOn w:val="Normal"/>
    <w:link w:val="SangradetextonormalCar"/>
    <w:uiPriority w:val="99"/>
    <w:unhideWhenUsed/>
    <w:rsid w:val="00F960C5"/>
    <w:pPr>
      <w:spacing w:after="120"/>
      <w:ind w:left="283"/>
    </w:pPr>
    <w:rPr>
      <w:rFonts w:ascii="Calibri" w:eastAsia="Times New Roman" w:hAnsi="Calibri" w:cs="Times New Roman"/>
      <w:lang w:eastAsia="es-UY"/>
    </w:rPr>
  </w:style>
  <w:style w:type="character" w:customStyle="1" w:styleId="SangradetextonormalCar">
    <w:name w:val="Sangría de texto normal Car"/>
    <w:basedOn w:val="Fuentedeprrafopredeter"/>
    <w:link w:val="Sangradetextonormal"/>
    <w:uiPriority w:val="99"/>
    <w:rsid w:val="00F960C5"/>
    <w:rPr>
      <w:rFonts w:ascii="Calibri" w:eastAsia="Times New Roman" w:hAnsi="Calibri" w:cs="Times New Roman"/>
      <w:lang w:eastAsia="es-UY"/>
    </w:rPr>
  </w:style>
  <w:style w:type="paragraph" w:styleId="Prrafodelista">
    <w:name w:val="List Paragraph"/>
    <w:basedOn w:val="Normal"/>
    <w:uiPriority w:val="34"/>
    <w:qFormat/>
    <w:rsid w:val="00527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960C5"/>
    <w:pPr>
      <w:tabs>
        <w:tab w:val="left" w:pos="360"/>
        <w:tab w:val="left" w:pos="567"/>
        <w:tab w:val="left" w:pos="1560"/>
        <w:tab w:val="right" w:pos="5387"/>
        <w:tab w:val="right" w:pos="7513"/>
      </w:tabs>
      <w:spacing w:after="0" w:line="240" w:lineRule="auto"/>
    </w:pPr>
    <w:rPr>
      <w:rFonts w:ascii="ZapfHumnst BT" w:eastAsia="Times New Roman" w:hAnsi="ZapfHumnst BT" w:cs="Times New Roman"/>
      <w:sz w:val="24"/>
      <w:szCs w:val="20"/>
      <w:lang w:val="es-ES_tradnl"/>
    </w:rPr>
  </w:style>
  <w:style w:type="character" w:customStyle="1" w:styleId="TextoindependienteCar">
    <w:name w:val="Texto independiente Car"/>
    <w:basedOn w:val="Fuentedeprrafopredeter"/>
    <w:link w:val="Textoindependiente"/>
    <w:semiHidden/>
    <w:rsid w:val="00F960C5"/>
    <w:rPr>
      <w:rFonts w:ascii="ZapfHumnst BT" w:eastAsia="Times New Roman" w:hAnsi="ZapfHumnst BT" w:cs="Times New Roman"/>
      <w:sz w:val="24"/>
      <w:szCs w:val="20"/>
      <w:lang w:val="es-ES_tradnl"/>
    </w:rPr>
  </w:style>
  <w:style w:type="paragraph" w:styleId="Sangradetextonormal">
    <w:name w:val="Body Text Indent"/>
    <w:basedOn w:val="Normal"/>
    <w:link w:val="SangradetextonormalCar"/>
    <w:uiPriority w:val="99"/>
    <w:unhideWhenUsed/>
    <w:rsid w:val="00F960C5"/>
    <w:pPr>
      <w:spacing w:after="120"/>
      <w:ind w:left="283"/>
    </w:pPr>
    <w:rPr>
      <w:rFonts w:ascii="Calibri" w:eastAsia="Times New Roman" w:hAnsi="Calibri" w:cs="Times New Roman"/>
      <w:lang w:eastAsia="es-UY"/>
    </w:rPr>
  </w:style>
  <w:style w:type="character" w:customStyle="1" w:styleId="SangradetextonormalCar">
    <w:name w:val="Sangría de texto normal Car"/>
    <w:basedOn w:val="Fuentedeprrafopredeter"/>
    <w:link w:val="Sangradetextonormal"/>
    <w:uiPriority w:val="99"/>
    <w:rsid w:val="00F960C5"/>
    <w:rPr>
      <w:rFonts w:ascii="Calibri" w:eastAsia="Times New Roman" w:hAnsi="Calibri" w:cs="Times New Roman"/>
      <w:lang w:eastAsia="es-UY"/>
    </w:rPr>
  </w:style>
  <w:style w:type="paragraph" w:styleId="Prrafodelista">
    <w:name w:val="List Paragraph"/>
    <w:basedOn w:val="Normal"/>
    <w:uiPriority w:val="34"/>
    <w:qFormat/>
    <w:rsid w:val="0052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1358</Words>
  <Characters>7474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5</cp:revision>
  <cp:lastPrinted>2019-01-28T17:51:00Z</cp:lastPrinted>
  <dcterms:created xsi:type="dcterms:W3CDTF">2019-01-28T17:52:00Z</dcterms:created>
  <dcterms:modified xsi:type="dcterms:W3CDTF">2019-02-22T19:40:00Z</dcterms:modified>
</cp:coreProperties>
</file>