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3422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234/</w:t>
      </w:r>
      <w:r w:rsidRPr="003422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422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3422B2" w:rsidRPr="003422B2" w:rsidRDefault="003422B2" w:rsidP="003422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422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3422B2" w:rsidRPr="003422B2" w:rsidRDefault="003422B2" w:rsidP="003422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422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23 DE ENERO </w:t>
      </w:r>
      <w:r w:rsidRPr="003422B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3422B2" w:rsidRPr="003422B2" w:rsidRDefault="003422B2" w:rsidP="003422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22B2" w:rsidRPr="004D6F25" w:rsidRDefault="003422B2" w:rsidP="003422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D6F2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(E. E. Nº 2019-17-1-0000035, </w:t>
      </w:r>
      <w:proofErr w:type="spellStart"/>
      <w:r w:rsidRPr="004D6F25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4D6F25">
        <w:rPr>
          <w:rFonts w:ascii="Arial" w:eastAsia="Times New Roman" w:hAnsi="Arial" w:cs="Arial"/>
          <w:b/>
          <w:sz w:val="24"/>
          <w:szCs w:val="24"/>
          <w:lang w:eastAsia="es-ES"/>
        </w:rPr>
        <w:t>. N° 4/19)</w:t>
      </w:r>
    </w:p>
    <w:p w:rsidR="003422B2" w:rsidRDefault="003422B2" w:rsidP="00803575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03575" w:rsidRPr="00803575" w:rsidRDefault="003422B2" w:rsidP="003422B2">
      <w:pPr>
        <w:tabs>
          <w:tab w:val="right" w:pos="843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803575" w:rsidRPr="0080357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VISTO: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el expediente remitido por el Ministerio de </w:t>
      </w:r>
      <w:r w:rsidR="00803575" w:rsidRPr="00803575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Ganadería Agricultura y Pesca 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>relativo</w:t>
      </w:r>
      <w:r w:rsidR="008B1362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 ajuste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8B1362">
        <w:rPr>
          <w:rFonts w:ascii="Arial" w:eastAsia="Times New Roman" w:hAnsi="Arial" w:cs="Arial"/>
          <w:sz w:val="24"/>
          <w:szCs w:val="24"/>
          <w:lang w:val="es-ES" w:eastAsia="es-ES"/>
        </w:rPr>
        <w:t>de la partida anual prevista para el ejercicio 2018 en el marco de la Ley de Presupuesto 2015-2019 otorgada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 </w:t>
      </w:r>
      <w:r w:rsidR="00803575" w:rsidRPr="00803575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“Instituto Nacional de Semillas” (INASE)</w:t>
      </w:r>
      <w:r w:rsidR="00803575" w:rsidRPr="00803575">
        <w:rPr>
          <w:rFonts w:ascii="Arial" w:eastAsia="Times New Roman" w:hAnsi="Arial" w:cs="Times New Roman"/>
          <w:sz w:val="24"/>
          <w:szCs w:val="24"/>
          <w:lang w:val="es-ES" w:eastAsia="es-ES"/>
        </w:rPr>
        <w:t>, para el ejercicio 2018;</w:t>
      </w:r>
    </w:p>
    <w:p w:rsidR="00803575" w:rsidRPr="00803575" w:rsidRDefault="00803575" w:rsidP="003422B2">
      <w:pPr>
        <w:tabs>
          <w:tab w:val="left" w:pos="-72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80357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RESULTANDO: 1) </w:t>
      </w:r>
      <w:r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el importe de la mencionada transferencia asciende a </w:t>
      </w:r>
      <w:r w:rsidRPr="00803575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$ </w:t>
      </w:r>
      <w:r w:rsidR="008B1362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1:013.790</w:t>
      </w:r>
      <w:r w:rsidRPr="00803575">
        <w:rPr>
          <w:rFonts w:ascii="Arial" w:eastAsia="Times New Roman" w:hAnsi="Arial" w:cs="Times New Roman"/>
          <w:sz w:val="24"/>
          <w:szCs w:val="24"/>
          <w:lang w:val="es-ES_tradnl" w:eastAsia="es-ES"/>
        </w:rPr>
        <w:t>, y está documentado en la Afectación Nº 00</w:t>
      </w:r>
      <w:r w:rsidR="008B1362">
        <w:rPr>
          <w:rFonts w:ascii="Arial" w:eastAsia="Times New Roman" w:hAnsi="Arial" w:cs="Times New Roman"/>
          <w:sz w:val="24"/>
          <w:szCs w:val="24"/>
          <w:lang w:val="es-ES_tradnl" w:eastAsia="es-ES"/>
        </w:rPr>
        <w:t>13</w:t>
      </w:r>
      <w:r w:rsidR="00162572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803575" w:rsidRPr="00803575" w:rsidRDefault="00162572" w:rsidP="00162572">
      <w:pPr>
        <w:tabs>
          <w:tab w:val="left" w:pos="-720"/>
        </w:tabs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 </w:t>
      </w:r>
      <w:r w:rsidR="00803575" w:rsidRPr="003422B2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2)</w:t>
      </w:r>
      <w:r w:rsidR="00803575" w:rsidRPr="00803575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la erogación se atenderá con cargo </w:t>
      </w:r>
      <w:r w:rsidR="00803575" w:rsidRPr="00803575">
        <w:rPr>
          <w:rFonts w:ascii="Arial" w:eastAsia="Times New Roman" w:hAnsi="Arial" w:cs="Times New Roman"/>
          <w:spacing w:val="-3"/>
          <w:sz w:val="24"/>
          <w:szCs w:val="20"/>
          <w:lang w:val="es-MX" w:eastAsia="es-ES"/>
        </w:rPr>
        <w:t>al Inciso 21 “Subsidios y Subvenciones”, Unidad Ejecutora 007 “Ministerio de Ganadería, Agricultura y Pesca”, Programa 320 “Fortalecimiento de la base productiva de bienes y servicios”, Objeto del Gasto 559, Auxiliar 002, en la Financiación 1.1 “Rentas Generales”</w:t>
      </w:r>
      <w:r w:rsidR="00803575" w:rsidRPr="00803575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803575" w:rsidRPr="00803575" w:rsidRDefault="003422B2" w:rsidP="003422B2">
      <w:pPr>
        <w:tabs>
          <w:tab w:val="right" w:pos="843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803575" w:rsidRPr="0080357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CONSIDERANDO: 1) 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las actuaciones se ajustan a lo establecido en </w:t>
      </w:r>
      <w:r w:rsidR="00803575" w:rsidRPr="00803575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los arts. 1 y 2 de </w:t>
      </w:r>
      <w:r w:rsidR="00803575"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>la Ley de Presupuesto Nº 19.355 de 19 de diciembre de 2015;</w:t>
      </w:r>
    </w:p>
    <w:p w:rsidR="006F69C0" w:rsidRDefault="00803575" w:rsidP="00162572">
      <w:pPr>
        <w:tabs>
          <w:tab w:val="left" w:pos="-720"/>
        </w:tabs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80357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2) </w:t>
      </w:r>
      <w:r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>que deberá rendirse cuenta documentada de la partida, de acuerdo con lo dispuesto por el artículo 132 del TOCAF y la O</w:t>
      </w:r>
      <w:r w:rsidR="00162572">
        <w:rPr>
          <w:rFonts w:ascii="Arial" w:eastAsia="Times New Roman" w:hAnsi="Arial" w:cs="Arial"/>
          <w:sz w:val="24"/>
          <w:szCs w:val="24"/>
          <w:lang w:val="es-ES_tradnl" w:eastAsia="es-ES"/>
        </w:rPr>
        <w:t>rdenanza Nº77 de este Tribunal;</w:t>
      </w:r>
    </w:p>
    <w:p w:rsidR="006F69C0" w:rsidRPr="00803575" w:rsidRDefault="006F69C0" w:rsidP="00162572">
      <w:pPr>
        <w:tabs>
          <w:tab w:val="left" w:pos="-720"/>
        </w:tabs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0357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Pr="0080357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 de las verificaciones efectuadas no existen observaciones que formular;</w:t>
      </w:r>
    </w:p>
    <w:p w:rsidR="00803575" w:rsidRDefault="00803575" w:rsidP="003422B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80357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803575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803575" w:rsidRPr="00803575" w:rsidRDefault="00803575" w:rsidP="0080357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803575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237401" w:rsidRPr="00237401" w:rsidRDefault="00237401" w:rsidP="003422B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Dictada la Resolución por el Ordenador competente, se tendrá por intervenido el </w:t>
      </w:r>
      <w:r w:rsidR="00162572">
        <w:rPr>
          <w:rFonts w:ascii="Arial" w:eastAsia="Times New Roman" w:hAnsi="Arial" w:cs="Arial"/>
          <w:sz w:val="24"/>
          <w:szCs w:val="20"/>
          <w:lang w:val="es-ES_tradnl" w:eastAsia="es-ES"/>
        </w:rPr>
        <w:t>gasto detallado precedentemente;</w:t>
      </w:r>
    </w:p>
    <w:p w:rsidR="00164C38" w:rsidRDefault="00803575" w:rsidP="003422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0256">
        <w:rPr>
          <w:rFonts w:ascii="Arial" w:eastAsia="Times New Roman" w:hAnsi="Arial" w:cs="Arial"/>
          <w:sz w:val="24"/>
          <w:szCs w:val="20"/>
          <w:lang w:val="es-ES_tradnl" w:eastAsia="es-ES"/>
        </w:rPr>
        <w:lastRenderedPageBreak/>
        <w:t xml:space="preserve">Cometer a los Contadores Auditores destacados ante el </w:t>
      </w:r>
      <w:r w:rsidRPr="0075025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Ministerio </w:t>
      </w:r>
      <w:r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de Ganadería, Agricultura y</w:t>
      </w:r>
      <w:r w:rsidR="00750256"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 </w:t>
      </w:r>
      <w:r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Pesca</w:t>
      </w:r>
      <w:r w:rsidR="00237401"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, previo a la realización de las transferencias, el control de la concordancia de la Resolución del Ordenador competente con las actuaciones sometidas a control de este Tribunal y de que </w:t>
      </w:r>
      <w:r w:rsidR="00750256"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no </w:t>
      </w:r>
      <w:r w:rsidR="00237401"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existan p</w:t>
      </w:r>
      <w:r w:rsidR="00162572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artidas pendientes de rendición;</w:t>
      </w:r>
    </w:p>
    <w:p w:rsidR="00803575" w:rsidRPr="00750256" w:rsidRDefault="00D91447" w:rsidP="003422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|</w:t>
      </w:r>
      <w:r w:rsidR="00803575" w:rsidRPr="0075025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Téngase presente lo expresado en el Considerando 2);</w:t>
      </w:r>
    </w:p>
    <w:p w:rsidR="00803575" w:rsidRPr="00803575" w:rsidRDefault="00803575" w:rsidP="003422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03575">
        <w:rPr>
          <w:rFonts w:ascii="Arial" w:eastAsia="Times New Roman" w:hAnsi="Arial" w:cs="Arial"/>
          <w:sz w:val="24"/>
          <w:szCs w:val="24"/>
          <w:lang w:val="es-ES" w:eastAsia="es-ES"/>
        </w:rPr>
        <w:t>Comuníquese</w:t>
      </w:r>
      <w:r w:rsidR="001A417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10D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</w:t>
      </w:r>
      <w:r w:rsidRPr="008035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Contadores Auditores destacados ante el </w:t>
      </w:r>
      <w:r w:rsidR="00237401">
        <w:rPr>
          <w:rFonts w:ascii="Arial" w:eastAsia="Times New Roman" w:hAnsi="Arial" w:cs="Arial"/>
          <w:sz w:val="24"/>
          <w:szCs w:val="24"/>
          <w:lang w:val="es-ES" w:eastAsia="es-ES"/>
        </w:rPr>
        <w:t>mismo</w:t>
      </w:r>
      <w:r w:rsidRPr="00803575">
        <w:rPr>
          <w:rFonts w:ascii="Arial" w:eastAsia="Times New Roman" w:hAnsi="Arial" w:cs="Times New Roman"/>
          <w:sz w:val="24"/>
          <w:szCs w:val="24"/>
          <w:lang w:val="es-ES" w:eastAsia="es-ES"/>
        </w:rPr>
        <w:t>; y</w:t>
      </w:r>
    </w:p>
    <w:p w:rsidR="00803575" w:rsidRDefault="00803575" w:rsidP="003422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03575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3422B2" w:rsidRDefault="003422B2" w:rsidP="003422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22B2" w:rsidRDefault="003422B2" w:rsidP="003422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22B2" w:rsidRDefault="003422B2" w:rsidP="003422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64A49" w:rsidRPr="00162572" w:rsidRDefault="003422B2" w:rsidP="001625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cr</w:t>
      </w:r>
      <w:proofErr w:type="spellEnd"/>
      <w:proofErr w:type="gramEnd"/>
    </w:p>
    <w:sectPr w:rsidR="00364A49" w:rsidRPr="00162572" w:rsidSect="00B10DDA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F6" w:rsidRDefault="006F69C0">
      <w:pPr>
        <w:spacing w:after="0" w:line="240" w:lineRule="auto"/>
      </w:pPr>
      <w:r>
        <w:separator/>
      </w:r>
    </w:p>
  </w:endnote>
  <w:endnote w:type="continuationSeparator" w:id="0">
    <w:p w:rsidR="00C016F6" w:rsidRDefault="006F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F6" w:rsidRDefault="006F69C0">
      <w:pPr>
        <w:spacing w:after="0" w:line="240" w:lineRule="auto"/>
      </w:pPr>
      <w:r>
        <w:separator/>
      </w:r>
    </w:p>
  </w:footnote>
  <w:footnote w:type="continuationSeparator" w:id="0">
    <w:p w:rsidR="00C016F6" w:rsidRDefault="006F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75"/>
    <w:rsid w:val="00162572"/>
    <w:rsid w:val="00164C38"/>
    <w:rsid w:val="001A417B"/>
    <w:rsid w:val="00237401"/>
    <w:rsid w:val="003422B2"/>
    <w:rsid w:val="00364A49"/>
    <w:rsid w:val="004D6F25"/>
    <w:rsid w:val="006F69C0"/>
    <w:rsid w:val="00750256"/>
    <w:rsid w:val="00803575"/>
    <w:rsid w:val="008A25BE"/>
    <w:rsid w:val="008B1362"/>
    <w:rsid w:val="00B10DDA"/>
    <w:rsid w:val="00C016F6"/>
    <w:rsid w:val="00D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035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575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42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035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575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42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2019-01-25T16:46:00Z</cp:lastPrinted>
  <dcterms:created xsi:type="dcterms:W3CDTF">2019-01-25T16:46:00Z</dcterms:created>
  <dcterms:modified xsi:type="dcterms:W3CDTF">2019-02-22T19:07:00Z</dcterms:modified>
</cp:coreProperties>
</file>