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DE" w:rsidRPr="00786EEB" w:rsidRDefault="00871DDE" w:rsidP="00786EEB">
      <w:pPr>
        <w:tabs>
          <w:tab w:val="center" w:pos="4253"/>
        </w:tabs>
        <w:suppressAutoHyphens/>
        <w:jc w:val="right"/>
        <w:rPr>
          <w:rFonts w:cs="Arial"/>
          <w:b/>
          <w:sz w:val="28"/>
          <w:szCs w:val="28"/>
          <w:lang w:val="es-ES_tradnl"/>
        </w:rPr>
      </w:pPr>
      <w:r>
        <w:rPr>
          <w:rFonts w:cs="Arial"/>
          <w:b/>
          <w:sz w:val="28"/>
          <w:szCs w:val="28"/>
          <w:lang w:val="es-ES_tradnl"/>
        </w:rPr>
        <w:t>RES. 114/19</w:t>
      </w:r>
    </w:p>
    <w:p w:rsidR="00871DDE" w:rsidRDefault="00871DDE" w:rsidP="00786EEB">
      <w:pPr>
        <w:tabs>
          <w:tab w:val="center" w:pos="4253"/>
        </w:tabs>
        <w:suppressAutoHyphens/>
        <w:jc w:val="right"/>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RESOLUCION ADOPTADA POR EL</w:t>
      </w:r>
    </w:p>
    <w:p w:rsidR="00871DDE" w:rsidRPr="00762B34" w:rsidRDefault="00871DDE">
      <w:pPr>
        <w:tabs>
          <w:tab w:val="left" w:pos="-720"/>
        </w:tabs>
        <w:suppressAutoHyphens/>
        <w:jc w:val="center"/>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TRIBUNAL DE CUENTAS</w:t>
      </w:r>
    </w:p>
    <w:p w:rsidR="00871DDE" w:rsidRPr="00762B34" w:rsidRDefault="00871DDE">
      <w:pPr>
        <w:tabs>
          <w:tab w:val="left" w:pos="-720"/>
        </w:tabs>
        <w:suppressAutoHyphens/>
        <w:jc w:val="center"/>
        <w:rPr>
          <w:rFonts w:cs="Arial"/>
          <w:b/>
          <w:lang w:val="es-ES_tradnl"/>
        </w:rPr>
      </w:pPr>
    </w:p>
    <w:p w:rsidR="00871DDE" w:rsidRPr="00762B34" w:rsidRDefault="00871DD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ENERO </w:t>
      </w:r>
      <w:r>
        <w:rPr>
          <w:rFonts w:ascii="Helvetica" w:hAnsi="Helvetica"/>
          <w:b/>
          <w:lang w:val="es-ES_tradnl"/>
        </w:rPr>
        <w:t>DE 2019</w:t>
      </w:r>
    </w:p>
    <w:p w:rsidR="00871DDE" w:rsidRPr="00762B34" w:rsidRDefault="00871DDE">
      <w:pPr>
        <w:tabs>
          <w:tab w:val="center" w:pos="4253"/>
        </w:tabs>
        <w:suppressAutoHyphens/>
        <w:jc w:val="center"/>
        <w:rPr>
          <w:rFonts w:cs="Arial"/>
          <w:b/>
          <w:lang w:val="es-ES_tradnl"/>
        </w:rPr>
      </w:pPr>
    </w:p>
    <w:p w:rsidR="00871DDE" w:rsidRPr="00871DDE" w:rsidRDefault="00871DDE">
      <w:pPr>
        <w:tabs>
          <w:tab w:val="center" w:pos="4253"/>
        </w:tabs>
        <w:suppressAutoHyphens/>
        <w:jc w:val="center"/>
        <w:rPr>
          <w:rFonts w:cs="Arial"/>
          <w:b/>
          <w:lang w:val="en-US"/>
        </w:rPr>
      </w:pPr>
      <w:proofErr w:type="gramStart"/>
      <w:r w:rsidRPr="00871DDE">
        <w:rPr>
          <w:rFonts w:cs="Arial"/>
          <w:b/>
          <w:lang w:val="en-US"/>
        </w:rPr>
        <w:t xml:space="preserve">(E. E. Nº </w:t>
      </w:r>
      <w:r w:rsidRPr="00871DDE">
        <w:rPr>
          <w:rFonts w:cs="Arial"/>
          <w:b/>
        </w:rPr>
        <w:t>2018-17-1-0007160</w:t>
      </w:r>
      <w:r w:rsidRPr="00871DDE">
        <w:rPr>
          <w:rFonts w:cs="Arial"/>
          <w:b/>
          <w:lang w:val="en-US"/>
        </w:rPr>
        <w:t xml:space="preserve">, </w:t>
      </w:r>
      <w:proofErr w:type="spellStart"/>
      <w:r w:rsidRPr="00871DDE">
        <w:rPr>
          <w:rFonts w:cs="Arial"/>
          <w:b/>
          <w:lang w:val="en-US"/>
        </w:rPr>
        <w:t>Ents</w:t>
      </w:r>
      <w:proofErr w:type="spellEnd"/>
      <w:r w:rsidRPr="00871DDE">
        <w:rPr>
          <w:rFonts w:cs="Arial"/>
          <w:b/>
          <w:lang w:val="en-US"/>
        </w:rPr>
        <w:t>.</w:t>
      </w:r>
      <w:proofErr w:type="gramEnd"/>
      <w:r w:rsidRPr="00871DDE">
        <w:rPr>
          <w:rFonts w:cs="Arial"/>
          <w:b/>
          <w:lang w:val="en-US"/>
        </w:rPr>
        <w:t xml:space="preserve"> </w:t>
      </w:r>
      <w:proofErr w:type="spellStart"/>
      <w:r w:rsidRPr="00871DDE">
        <w:rPr>
          <w:rFonts w:cs="Arial"/>
          <w:b/>
        </w:rPr>
        <w:t>Nros</w:t>
      </w:r>
      <w:proofErr w:type="spellEnd"/>
      <w:r w:rsidRPr="00871DDE">
        <w:rPr>
          <w:rFonts w:cs="Arial"/>
          <w:b/>
        </w:rPr>
        <w:t xml:space="preserve"> </w:t>
      </w:r>
      <w:r w:rsidR="00BF0AD4">
        <w:rPr>
          <w:rFonts w:cs="Arial"/>
          <w:b/>
        </w:rPr>
        <w:t>5510/18 y 5539/18</w:t>
      </w:r>
      <w:bookmarkStart w:id="0" w:name="_GoBack"/>
      <w:bookmarkEnd w:id="0"/>
      <w:r w:rsidRPr="00871DDE">
        <w:rPr>
          <w:rFonts w:cs="Arial"/>
          <w:b/>
          <w:lang w:val="en-US"/>
        </w:rPr>
        <w:t>)</w:t>
      </w:r>
    </w:p>
    <w:p w:rsidR="00871DDE" w:rsidRPr="00871DDE" w:rsidRDefault="00871DDE">
      <w:pPr>
        <w:tabs>
          <w:tab w:val="center" w:pos="4253"/>
        </w:tabs>
        <w:suppressAutoHyphens/>
        <w:jc w:val="center"/>
        <w:rPr>
          <w:rFonts w:ascii="Helvetica" w:hAnsi="Helvetica"/>
          <w:b/>
          <w:lang w:val="en-US"/>
        </w:rPr>
      </w:pPr>
    </w:p>
    <w:p w:rsidR="0038735B" w:rsidRDefault="0038735B" w:rsidP="0038735B">
      <w:pPr>
        <w:rPr>
          <w:lang w:val="es-MX"/>
        </w:rPr>
      </w:pPr>
    </w:p>
    <w:p w:rsidR="0038735B" w:rsidRDefault="0038735B" w:rsidP="00871DDE">
      <w:pPr>
        <w:pStyle w:val="Textoindependiente"/>
        <w:ind w:firstLine="851"/>
        <w:rPr>
          <w:rFonts w:ascii="Arial" w:hAnsi="Arial" w:cs="Arial"/>
        </w:rPr>
      </w:pPr>
      <w:r>
        <w:rPr>
          <w:rFonts w:ascii="Arial" w:hAnsi="Arial" w:cs="Arial"/>
          <w:b/>
          <w:bCs/>
        </w:rPr>
        <w:t>VISTO:</w:t>
      </w:r>
      <w:r>
        <w:rPr>
          <w:rFonts w:ascii="Arial" w:hAnsi="Arial" w:cs="Arial"/>
        </w:rPr>
        <w:t xml:space="preserve"> estas actuaciones remitidas por el Ministerio de Economía y Finanzas (MEF),  relacionadas con la partida de $ 250:000.000 para el Ejercicio 2019 correspondiente al Fondo Nacional de Unificación del Tributo de Rodados, en aplicación del Artículo </w:t>
      </w:r>
      <w:r w:rsidR="00491EBD">
        <w:rPr>
          <w:rFonts w:ascii="Arial" w:hAnsi="Arial" w:cs="Arial"/>
        </w:rPr>
        <w:t>6</w:t>
      </w:r>
      <w:r>
        <w:rPr>
          <w:rFonts w:ascii="Arial" w:hAnsi="Arial" w:cs="Arial"/>
        </w:rPr>
        <w:t>80 de la Ley N° 19.355, de 19 de diciembre de 2015;</w:t>
      </w:r>
    </w:p>
    <w:p w:rsidR="0038735B" w:rsidRDefault="0038735B" w:rsidP="00871DDE">
      <w:pPr>
        <w:pStyle w:val="Sangradetextonormal"/>
        <w:widowControl w:val="0"/>
        <w:ind w:firstLine="851"/>
        <w:jc w:val="both"/>
        <w:rPr>
          <w:rFonts w:cs="Arial"/>
        </w:rPr>
      </w:pPr>
      <w:r>
        <w:rPr>
          <w:rFonts w:cs="Arial"/>
          <w:b/>
          <w:bCs/>
        </w:rPr>
        <w:t xml:space="preserve"> RESULTANDO: 1) </w:t>
      </w:r>
      <w:r>
        <w:rPr>
          <w:rFonts w:cs="Arial"/>
        </w:rPr>
        <w:t>que en sesión de fecha 11 de abril de 2012, este Tribunal observó el contrato de constitución del “Fideicomiso Financiero Fondo Nacional de Unificación del Tributo de Patentes de Rodados”, suscrito por el Ministerio de Economía y Finanzas y República AFISA S.A. y las erogaciones emergentes del mismo, por contravenir lo dispuesto en el Literal B) del Artículo 211 de la Constitución de la República;</w:t>
      </w:r>
    </w:p>
    <w:p w:rsidR="0038735B" w:rsidRDefault="0038735B" w:rsidP="00871DDE">
      <w:pPr>
        <w:pStyle w:val="Sangradetextonormal"/>
        <w:widowControl w:val="0"/>
        <w:ind w:firstLine="2694"/>
        <w:jc w:val="both"/>
        <w:rPr>
          <w:rFonts w:cs="Arial"/>
        </w:rPr>
      </w:pPr>
      <w:r>
        <w:rPr>
          <w:rFonts w:cs="Arial"/>
          <w:b/>
        </w:rPr>
        <w:t xml:space="preserve">2) </w:t>
      </w:r>
      <w:r>
        <w:rPr>
          <w:rFonts w:cs="Arial"/>
        </w:rPr>
        <w:t>que por Resolución de fecha 8 de mayo de 2012, el Poder Ejecutivo dispuso convalidar lo actuado por el Ministerio de Economía y Finanzas en lo relativo al Contrato de Fideicomiso referido, así como reiterar los gastos emergentes del período 2012 a 2015 que se atienden con cargo al Inciso 24 “Diversos Créditos”;</w:t>
      </w:r>
    </w:p>
    <w:p w:rsidR="0038735B" w:rsidRDefault="0038735B" w:rsidP="00871DDE">
      <w:pPr>
        <w:pStyle w:val="Sangradetextonormal"/>
        <w:widowControl w:val="0"/>
        <w:ind w:firstLine="2694"/>
        <w:jc w:val="both"/>
        <w:rPr>
          <w:rFonts w:cs="Arial"/>
        </w:rPr>
      </w:pPr>
      <w:r>
        <w:rPr>
          <w:rFonts w:cs="Arial"/>
          <w:b/>
        </w:rPr>
        <w:t>3)</w:t>
      </w:r>
      <w:r>
        <w:rPr>
          <w:rFonts w:cs="Arial"/>
        </w:rPr>
        <w:t xml:space="preserve"> que en sesión de fecha 6 de junio de 2012, este Tribunal acordó mantener la observación formulada con fecha 11 de abril de 2012 y comunicar al Poder Ejecutivo y a la Asamblea General;</w:t>
      </w:r>
    </w:p>
    <w:p w:rsidR="00871DDE" w:rsidRDefault="0038735B" w:rsidP="00871DDE">
      <w:pPr>
        <w:pStyle w:val="Sangradetextonormal"/>
        <w:widowControl w:val="0"/>
        <w:ind w:firstLine="2694"/>
        <w:jc w:val="both"/>
        <w:rPr>
          <w:rFonts w:cs="Arial"/>
        </w:rPr>
      </w:pPr>
      <w:r>
        <w:rPr>
          <w:rFonts w:cs="Arial"/>
          <w:b/>
        </w:rPr>
        <w:t xml:space="preserve">4) </w:t>
      </w:r>
      <w:r>
        <w:rPr>
          <w:rFonts w:cs="Arial"/>
        </w:rPr>
        <w:t xml:space="preserve">que por Resolución N° 4147/17, de 13 de diciembre de 2017, este Tribunal acordó estar a lo dispuesto en sesión de fecha 11 de abril de 2012, respecto a la intervención de la partida correspondiente al Fondo Nacional de Unificación del Tributo de Rodado, en aplicación del artículo 680 </w:t>
      </w:r>
      <w:r>
        <w:rPr>
          <w:rFonts w:cs="Arial"/>
        </w:rPr>
        <w:lastRenderedPageBreak/>
        <w:t>de la Ley N° 19.355, por la suma de $ 200:000.000, en virtud de que la transferencia remitida halla su causa en el contrato que fue observado por este Tribunal;</w:t>
      </w:r>
    </w:p>
    <w:p w:rsidR="00871DDE" w:rsidRDefault="0038735B" w:rsidP="00871DDE">
      <w:pPr>
        <w:pStyle w:val="Sangradetextonormal"/>
        <w:widowControl w:val="0"/>
        <w:ind w:firstLine="2694"/>
        <w:jc w:val="both"/>
        <w:rPr>
          <w:rFonts w:cs="Arial"/>
        </w:rPr>
      </w:pPr>
      <w:r>
        <w:rPr>
          <w:rFonts w:cs="Arial"/>
          <w:b/>
        </w:rPr>
        <w:t xml:space="preserve">5) </w:t>
      </w:r>
      <w:r>
        <w:rPr>
          <w:rFonts w:cs="Arial"/>
        </w:rPr>
        <w:t>que con posterioridad, el MEF remitió nota, de fecha 27 de diciembre de 2017, solicitando la reconsideración de la observación formulada y este Tribunal, en sesión de fecha 4 de abril de 2018, acordó estar a lo dispuesto en sesión de fecha 13 de diciembre de 2017;</w:t>
      </w:r>
    </w:p>
    <w:p w:rsidR="00871DDE" w:rsidRDefault="0038735B" w:rsidP="00871DDE">
      <w:pPr>
        <w:pStyle w:val="Sangradetextonormal"/>
        <w:widowControl w:val="0"/>
        <w:ind w:firstLine="2694"/>
        <w:jc w:val="both"/>
        <w:rPr>
          <w:rFonts w:cs="Arial"/>
        </w:rPr>
      </w:pPr>
      <w:r>
        <w:rPr>
          <w:rFonts w:cs="Arial"/>
          <w:b/>
        </w:rPr>
        <w:t>6</w:t>
      </w:r>
      <w:r w:rsidRPr="00945550">
        <w:rPr>
          <w:rFonts w:cs="Arial"/>
          <w:b/>
        </w:rPr>
        <w:t>)</w:t>
      </w:r>
      <w:r>
        <w:rPr>
          <w:rFonts w:cs="Arial"/>
        </w:rPr>
        <w:t xml:space="preserve"> que  posteriormente, el Poder Ejecutivo, por Resolución de fecha 7 de mayo de 2018, convalidó lo actuado por el Ministerio de Economía y Finanzas, en lo referente al contrato de Fideicomiso Financiero de Oferta Privada “Fideicomiso Financiero Fondo Nacional de Unificación del Tributo de Patente de Rodados”, celebrado el 5 de marzo de 2012, insistiendo en el gasto emergente;</w:t>
      </w:r>
    </w:p>
    <w:p w:rsidR="00871DDE" w:rsidRDefault="0038735B" w:rsidP="00871DDE">
      <w:pPr>
        <w:pStyle w:val="Sangradetextonormal"/>
        <w:widowControl w:val="0"/>
        <w:ind w:firstLine="2835"/>
        <w:jc w:val="both"/>
        <w:rPr>
          <w:rFonts w:cs="Arial"/>
        </w:rPr>
      </w:pPr>
      <w:r w:rsidRPr="00F37F36">
        <w:rPr>
          <w:rFonts w:cs="Arial"/>
          <w:b/>
        </w:rPr>
        <w:t>7)</w:t>
      </w:r>
      <w:r>
        <w:rPr>
          <w:rFonts w:cs="Arial"/>
        </w:rPr>
        <w:t xml:space="preserve"> que este Tribunal, por Resolución de fecha 13 de junio de 2018 acordó mantener la observación formulada por este Tribunal en Sesiones  de fechas 11 de abril de 2012, 6 de junio de 2012 y 13 de diciembre de 2017 y observó el gasto por la suma de $ 200:000.000 correspondiente a la transferencia para el Ejercicio 2018;</w:t>
      </w:r>
    </w:p>
    <w:p w:rsidR="00871DDE" w:rsidRDefault="0038735B" w:rsidP="00871DDE">
      <w:pPr>
        <w:pStyle w:val="Sangradetextonormal"/>
        <w:widowControl w:val="0"/>
        <w:ind w:firstLine="2835"/>
        <w:jc w:val="both"/>
        <w:rPr>
          <w:rFonts w:cs="Arial"/>
        </w:rPr>
      </w:pPr>
      <w:r w:rsidRPr="00D4158F">
        <w:rPr>
          <w:rFonts w:cs="Arial"/>
          <w:b/>
        </w:rPr>
        <w:t>8)</w:t>
      </w:r>
      <w:r>
        <w:rPr>
          <w:rFonts w:cs="Arial"/>
        </w:rPr>
        <w:t xml:space="preserve"> que en esta oportunidad, el MEF remite nota de fecha 28 de noviembre de 2018, solicitando la intervención de la partida que asciende a la suma de $ 250.000.000, correspondiente al Ejercicio 2019 del “Fondo Nacional de Unificación del Tributo de Patente de Rodados”, señalando asimismo  que, en lo que refiere a la partida  que fuera observada por este Tribunal correspondiente al Ejercicio 2018, debe estarse a la Resolución –cuya copia se adjunta- dictada por el Poder Ejecutivo el 7 de mayo de 2018, por la cual se reiteran los gastos emergentes actuales y futuros relacionaos al “Fideicomiso Financiero Fondo Nacional de Unificación del Tributo de Patente de Rodados”;</w:t>
      </w:r>
    </w:p>
    <w:p w:rsidR="00871DDE" w:rsidRDefault="0038735B" w:rsidP="00871DDE">
      <w:pPr>
        <w:pStyle w:val="Sangradetextonormal"/>
        <w:widowControl w:val="0"/>
        <w:ind w:firstLine="2835"/>
        <w:jc w:val="both"/>
        <w:rPr>
          <w:rFonts w:cs="Arial"/>
        </w:rPr>
      </w:pPr>
      <w:r w:rsidRPr="00D4158F">
        <w:rPr>
          <w:rFonts w:cs="Arial"/>
          <w:b/>
        </w:rPr>
        <w:t>9)</w:t>
      </w:r>
      <w:r>
        <w:rPr>
          <w:rFonts w:cs="Arial"/>
        </w:rPr>
        <w:t xml:space="preserve"> que asimismo, se remite para consideración Resolución dictada por el MEF en ejercicio de atribuciones delegadas por la cual, teniendo en cuenta la solicitud de incremento de los créditos presupuestales correspondientes a gastos de funcionamiento para el presente ejercicio, se dispone  el refuerzo en el Inciso 24 “Diversos Créditos”, Unidad Ejecutora 024 “Dirección General de Secretaría del MEF”, Programa 481 “Política de Gobierno”, Objeto del gasto 514/077 “Sistema Único de Cobro de Ingresos Vehiculares”, en la Financiación 1.1 “Rentas Generales”, por el importe de $ 45.121.814;</w:t>
      </w:r>
    </w:p>
    <w:p w:rsidR="0038735B" w:rsidRDefault="0038735B" w:rsidP="00871DDE">
      <w:pPr>
        <w:pStyle w:val="Sangradetextonormal"/>
        <w:widowControl w:val="0"/>
        <w:ind w:firstLine="2835"/>
        <w:jc w:val="both"/>
        <w:rPr>
          <w:rFonts w:cs="Arial"/>
        </w:rPr>
      </w:pPr>
      <w:r>
        <w:rPr>
          <w:rFonts w:cs="Arial"/>
          <w:b/>
        </w:rPr>
        <w:t>10</w:t>
      </w:r>
      <w:r w:rsidRPr="0038691A">
        <w:rPr>
          <w:rFonts w:cs="Arial"/>
          <w:b/>
        </w:rPr>
        <w:t>)</w:t>
      </w:r>
      <w:r>
        <w:rPr>
          <w:rFonts w:cs="Arial"/>
        </w:rPr>
        <w:t xml:space="preserve"> que en tal sentido,  se adjunta documento de afectación Nº 001324 del 28 de noviembre del 2018 por la suma de </w:t>
      </w:r>
      <w:r w:rsidR="00BF0AD4">
        <w:rPr>
          <w:rFonts w:cs="Arial"/>
        </w:rPr>
        <w:t xml:space="preserve">                  </w:t>
      </w:r>
      <w:r>
        <w:rPr>
          <w:rFonts w:cs="Arial"/>
        </w:rPr>
        <w:t>$ 45.121.814, correspondiente a al Inciso 24, Unidad Ejecutora 024, Programa 481, Objeto del gasto 514, Financiamiento 1.1;</w:t>
      </w:r>
    </w:p>
    <w:p w:rsidR="00BF0AD4" w:rsidRDefault="0038735B" w:rsidP="00BF0AD4">
      <w:pPr>
        <w:tabs>
          <w:tab w:val="left" w:pos="2160"/>
        </w:tabs>
        <w:spacing w:line="360" w:lineRule="auto"/>
        <w:ind w:firstLine="851"/>
        <w:jc w:val="both"/>
        <w:rPr>
          <w:rFonts w:cs="Arial"/>
        </w:rPr>
      </w:pPr>
      <w:r>
        <w:rPr>
          <w:rFonts w:cs="Arial"/>
          <w:b/>
          <w:bCs/>
        </w:rPr>
        <w:t>CONSIDERANDO</w:t>
      </w:r>
      <w:r>
        <w:rPr>
          <w:rFonts w:cs="Arial"/>
        </w:rPr>
        <w:t>:</w:t>
      </w:r>
      <w:r>
        <w:rPr>
          <w:rFonts w:cs="Arial"/>
          <w:b/>
        </w:rPr>
        <w:t xml:space="preserve"> </w:t>
      </w:r>
      <w:r w:rsidRPr="00193B95">
        <w:rPr>
          <w:rFonts w:cs="Arial"/>
          <w:b/>
          <w:bCs/>
        </w:rPr>
        <w:t>1)</w:t>
      </w:r>
      <w:r w:rsidRPr="00193B95">
        <w:rPr>
          <w:rFonts w:cs="Arial"/>
          <w:b/>
          <w:bCs/>
          <w:color w:val="000000"/>
        </w:rPr>
        <w:t xml:space="preserve"> </w:t>
      </w:r>
      <w:r>
        <w:rPr>
          <w:rFonts w:cs="Arial"/>
        </w:rPr>
        <w:t xml:space="preserve">que en lo que refiere a la partida  de </w:t>
      </w:r>
      <w:r w:rsidR="00BF0AD4">
        <w:rPr>
          <w:rFonts w:cs="Arial"/>
        </w:rPr>
        <w:t xml:space="preserve">                    </w:t>
      </w:r>
      <w:r>
        <w:rPr>
          <w:rFonts w:cs="Arial"/>
        </w:rPr>
        <w:t xml:space="preserve">$ 250.000.000 para  el Ejercicio 2019 correspondiente al “Fondo Nacional de Unificación del Tributo de Patente de Rodados”, corresponde señalar que la misma se </w:t>
      </w:r>
      <w:r w:rsidR="00491EBD">
        <w:rPr>
          <w:rFonts w:cs="Arial"/>
        </w:rPr>
        <w:t>ajusta a</w:t>
      </w:r>
      <w:r>
        <w:rPr>
          <w:rFonts w:cs="Arial"/>
        </w:rPr>
        <w:t>l contrato de “Fideicomiso Financiero Fondo Nacional de Unificación del Tributo de Patente de Rodados”</w:t>
      </w:r>
      <w:r>
        <w:t xml:space="preserve"> celebrado entre el MEF y República AFISA S.A.</w:t>
      </w:r>
      <w:r w:rsidR="005574E9">
        <w:t xml:space="preserve"> </w:t>
      </w:r>
      <w:r w:rsidR="00491EBD">
        <w:t>y lo dispuesto en el a</w:t>
      </w:r>
      <w:r w:rsidR="00491EBD">
        <w:rPr>
          <w:rFonts w:cs="Arial"/>
        </w:rPr>
        <w:t>rtículo 680 de la Ley N° 19.355 del 19 de diciembre de 2015</w:t>
      </w:r>
      <w:r>
        <w:t xml:space="preserve">, razón por la cual </w:t>
      </w:r>
      <w:r w:rsidR="00491EBD">
        <w:t xml:space="preserve">la misma </w:t>
      </w:r>
      <w:r>
        <w:t>no merece observaciones</w:t>
      </w:r>
      <w:r>
        <w:rPr>
          <w:rFonts w:cs="Arial"/>
        </w:rPr>
        <w:t>;</w:t>
      </w:r>
    </w:p>
    <w:p w:rsidR="00BF0AD4" w:rsidRDefault="0038735B" w:rsidP="00BF0AD4">
      <w:pPr>
        <w:tabs>
          <w:tab w:val="left" w:pos="2160"/>
        </w:tabs>
        <w:spacing w:line="360" w:lineRule="auto"/>
        <w:ind w:firstLine="2977"/>
        <w:jc w:val="both"/>
        <w:rPr>
          <w:rFonts w:cs="Arial"/>
        </w:rPr>
      </w:pPr>
      <w:r w:rsidRPr="00D4158F">
        <w:rPr>
          <w:rFonts w:cs="Arial"/>
          <w:b/>
        </w:rPr>
        <w:t>2)</w:t>
      </w:r>
      <w:r>
        <w:rPr>
          <w:rFonts w:cs="Arial"/>
        </w:rPr>
        <w:t xml:space="preserve"> que en cuanto a la reiteración  del gasto emergente de la  partida de $ 200:000.000 correspondiente a la Ejercicio 2018, debe señalarse que la misma debe respetar el </w:t>
      </w:r>
      <w:proofErr w:type="spellStart"/>
      <w:r w:rsidRPr="00BC518D">
        <w:rPr>
          <w:rFonts w:cs="Arial"/>
          <w:i/>
        </w:rPr>
        <w:t>iter</w:t>
      </w:r>
      <w:proofErr w:type="spellEnd"/>
      <w:r>
        <w:rPr>
          <w:rFonts w:cs="Arial"/>
        </w:rPr>
        <w:t xml:space="preserve"> lógico previsto en el literal B) del artículo 211 de la Constitución de la República y, en consecuencia, el alcance de la resolución del Poder Ejecutivo de 7/5/18 solo puede ser </w:t>
      </w:r>
      <w:r>
        <w:rPr>
          <w:rFonts w:cs="Arial"/>
          <w:i/>
        </w:rPr>
        <w:t>ex</w:t>
      </w:r>
      <w:r w:rsidRPr="004648E1">
        <w:rPr>
          <w:rFonts w:cs="Arial"/>
          <w:i/>
        </w:rPr>
        <w:t xml:space="preserve"> nunc</w:t>
      </w:r>
      <w:r>
        <w:rPr>
          <w:rFonts w:cs="Arial"/>
        </w:rPr>
        <w:t xml:space="preserve"> respecto a las resoluciones del Tribunal objetando gastos, y no </w:t>
      </w:r>
      <w:r>
        <w:rPr>
          <w:rFonts w:cs="Arial"/>
          <w:i/>
        </w:rPr>
        <w:t xml:space="preserve">ex </w:t>
      </w:r>
      <w:proofErr w:type="spellStart"/>
      <w:r>
        <w:rPr>
          <w:rFonts w:cs="Arial"/>
          <w:i/>
        </w:rPr>
        <w:t>tunc</w:t>
      </w:r>
      <w:proofErr w:type="spellEnd"/>
      <w:r>
        <w:rPr>
          <w:rFonts w:cs="Arial"/>
          <w:i/>
        </w:rPr>
        <w:t xml:space="preserve"> </w:t>
      </w:r>
      <w:r>
        <w:rPr>
          <w:rFonts w:cs="Arial"/>
        </w:rPr>
        <w:t xml:space="preserve">como se pretende. En definitiva, si la resolución del Poder Ejecutivo fue dictada en mayo de 2018 no puede ser contemplativa de una objeción formulada en junio del mismo año; </w:t>
      </w:r>
    </w:p>
    <w:p w:rsidR="00BF0AD4" w:rsidRDefault="0038735B" w:rsidP="00BF0AD4">
      <w:pPr>
        <w:tabs>
          <w:tab w:val="left" w:pos="2160"/>
        </w:tabs>
        <w:spacing w:line="360" w:lineRule="auto"/>
        <w:ind w:firstLine="2977"/>
        <w:jc w:val="both"/>
        <w:rPr>
          <w:rFonts w:cs="Arial"/>
        </w:rPr>
      </w:pPr>
      <w:r w:rsidRPr="00B06D11">
        <w:rPr>
          <w:rFonts w:cs="Arial"/>
          <w:b/>
        </w:rPr>
        <w:t>3)</w:t>
      </w:r>
      <w:r>
        <w:rPr>
          <w:rFonts w:cs="Arial"/>
        </w:rPr>
        <w:t xml:space="preserve"> que en consecuencia, la reiteración de gastos futuros  dispuesta en el numeral 1 del acuerda de la Resolución del Poder Ejecutivo que se remite no resulta ajustada a derecho, por cuanto contraviene el procedimiento previsto por el artículo 211 literal B) de la Constitución de la República;</w:t>
      </w:r>
    </w:p>
    <w:p w:rsidR="0038735B" w:rsidRDefault="0038735B" w:rsidP="00BF0AD4">
      <w:pPr>
        <w:tabs>
          <w:tab w:val="left" w:pos="2160"/>
        </w:tabs>
        <w:spacing w:line="360" w:lineRule="auto"/>
        <w:ind w:firstLine="2977"/>
        <w:jc w:val="both"/>
        <w:rPr>
          <w:rFonts w:cs="Arial"/>
        </w:rPr>
      </w:pPr>
      <w:r w:rsidRPr="00E7331E">
        <w:rPr>
          <w:rFonts w:cs="Arial"/>
          <w:b/>
        </w:rPr>
        <w:t>4)</w:t>
      </w:r>
      <w:r>
        <w:rPr>
          <w:rFonts w:cs="Arial"/>
        </w:rPr>
        <w:t xml:space="preserve"> </w:t>
      </w:r>
      <w:proofErr w:type="gramStart"/>
      <w:r>
        <w:rPr>
          <w:rFonts w:cs="Arial"/>
        </w:rPr>
        <w:t>que</w:t>
      </w:r>
      <w:proofErr w:type="gramEnd"/>
      <w:r>
        <w:rPr>
          <w:rFonts w:cs="Arial"/>
        </w:rPr>
        <w:t xml:space="preserve"> en  lo que refiere al refuerzo de créditos remitido, corresponde señalar que el mismo se ajusta  a lo establecido en el artículo 41 de la Ley 17.930 del 19 de diciembre de 2005,  por el cual se faculta al Poder Ejecutivo a disponer del 6% del total de los créditos de los Grupos 1,2,5 y 7, para reforzar los créditos  asignados para gastos de funcionamiento o inversión o habilitar créditos en partidas que no estén previstas;</w:t>
      </w:r>
    </w:p>
    <w:p w:rsidR="0038735B" w:rsidRDefault="0038735B" w:rsidP="00BF0AD4">
      <w:pPr>
        <w:tabs>
          <w:tab w:val="left" w:pos="2160"/>
        </w:tabs>
        <w:spacing w:line="360" w:lineRule="auto"/>
        <w:ind w:firstLine="851"/>
        <w:jc w:val="both"/>
        <w:rPr>
          <w:rFonts w:cs="Arial"/>
          <w:b/>
          <w:bCs/>
          <w:lang w:val="es-UY"/>
        </w:rPr>
      </w:pPr>
      <w:r w:rsidRPr="00193B95">
        <w:rPr>
          <w:rFonts w:cs="Arial"/>
          <w:b/>
          <w:bCs/>
          <w:lang w:val="es-MX"/>
        </w:rPr>
        <w:t>ATENTO:</w:t>
      </w:r>
      <w:r w:rsidRPr="00193B95">
        <w:rPr>
          <w:rFonts w:cs="Arial"/>
          <w:lang w:val="es-MX"/>
        </w:rPr>
        <w:t xml:space="preserve"> a lo expresado precedentemente</w:t>
      </w:r>
      <w:r w:rsidRPr="00193B95">
        <w:t xml:space="preserve"> </w:t>
      </w:r>
      <w:r w:rsidRPr="00193B95">
        <w:rPr>
          <w:rFonts w:cs="Arial"/>
          <w:lang w:val="es-MX"/>
        </w:rPr>
        <w:t>y a lo dispuesto por el artículo 211 literal B) de la Constitución</w:t>
      </w:r>
      <w:r w:rsidR="00BF0AD4">
        <w:rPr>
          <w:rFonts w:cs="Arial"/>
          <w:lang w:val="es-MX"/>
        </w:rPr>
        <w:t xml:space="preserve"> de la República</w:t>
      </w:r>
      <w:r w:rsidRPr="00193B95">
        <w:rPr>
          <w:rFonts w:cs="Arial"/>
          <w:lang w:val="es-MX"/>
        </w:rPr>
        <w:t>;</w:t>
      </w:r>
    </w:p>
    <w:p w:rsidR="0038735B" w:rsidRDefault="0038735B" w:rsidP="0038735B">
      <w:pPr>
        <w:spacing w:line="360" w:lineRule="auto"/>
        <w:jc w:val="center"/>
        <w:rPr>
          <w:rFonts w:cs="Arial"/>
          <w:lang w:val="es-UY"/>
        </w:rPr>
      </w:pPr>
      <w:r>
        <w:rPr>
          <w:rFonts w:cs="Arial"/>
          <w:b/>
          <w:bCs/>
          <w:lang w:val="es-UY"/>
        </w:rPr>
        <w:t>EL TRIBUNAL ACUERDA</w:t>
      </w:r>
    </w:p>
    <w:p w:rsidR="0038735B" w:rsidRPr="0038735B" w:rsidRDefault="0038735B" w:rsidP="0038735B">
      <w:pPr>
        <w:pStyle w:val="Ttulo1"/>
        <w:numPr>
          <w:ilvl w:val="0"/>
          <w:numId w:val="2"/>
        </w:numPr>
        <w:jc w:val="both"/>
        <w:rPr>
          <w:rFonts w:ascii="Arial" w:hAnsi="Arial" w:cs="Arial"/>
          <w:b w:val="0"/>
          <w:bCs/>
        </w:rPr>
      </w:pPr>
      <w:r w:rsidRPr="0038735B">
        <w:rPr>
          <w:rFonts w:ascii="Arial" w:hAnsi="Arial" w:cs="Arial"/>
          <w:b w:val="0"/>
          <w:lang w:val="es-UY"/>
        </w:rPr>
        <w:t xml:space="preserve">Cometer </w:t>
      </w:r>
      <w:r w:rsidRPr="0038735B">
        <w:rPr>
          <w:rFonts w:ascii="Arial" w:hAnsi="Arial" w:cs="Arial"/>
          <w:b w:val="0"/>
        </w:rPr>
        <w:t xml:space="preserve"> al Contador Auditor ante el Ministerio de Economía y Finanzas </w:t>
      </w:r>
      <w:r w:rsidRPr="0038735B">
        <w:rPr>
          <w:rFonts w:ascii="Arial" w:hAnsi="Arial" w:cs="Arial"/>
          <w:b w:val="0"/>
          <w:lang w:val="es-UY"/>
        </w:rPr>
        <w:t xml:space="preserve">el gasto por la suma de </w:t>
      </w:r>
      <w:r w:rsidRPr="0038735B">
        <w:rPr>
          <w:rFonts w:ascii="Arial" w:hAnsi="Arial" w:cs="Arial"/>
          <w:b w:val="0"/>
        </w:rPr>
        <w:t xml:space="preserve">$ 250.000.000 </w:t>
      </w:r>
      <w:r w:rsidRPr="0038735B">
        <w:rPr>
          <w:rFonts w:ascii="Arial" w:hAnsi="Arial" w:cs="Arial"/>
          <w:b w:val="0"/>
          <w:lang w:val="es-UY"/>
        </w:rPr>
        <w:t xml:space="preserve">correspondiente a la transferencia para el Ejercicio 2019 </w:t>
      </w:r>
      <w:r w:rsidRPr="0038735B">
        <w:rPr>
          <w:rFonts w:ascii="Arial" w:hAnsi="Arial" w:cs="Arial"/>
          <w:b w:val="0"/>
        </w:rPr>
        <w:t xml:space="preserve">correspondiente al Fondo Nacional de Unificación del Tributo de Rodados, </w:t>
      </w:r>
      <w:r w:rsidRPr="0038735B">
        <w:rPr>
          <w:rFonts w:ascii="Arial" w:hAnsi="Arial" w:cs="Arial"/>
          <w:b w:val="0"/>
          <w:bCs/>
          <w:spacing w:val="-3"/>
          <w:lang w:val="es-ES_tradnl"/>
        </w:rPr>
        <w:t>previo control de su imputación a grupo adecuado con disponibilidad suficiente;</w:t>
      </w:r>
    </w:p>
    <w:p w:rsidR="0038735B" w:rsidRPr="0038735B" w:rsidRDefault="0038735B" w:rsidP="0038735B">
      <w:pPr>
        <w:numPr>
          <w:ilvl w:val="0"/>
          <w:numId w:val="2"/>
        </w:numPr>
        <w:spacing w:line="360" w:lineRule="auto"/>
        <w:jc w:val="both"/>
        <w:rPr>
          <w:rFonts w:cs="Arial"/>
          <w:lang w:val="es-UY"/>
        </w:rPr>
      </w:pPr>
      <w:r w:rsidRPr="0038735B">
        <w:rPr>
          <w:rFonts w:cs="Arial"/>
          <w:lang w:val="es-UY"/>
        </w:rPr>
        <w:t>No formular observaciones al refuerzo de créditos dispuesto por la suma de $ 45.121.814 por lo expresado en el Considerando 4);</w:t>
      </w:r>
    </w:p>
    <w:p w:rsidR="0038735B" w:rsidRPr="0038735B" w:rsidRDefault="0038735B" w:rsidP="0038735B">
      <w:pPr>
        <w:pStyle w:val="Ttulo1"/>
        <w:numPr>
          <w:ilvl w:val="0"/>
          <w:numId w:val="2"/>
        </w:numPr>
        <w:tabs>
          <w:tab w:val="clear" w:pos="420"/>
          <w:tab w:val="left" w:pos="426"/>
        </w:tabs>
        <w:jc w:val="both"/>
        <w:rPr>
          <w:rFonts w:ascii="Arial" w:hAnsi="Arial" w:cs="Arial"/>
          <w:b w:val="0"/>
          <w:lang w:val="es-UY"/>
        </w:rPr>
      </w:pPr>
      <w:r w:rsidRPr="0038735B">
        <w:rPr>
          <w:rFonts w:ascii="Arial" w:hAnsi="Arial" w:cs="Arial"/>
          <w:b w:val="0"/>
          <w:lang w:val="es-UY"/>
        </w:rPr>
        <w:t>Téngase presente lo expresado en los Considerandos 2) y 3);</w:t>
      </w:r>
    </w:p>
    <w:p w:rsidR="0038735B" w:rsidRPr="0038735B" w:rsidRDefault="0038735B" w:rsidP="0038735B">
      <w:pPr>
        <w:pStyle w:val="Prrafodelista"/>
        <w:numPr>
          <w:ilvl w:val="0"/>
          <w:numId w:val="2"/>
        </w:numPr>
        <w:spacing w:line="360" w:lineRule="auto"/>
        <w:jc w:val="both"/>
        <w:rPr>
          <w:rFonts w:cs="Arial"/>
          <w:lang w:val="es-UY"/>
        </w:rPr>
      </w:pPr>
      <w:r w:rsidRPr="0038735B">
        <w:rPr>
          <w:rFonts w:cs="Arial"/>
          <w:lang w:val="es-UY"/>
        </w:rPr>
        <w:t xml:space="preserve">Comunicar a la Administración actuante y a la Contadora Auditora; </w:t>
      </w:r>
    </w:p>
    <w:p w:rsidR="0038735B" w:rsidRPr="0038735B" w:rsidRDefault="00BF0AD4" w:rsidP="0038735B">
      <w:pPr>
        <w:pStyle w:val="Prrafodelista"/>
        <w:numPr>
          <w:ilvl w:val="0"/>
          <w:numId w:val="2"/>
        </w:numPr>
        <w:spacing w:line="360" w:lineRule="auto"/>
        <w:jc w:val="both"/>
        <w:rPr>
          <w:rFonts w:cs="Arial"/>
        </w:rPr>
      </w:pPr>
      <w:r>
        <w:rPr>
          <w:rFonts w:cs="Arial"/>
          <w:lang w:val="es-UY"/>
        </w:rPr>
        <w:t>Devolver los antecedentes.</w:t>
      </w:r>
    </w:p>
    <w:p w:rsidR="0038735B" w:rsidRPr="00BF0AD4" w:rsidRDefault="00BF0AD4" w:rsidP="0038735B">
      <w:pPr>
        <w:rPr>
          <w:sz w:val="20"/>
          <w:szCs w:val="20"/>
        </w:rPr>
      </w:pPr>
      <w:r>
        <w:rPr>
          <w:sz w:val="20"/>
          <w:szCs w:val="20"/>
        </w:rPr>
        <w:t>CLC</w:t>
      </w:r>
    </w:p>
    <w:p w:rsidR="00F47023" w:rsidRDefault="00F47023"/>
    <w:sectPr w:rsidR="00F47023" w:rsidSect="00871DDE">
      <w:footerReference w:type="even" r:id="rId9"/>
      <w:footerReference w:type="default" r:id="rId10"/>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76" w:rsidRDefault="00D96576">
      <w:r>
        <w:separator/>
      </w:r>
    </w:p>
  </w:endnote>
  <w:endnote w:type="continuationSeparator" w:id="0">
    <w:p w:rsidR="00D96576" w:rsidRDefault="00D9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68" w:rsidRDefault="00491EB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44968" w:rsidRDefault="00BF0A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68" w:rsidRDefault="00491EB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0AD4">
      <w:rPr>
        <w:rStyle w:val="Nmerodepgina"/>
        <w:noProof/>
      </w:rPr>
      <w:t>1</w:t>
    </w:r>
    <w:r>
      <w:rPr>
        <w:rStyle w:val="Nmerodepgina"/>
      </w:rPr>
      <w:fldChar w:fldCharType="end"/>
    </w:r>
  </w:p>
  <w:p w:rsidR="00944968" w:rsidRDefault="00BF0A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76" w:rsidRDefault="00D96576">
      <w:r>
        <w:separator/>
      </w:r>
    </w:p>
  </w:footnote>
  <w:footnote w:type="continuationSeparator" w:id="0">
    <w:p w:rsidR="00D96576" w:rsidRDefault="00D96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756C"/>
    <w:multiLevelType w:val="hybridMultilevel"/>
    <w:tmpl w:val="8AC65110"/>
    <w:lvl w:ilvl="0" w:tplc="55CE3E60">
      <w:start w:val="1"/>
      <w:numFmt w:val="decimal"/>
      <w:lvlText w:val="%1)"/>
      <w:lvlJc w:val="left"/>
      <w:pPr>
        <w:tabs>
          <w:tab w:val="num" w:pos="420"/>
        </w:tabs>
        <w:ind w:left="420" w:hanging="360"/>
      </w:pPr>
      <w:rPr>
        <w:rFonts w:hint="default"/>
        <w:b/>
        <w:lang w:val="es-ES"/>
      </w:rPr>
    </w:lvl>
    <w:lvl w:ilvl="1" w:tplc="0C0A0019">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
    <w:nsid w:val="4602756B"/>
    <w:multiLevelType w:val="hybridMultilevel"/>
    <w:tmpl w:val="39ACE1AA"/>
    <w:lvl w:ilvl="0" w:tplc="EF42626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5B"/>
    <w:rsid w:val="0038735B"/>
    <w:rsid w:val="00491EBD"/>
    <w:rsid w:val="004C464A"/>
    <w:rsid w:val="005574E9"/>
    <w:rsid w:val="006879FD"/>
    <w:rsid w:val="00871DDE"/>
    <w:rsid w:val="00BF0AD4"/>
    <w:rsid w:val="00D96576"/>
    <w:rsid w:val="00F47023"/>
    <w:rsid w:val="00F979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5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8735B"/>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38735B"/>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35B"/>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38735B"/>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38735B"/>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38735B"/>
    <w:rPr>
      <w:rFonts w:ascii="Bookman Old Style" w:eastAsia="Times New Roman" w:hAnsi="Bookman Old Style" w:cs="Times New Roman"/>
      <w:color w:val="000000"/>
      <w:sz w:val="24"/>
      <w:szCs w:val="20"/>
      <w:lang w:val="es-MX" w:eastAsia="es-ES"/>
    </w:rPr>
  </w:style>
  <w:style w:type="paragraph" w:styleId="Piedepgina">
    <w:name w:val="footer"/>
    <w:basedOn w:val="Normal"/>
    <w:link w:val="PiedepginaCar"/>
    <w:semiHidden/>
    <w:rsid w:val="0038735B"/>
    <w:pPr>
      <w:tabs>
        <w:tab w:val="center" w:pos="4252"/>
        <w:tab w:val="right" w:pos="8504"/>
      </w:tabs>
    </w:pPr>
    <w:rPr>
      <w:color w:val="000000"/>
      <w:szCs w:val="20"/>
    </w:rPr>
  </w:style>
  <w:style w:type="character" w:customStyle="1" w:styleId="PiedepginaCar">
    <w:name w:val="Pie de página Car"/>
    <w:basedOn w:val="Fuentedeprrafopredeter"/>
    <w:link w:val="Piedepgina"/>
    <w:semiHidden/>
    <w:rsid w:val="0038735B"/>
    <w:rPr>
      <w:rFonts w:ascii="Arial" w:eastAsia="Times New Roman" w:hAnsi="Arial" w:cs="Times New Roman"/>
      <w:color w:val="000000"/>
      <w:sz w:val="24"/>
      <w:szCs w:val="20"/>
      <w:lang w:val="es-ES" w:eastAsia="es-ES"/>
    </w:rPr>
  </w:style>
  <w:style w:type="character" w:styleId="Nmerodepgina">
    <w:name w:val="page number"/>
    <w:basedOn w:val="Fuentedeprrafopredeter"/>
    <w:semiHidden/>
    <w:rsid w:val="0038735B"/>
  </w:style>
  <w:style w:type="paragraph" w:styleId="Sangradetextonormal">
    <w:name w:val="Body Text Indent"/>
    <w:basedOn w:val="Normal"/>
    <w:link w:val="SangradetextonormalCar"/>
    <w:semiHidden/>
    <w:rsid w:val="0038735B"/>
    <w:pPr>
      <w:spacing w:line="360" w:lineRule="auto"/>
      <w:ind w:firstLine="1134"/>
    </w:pPr>
  </w:style>
  <w:style w:type="character" w:customStyle="1" w:styleId="SangradetextonormalCar">
    <w:name w:val="Sangría de texto normal Car"/>
    <w:basedOn w:val="Fuentedeprrafopredeter"/>
    <w:link w:val="Sangradetextonormal"/>
    <w:semiHidden/>
    <w:rsid w:val="0038735B"/>
    <w:rPr>
      <w:rFonts w:ascii="Arial" w:eastAsia="Times New Roman" w:hAnsi="Arial" w:cs="Times New Roman"/>
      <w:sz w:val="24"/>
      <w:szCs w:val="24"/>
      <w:lang w:val="es-ES" w:eastAsia="es-ES"/>
    </w:rPr>
  </w:style>
  <w:style w:type="paragraph" w:styleId="Prrafodelista">
    <w:name w:val="List Paragraph"/>
    <w:basedOn w:val="Normal"/>
    <w:uiPriority w:val="34"/>
    <w:qFormat/>
    <w:rsid w:val="00387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5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8735B"/>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38735B"/>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35B"/>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38735B"/>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38735B"/>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38735B"/>
    <w:rPr>
      <w:rFonts w:ascii="Bookman Old Style" w:eastAsia="Times New Roman" w:hAnsi="Bookman Old Style" w:cs="Times New Roman"/>
      <w:color w:val="000000"/>
      <w:sz w:val="24"/>
      <w:szCs w:val="20"/>
      <w:lang w:val="es-MX" w:eastAsia="es-ES"/>
    </w:rPr>
  </w:style>
  <w:style w:type="paragraph" w:styleId="Piedepgina">
    <w:name w:val="footer"/>
    <w:basedOn w:val="Normal"/>
    <w:link w:val="PiedepginaCar"/>
    <w:semiHidden/>
    <w:rsid w:val="0038735B"/>
    <w:pPr>
      <w:tabs>
        <w:tab w:val="center" w:pos="4252"/>
        <w:tab w:val="right" w:pos="8504"/>
      </w:tabs>
    </w:pPr>
    <w:rPr>
      <w:color w:val="000000"/>
      <w:szCs w:val="20"/>
    </w:rPr>
  </w:style>
  <w:style w:type="character" w:customStyle="1" w:styleId="PiedepginaCar">
    <w:name w:val="Pie de página Car"/>
    <w:basedOn w:val="Fuentedeprrafopredeter"/>
    <w:link w:val="Piedepgina"/>
    <w:semiHidden/>
    <w:rsid w:val="0038735B"/>
    <w:rPr>
      <w:rFonts w:ascii="Arial" w:eastAsia="Times New Roman" w:hAnsi="Arial" w:cs="Times New Roman"/>
      <w:color w:val="000000"/>
      <w:sz w:val="24"/>
      <w:szCs w:val="20"/>
      <w:lang w:val="es-ES" w:eastAsia="es-ES"/>
    </w:rPr>
  </w:style>
  <w:style w:type="character" w:styleId="Nmerodepgina">
    <w:name w:val="page number"/>
    <w:basedOn w:val="Fuentedeprrafopredeter"/>
    <w:semiHidden/>
    <w:rsid w:val="0038735B"/>
  </w:style>
  <w:style w:type="paragraph" w:styleId="Sangradetextonormal">
    <w:name w:val="Body Text Indent"/>
    <w:basedOn w:val="Normal"/>
    <w:link w:val="SangradetextonormalCar"/>
    <w:semiHidden/>
    <w:rsid w:val="0038735B"/>
    <w:pPr>
      <w:spacing w:line="360" w:lineRule="auto"/>
      <w:ind w:firstLine="1134"/>
    </w:pPr>
  </w:style>
  <w:style w:type="character" w:customStyle="1" w:styleId="SangradetextonormalCar">
    <w:name w:val="Sangría de texto normal Car"/>
    <w:basedOn w:val="Fuentedeprrafopredeter"/>
    <w:link w:val="Sangradetextonormal"/>
    <w:semiHidden/>
    <w:rsid w:val="0038735B"/>
    <w:rPr>
      <w:rFonts w:ascii="Arial" w:eastAsia="Times New Roman" w:hAnsi="Arial" w:cs="Times New Roman"/>
      <w:sz w:val="24"/>
      <w:szCs w:val="24"/>
      <w:lang w:val="es-ES" w:eastAsia="es-ES"/>
    </w:rPr>
  </w:style>
  <w:style w:type="paragraph" w:styleId="Prrafodelista">
    <w:name w:val="List Paragraph"/>
    <w:basedOn w:val="Normal"/>
    <w:uiPriority w:val="34"/>
    <w:qFormat/>
    <w:rsid w:val="0038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C69CC-FEC5-4F74-9BD7-9AF920D7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3</cp:revision>
  <dcterms:created xsi:type="dcterms:W3CDTF">2019-01-16T14:54:00Z</dcterms:created>
  <dcterms:modified xsi:type="dcterms:W3CDTF">2019-01-16T15:06:00Z</dcterms:modified>
</cp:coreProperties>
</file>