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4E5" w:rsidRPr="003F3A3F" w:rsidRDefault="001954E5" w:rsidP="001954E5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129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1954E5" w:rsidRPr="000F48AC" w:rsidRDefault="001954E5" w:rsidP="001954E5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1954E5" w:rsidRPr="000F48AC" w:rsidRDefault="001954E5" w:rsidP="001954E5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1954E5" w:rsidRPr="000F48AC" w:rsidRDefault="001954E5" w:rsidP="001954E5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16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2019</w:t>
      </w:r>
    </w:p>
    <w:p w:rsidR="001954E5" w:rsidRDefault="001954E5" w:rsidP="001954E5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 E. Nº 201</w:t>
      </w:r>
      <w:r>
        <w:rPr>
          <w:rFonts w:cs="Arial"/>
          <w:b/>
        </w:rPr>
        <w:t>9</w:t>
      </w:r>
      <w:r w:rsidRPr="00BB4DEC">
        <w:rPr>
          <w:rFonts w:cs="Arial"/>
          <w:b/>
        </w:rPr>
        <w:t>-17-1-000</w:t>
      </w:r>
      <w:r>
        <w:rPr>
          <w:rFonts w:cs="Arial"/>
          <w:b/>
        </w:rPr>
        <w:t>0104</w:t>
      </w:r>
      <w:r w:rsidRPr="00BB4DEC">
        <w:rPr>
          <w:rFonts w:cs="Arial"/>
          <w:b/>
        </w:rPr>
        <w:t xml:space="preserve">, </w:t>
      </w:r>
      <w:proofErr w:type="spellStart"/>
      <w:r w:rsidRPr="00BB4DEC">
        <w:rPr>
          <w:rFonts w:cs="Arial"/>
          <w:b/>
        </w:rPr>
        <w:t>Ent</w:t>
      </w:r>
      <w:proofErr w:type="spellEnd"/>
      <w:r w:rsidRPr="00BB4DEC">
        <w:rPr>
          <w:rFonts w:cs="Arial"/>
          <w:b/>
        </w:rPr>
        <w:t xml:space="preserve">. N° </w:t>
      </w:r>
      <w:r>
        <w:rPr>
          <w:rFonts w:cs="Arial"/>
          <w:b/>
        </w:rPr>
        <w:t>0045</w:t>
      </w:r>
      <w:r w:rsidR="002F5F66">
        <w:rPr>
          <w:rFonts w:cs="Arial"/>
          <w:b/>
        </w:rPr>
        <w:t>/19</w:t>
      </w:r>
      <w:bookmarkStart w:id="0" w:name="_GoBack"/>
      <w:bookmarkEnd w:id="0"/>
      <w:r w:rsidRPr="00BB4DEC">
        <w:rPr>
          <w:rFonts w:cs="Arial"/>
          <w:b/>
        </w:rPr>
        <w:t>)</w:t>
      </w:r>
    </w:p>
    <w:p w:rsidR="001954E5" w:rsidRPr="00BB4DEC" w:rsidRDefault="001954E5" w:rsidP="001954E5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F84233" w:rsidRDefault="00F84233" w:rsidP="00621E6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>celebrado con el Sr. Juan Bermúdez Rosa;</w:t>
      </w:r>
    </w:p>
    <w:p w:rsidR="00280766" w:rsidRDefault="00F84233" w:rsidP="00621E6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 el Sr. Juan </w:t>
      </w:r>
      <w:r w:rsidR="005B4C6A">
        <w:t>Bermúdez</w:t>
      </w:r>
      <w:r>
        <w:t xml:space="preserve"> Rosa, </w:t>
      </w:r>
      <w:r w:rsidR="002C4E94">
        <w:t>promovió</w:t>
      </w:r>
      <w:r>
        <w:t xml:space="preserve"> un juicio</w:t>
      </w:r>
      <w:r w:rsidR="005B4C6A">
        <w:t xml:space="preserve"> laboral</w:t>
      </w:r>
      <w:r>
        <w:t xml:space="preserve"> </w:t>
      </w:r>
      <w:r w:rsidR="005B4C6A">
        <w:t>contra</w:t>
      </w:r>
      <w:r w:rsidR="00280766">
        <w:t xml:space="preserve"> </w:t>
      </w:r>
      <w:r>
        <w:t xml:space="preserve">los Sres. </w:t>
      </w:r>
      <w:r w:rsidR="002C4E94">
        <w:t>Aníbal</w:t>
      </w:r>
      <w:r w:rsidR="005B4C6A">
        <w:t xml:space="preserve"> González, </w:t>
      </w:r>
      <w:r>
        <w:t xml:space="preserve">Andrea </w:t>
      </w:r>
      <w:r w:rsidR="002C4E94">
        <w:t>González</w:t>
      </w:r>
      <w:r w:rsidR="005B4C6A">
        <w:t xml:space="preserve"> y</w:t>
      </w:r>
      <w:r w:rsidR="005B4C6A" w:rsidRPr="005B4C6A">
        <w:t xml:space="preserve"> </w:t>
      </w:r>
      <w:r w:rsidR="005B4C6A">
        <w:t xml:space="preserve">la </w:t>
      </w:r>
      <w:r w:rsidR="0062208D">
        <w:t>administración actuante</w:t>
      </w:r>
      <w:r w:rsidR="005B4C6A">
        <w:t xml:space="preserve"> -al amparo de lo dispuesto en las Leyes </w:t>
      </w:r>
      <w:r w:rsidR="0062208D">
        <w:t>Nº</w:t>
      </w:r>
      <w:r w:rsidR="005B4C6A">
        <w:t xml:space="preserve"> 18.099 y 18.251- </w:t>
      </w:r>
      <w:r w:rsidR="00280766">
        <w:t xml:space="preserve"> el cual tramit</w:t>
      </w:r>
      <w:r w:rsidR="005B4C6A">
        <w:t>ó</w:t>
      </w:r>
      <w:r w:rsidR="00280766">
        <w:t xml:space="preserve"> en el Juzgado Letrado de Trabajo de la Capital de 1º Turno con la </w:t>
      </w:r>
      <w:r w:rsidR="005B4C6A">
        <w:t>IUE Nº</w:t>
      </w:r>
      <w:r w:rsidR="00280766">
        <w:t xml:space="preserve"> 2-11398/18, </w:t>
      </w:r>
      <w:r w:rsidR="002C4E94">
        <w:t>reclamándose</w:t>
      </w:r>
      <w:r w:rsidR="00280766">
        <w:t xml:space="preserve"> el monto total de $ 626.839 más ilíquidos, por </w:t>
      </w:r>
      <w:r w:rsidR="002C4E94">
        <w:t>concepto</w:t>
      </w:r>
      <w:r w:rsidR="00280766">
        <w:t xml:space="preserve"> de horas extras, nocturnidad, licencia, salario vacacional y aguinaldo, omisión de pag</w:t>
      </w:r>
      <w:r w:rsidR="002C4E94">
        <w:t>o</w:t>
      </w:r>
      <w:r w:rsidR="00280766">
        <w:t xml:space="preserve"> de beneficios laborales, </w:t>
      </w:r>
      <w:r w:rsidR="002C4E94">
        <w:t>antigüedad</w:t>
      </w:r>
      <w:r w:rsidR="00280766">
        <w:t xml:space="preserve">, partida fija por tenencia de </w:t>
      </w:r>
      <w:r w:rsidR="002C4E94">
        <w:t>vehículo</w:t>
      </w:r>
      <w:r w:rsidR="00280766">
        <w:t xml:space="preserve"> fuera de </w:t>
      </w:r>
      <w:r w:rsidR="002C4E94">
        <w:t>h</w:t>
      </w:r>
      <w:r w:rsidR="00280766">
        <w:t>orario de tr</w:t>
      </w:r>
      <w:r w:rsidR="002C4E94">
        <w:t>a</w:t>
      </w:r>
      <w:r w:rsidR="00280766">
        <w:t>bajo, viáticos, com</w:t>
      </w:r>
      <w:r w:rsidR="002C4E94">
        <w:t>i</w:t>
      </w:r>
      <w:r w:rsidR="00280766">
        <w:t>siones y compl</w:t>
      </w:r>
      <w:r w:rsidR="002C4E94">
        <w:t>e</w:t>
      </w:r>
      <w:r w:rsidR="00280766">
        <w:t>me</w:t>
      </w:r>
      <w:r w:rsidR="002C4E94">
        <w:t>n</w:t>
      </w:r>
      <w:r w:rsidR="00280766">
        <w:t>to de salario vac</w:t>
      </w:r>
      <w:r w:rsidR="002C4E94">
        <w:t>ac</w:t>
      </w:r>
      <w:r w:rsidR="00280766">
        <w:t>ional;</w:t>
      </w:r>
    </w:p>
    <w:p w:rsidR="00621E61" w:rsidRDefault="00280766" w:rsidP="00621E61">
      <w:pPr>
        <w:tabs>
          <w:tab w:val="left" w:pos="-720"/>
        </w:tabs>
        <w:suppressAutoHyphens/>
        <w:spacing w:line="360" w:lineRule="auto"/>
        <w:ind w:firstLine="2694"/>
        <w:jc w:val="both"/>
      </w:pPr>
      <w:r w:rsidRPr="002C4E94">
        <w:rPr>
          <w:b/>
        </w:rPr>
        <w:t>2)</w:t>
      </w:r>
      <w:r>
        <w:t xml:space="preserve"> que con la finalidad de no continuar el litigio referido y sin que ello implique ningún tipo de </w:t>
      </w:r>
      <w:r w:rsidR="002C4E94">
        <w:t>reconocimiento</w:t>
      </w:r>
      <w:r>
        <w:t xml:space="preserve"> por parte de OSE a la pretensión de la </w:t>
      </w:r>
      <w:r w:rsidR="002C4E94">
        <w:t>parte</w:t>
      </w:r>
      <w:r>
        <w:t xml:space="preserve"> actora ni de los rubros </w:t>
      </w:r>
      <w:r w:rsidR="002C4E94">
        <w:t>reclamados</w:t>
      </w:r>
      <w:r>
        <w:t xml:space="preserve">, con fecha 11/10/18, las partes arribaron a un </w:t>
      </w:r>
      <w:r w:rsidR="005B4C6A">
        <w:t>a</w:t>
      </w:r>
      <w:r>
        <w:t xml:space="preserve">cuerdo transaccional, sujeto a la aprobación de Directorio, por el cual OSE se obligó a pagar la </w:t>
      </w:r>
      <w:r w:rsidR="002C4E94">
        <w:t>suma</w:t>
      </w:r>
      <w:r>
        <w:t xml:space="preserve"> total y final de $ 200.000</w:t>
      </w:r>
      <w:r w:rsidR="002C4E94">
        <w:t>;</w:t>
      </w:r>
    </w:p>
    <w:p w:rsidR="00621E61" w:rsidRDefault="002C4E94" w:rsidP="00621E61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>3</w:t>
      </w:r>
      <w:r w:rsidR="00F84233">
        <w:rPr>
          <w:b/>
        </w:rPr>
        <w:t xml:space="preserve">) </w:t>
      </w:r>
      <w:r w:rsidR="00F84233">
        <w:t xml:space="preserve">que por Resolución del Directorio Nº </w:t>
      </w:r>
      <w:r>
        <w:t>1364</w:t>
      </w:r>
      <w:r w:rsidR="00F84233">
        <w:t xml:space="preserve">/18, de fecha </w:t>
      </w:r>
      <w:r>
        <w:t>21</w:t>
      </w:r>
      <w:r w:rsidR="00F84233">
        <w:t xml:space="preserve"> de </w:t>
      </w:r>
      <w:r>
        <w:t xml:space="preserve">noviembre </w:t>
      </w:r>
      <w:r w:rsidR="00F84233">
        <w:t xml:space="preserve">de 2018, se dispuso aprobar el acuerdo transaccional </w:t>
      </w:r>
      <w:r>
        <w:t>referido, autorizando un crédito por la suma de $ 200.000 a efectos de cumplimiento con el mismo;</w:t>
      </w:r>
    </w:p>
    <w:p w:rsidR="002C4E94" w:rsidRDefault="005B4C6A" w:rsidP="00621E61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lastRenderedPageBreak/>
        <w:t>4</w:t>
      </w:r>
      <w:r w:rsidR="002C4E94">
        <w:rPr>
          <w:b/>
        </w:rPr>
        <w:t xml:space="preserve">) </w:t>
      </w:r>
      <w:r w:rsidR="002C4E94">
        <w:t>que se adjunta información contable donde se imputa la suma referida con cargo al Presupuesto de Compras 2018, vigente con disponibilidad suficiente en el Grupo 7 “Gastos no clasificados”;</w:t>
      </w:r>
    </w:p>
    <w:p w:rsidR="00621E61" w:rsidRDefault="00F84233" w:rsidP="00621E61">
      <w:pPr>
        <w:tabs>
          <w:tab w:val="left" w:pos="-720"/>
        </w:tabs>
        <w:suppressAutoHyphens/>
        <w:spacing w:line="360" w:lineRule="auto"/>
        <w:ind w:firstLine="851"/>
        <w:jc w:val="both"/>
        <w:rPr>
          <w:bCs/>
          <w:spacing w:val="-3"/>
          <w:lang w:val="es-ES_tradnl"/>
        </w:rPr>
      </w:pPr>
      <w:r>
        <w:rPr>
          <w:b/>
          <w:spacing w:val="-3"/>
        </w:rPr>
        <w:t>C</w:t>
      </w:r>
      <w:r w:rsidR="00621E61">
        <w:rPr>
          <w:b/>
          <w:spacing w:val="-3"/>
          <w:lang w:val="es-ES_tradnl"/>
        </w:rPr>
        <w:t>ONSIDERANDO:</w:t>
      </w:r>
      <w:r>
        <w:rPr>
          <w:bCs/>
          <w:spacing w:val="-3"/>
          <w:lang w:val="es-ES_tradnl"/>
        </w:rPr>
        <w:t xml:space="preserve">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que por resolución del Tribunal de Cuentas, de</w:t>
      </w:r>
      <w:r>
        <w:rPr>
          <w:b/>
          <w:spacing w:val="-3"/>
          <w:lang w:val="es-ES_tradnl"/>
        </w:rPr>
        <w:t xml:space="preserve"> </w:t>
      </w:r>
      <w:r>
        <w:rPr>
          <w:bCs/>
          <w:spacing w:val="-3"/>
          <w:lang w:val="es-ES_tradnl"/>
        </w:rPr>
        <w:t>fecha 18 de junio de 2008 en la redacción dada por el artículo 2 de la Resolución de este Tribunal de 23.12.2009, se dispuso que se deben remitir al mismo, para su intervención, todos los gastos emergentes de transacc</w:t>
      </w:r>
      <w:r w:rsidR="00621E61">
        <w:rPr>
          <w:bCs/>
          <w:spacing w:val="-3"/>
          <w:lang w:val="es-ES_tradnl"/>
        </w:rPr>
        <w:t>iones  extrajudiciales y laudos</w:t>
      </w:r>
      <w:r>
        <w:rPr>
          <w:bCs/>
          <w:spacing w:val="-3"/>
          <w:lang w:val="es-ES_tradnl"/>
        </w:rPr>
        <w:t xml:space="preserve"> arbitrales, cualquiera sea su monto;</w:t>
      </w:r>
    </w:p>
    <w:p w:rsidR="00621E61" w:rsidRDefault="00621E61" w:rsidP="00621E61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</w:t>
      </w:r>
      <w:r w:rsidR="00F84233" w:rsidRPr="00804141">
        <w:rPr>
          <w:b/>
          <w:bCs/>
          <w:spacing w:val="-3"/>
          <w:lang w:val="es-ES_tradnl"/>
        </w:rPr>
        <w:t>2)</w:t>
      </w:r>
      <w:r w:rsidR="00F84233">
        <w:rPr>
          <w:b/>
          <w:bCs/>
          <w:spacing w:val="-3"/>
          <w:lang w:val="es-ES_tradnl"/>
        </w:rPr>
        <w:t xml:space="preserve"> </w:t>
      </w:r>
      <w:r w:rsidR="00F84233" w:rsidRPr="00804141">
        <w:rPr>
          <w:bCs/>
          <w:spacing w:val="-3"/>
          <w:lang w:val="es-ES_tradnl"/>
        </w:rPr>
        <w:t xml:space="preserve">que la transacción </w:t>
      </w:r>
      <w:r w:rsidR="0062208D">
        <w:rPr>
          <w:bCs/>
          <w:spacing w:val="-3"/>
          <w:lang w:val="es-ES_tradnl"/>
        </w:rPr>
        <w:t xml:space="preserve">es un contrato </w:t>
      </w:r>
      <w:r w:rsidR="00A05832">
        <w:rPr>
          <w:bCs/>
          <w:spacing w:val="-3"/>
          <w:lang w:val="es-ES_tradnl"/>
        </w:rPr>
        <w:t>por el cual las partes, haciéndose recíprocas concesiones, terminan un litigio pendiente o precaven un litigio eventual, conforme lo señala el art. 2147 del Código Civil;</w:t>
      </w:r>
    </w:p>
    <w:p w:rsidR="00621E61" w:rsidRDefault="00621E61" w:rsidP="00621E61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</w:t>
      </w:r>
      <w:r w:rsidR="00A05832">
        <w:rPr>
          <w:b/>
          <w:bCs/>
          <w:spacing w:val="-3"/>
          <w:lang w:val="es-ES_tradnl"/>
        </w:rPr>
        <w:t>3)</w:t>
      </w:r>
      <w:r w:rsidR="00A05832">
        <w:rPr>
          <w:bCs/>
          <w:spacing w:val="-3"/>
          <w:lang w:val="es-ES_tradnl"/>
        </w:rPr>
        <w:t xml:space="preserve"> que el procedimiento remitido</w:t>
      </w:r>
      <w:r w:rsidR="00F84233" w:rsidRPr="00804141">
        <w:rPr>
          <w:bCs/>
          <w:spacing w:val="-3"/>
          <w:lang w:val="es-ES_tradnl"/>
        </w:rPr>
        <w:t xml:space="preserve"> no merece objeciones de índole legal y los aspectos que refieren a oportunidad o conveniencia de la </w:t>
      </w:r>
      <w:r w:rsidR="00A05832">
        <w:rPr>
          <w:bCs/>
          <w:spacing w:val="-3"/>
          <w:lang w:val="es-ES_tradnl"/>
        </w:rPr>
        <w:t>transacción</w:t>
      </w:r>
      <w:r w:rsidR="00F84233" w:rsidRPr="00804141">
        <w:rPr>
          <w:bCs/>
          <w:spacing w:val="-3"/>
          <w:lang w:val="es-ES_tradnl"/>
        </w:rPr>
        <w:t xml:space="preserve"> constituyen una cuestión de mérito cuya apreciación no encuadra en el ámbito de competencias de este Tribunal</w:t>
      </w:r>
      <w:r w:rsidR="00F84233">
        <w:rPr>
          <w:bCs/>
          <w:spacing w:val="-3"/>
          <w:lang w:val="es-ES_tradnl"/>
        </w:rPr>
        <w:t>;</w:t>
      </w:r>
    </w:p>
    <w:p w:rsidR="00F84233" w:rsidRPr="00B40519" w:rsidRDefault="00621E61" w:rsidP="00621E61">
      <w:pPr>
        <w:tabs>
          <w:tab w:val="left" w:pos="-720"/>
        </w:tabs>
        <w:suppressAutoHyphens/>
        <w:spacing w:line="360" w:lineRule="auto"/>
        <w:ind w:firstLine="2977"/>
        <w:jc w:val="both"/>
        <w:rPr>
          <w:bCs/>
          <w:spacing w:val="-3"/>
          <w:lang w:val="es-ES_tradnl"/>
        </w:rPr>
      </w:pPr>
      <w:r>
        <w:rPr>
          <w:bCs/>
          <w:spacing w:val="-3"/>
          <w:lang w:val="es-ES_tradnl"/>
        </w:rPr>
        <w:t xml:space="preserve"> </w:t>
      </w:r>
      <w:r w:rsidR="00A05832">
        <w:rPr>
          <w:b/>
          <w:bCs/>
          <w:spacing w:val="-3"/>
          <w:lang w:val="es-ES_tradnl"/>
        </w:rPr>
        <w:t>4</w:t>
      </w:r>
      <w:r w:rsidR="00F84233">
        <w:rPr>
          <w:b/>
          <w:bCs/>
          <w:spacing w:val="-3"/>
          <w:lang w:val="es-ES_tradnl"/>
        </w:rPr>
        <w:t xml:space="preserve">) </w:t>
      </w:r>
      <w:r w:rsidR="00F84233" w:rsidRPr="00804141">
        <w:rPr>
          <w:bCs/>
          <w:spacing w:val="-3"/>
          <w:lang w:val="es-ES_tradnl"/>
        </w:rPr>
        <w:t>que de acuerdo con lo previsto en el numeral 4º</w:t>
      </w:r>
      <w:r w:rsidR="00F84233">
        <w:rPr>
          <w:bCs/>
          <w:spacing w:val="-3"/>
          <w:lang w:val="es-ES_tradnl"/>
        </w:rPr>
        <w:t xml:space="preserve"> de la Ordenanza Nº 72 de 23 de mayo de </w:t>
      </w:r>
      <w:r w:rsidR="00F84233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  <w:r w:rsidR="00F84233">
        <w:rPr>
          <w:b/>
          <w:spacing w:val="-3"/>
          <w:lang w:val="es-ES_tradnl"/>
        </w:rPr>
        <w:t xml:space="preserve">            </w:t>
      </w:r>
    </w:p>
    <w:p w:rsidR="00F84233" w:rsidRDefault="00F84233" w:rsidP="00621E61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</w:t>
      </w:r>
      <w:r w:rsidR="0062208D">
        <w:rPr>
          <w:spacing w:val="-3"/>
          <w:lang w:val="es-ES_tradnl"/>
        </w:rPr>
        <w:t xml:space="preserve"> y a lo que dispone el art. 211 </w:t>
      </w:r>
      <w:proofErr w:type="spellStart"/>
      <w:r w:rsidR="0062208D">
        <w:rPr>
          <w:spacing w:val="-3"/>
          <w:lang w:val="es-ES_tradnl"/>
        </w:rPr>
        <w:t>lit.</w:t>
      </w:r>
      <w:proofErr w:type="spellEnd"/>
      <w:r w:rsidR="0062208D">
        <w:rPr>
          <w:spacing w:val="-3"/>
          <w:lang w:val="es-ES_tradnl"/>
        </w:rPr>
        <w:t xml:space="preserve"> B) de la Constitución de la República</w:t>
      </w:r>
      <w:r>
        <w:rPr>
          <w:spacing w:val="-3"/>
          <w:lang w:val="es-ES_tradnl"/>
        </w:rPr>
        <w:t>;</w:t>
      </w:r>
    </w:p>
    <w:p w:rsidR="00F84233" w:rsidRDefault="00F84233" w:rsidP="001954E5">
      <w:pPr>
        <w:pStyle w:val="Ttulo1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F84233" w:rsidRDefault="00F84233" w:rsidP="001954E5">
      <w:pPr>
        <w:pStyle w:val="Textoindependiente2"/>
        <w:jc w:val="both"/>
      </w:pPr>
      <w:r w:rsidRPr="001954E5">
        <w:rPr>
          <w:b/>
        </w:rPr>
        <w:t>1)</w:t>
      </w:r>
      <w:r>
        <w:t xml:space="preserve"> Cometer al Contador Delegado la intervención de la suma de $ </w:t>
      </w:r>
      <w:r w:rsidR="002C4E94">
        <w:t>200.000</w:t>
      </w:r>
      <w:r>
        <w:t xml:space="preserve"> conjuntamente con pago, previo control de su imputación con cargo a grupo adecuado con disponibilidad suficiente;</w:t>
      </w:r>
    </w:p>
    <w:p w:rsidR="00F84233" w:rsidRDefault="00F84233" w:rsidP="001954E5">
      <w:pPr>
        <w:pStyle w:val="Textoindependiente2"/>
        <w:jc w:val="both"/>
      </w:pPr>
      <w:r w:rsidRPr="001954E5">
        <w:rPr>
          <w:b/>
        </w:rPr>
        <w:t>2)</w:t>
      </w:r>
      <w:r>
        <w:t xml:space="preserve">  Comunicar al Contador Delegado; y</w:t>
      </w:r>
    </w:p>
    <w:p w:rsidR="00F84233" w:rsidRDefault="00F84233" w:rsidP="001954E5">
      <w:pPr>
        <w:pStyle w:val="Textoindependiente2"/>
        <w:jc w:val="both"/>
      </w:pPr>
      <w:r w:rsidRPr="001954E5">
        <w:rPr>
          <w:b/>
        </w:rPr>
        <w:t>3)</w:t>
      </w:r>
      <w:r>
        <w:t xml:space="preserve">  Devolver las actuaciones.</w:t>
      </w:r>
    </w:p>
    <w:p w:rsidR="00486260" w:rsidRDefault="00486260" w:rsidP="001954E5">
      <w:pPr>
        <w:spacing w:line="360" w:lineRule="auto"/>
        <w:rPr>
          <w:lang w:val="es-ES_tradnl"/>
        </w:rPr>
      </w:pPr>
    </w:p>
    <w:p w:rsidR="006D57F8" w:rsidRDefault="006D57F8" w:rsidP="001954E5">
      <w:pPr>
        <w:spacing w:line="360" w:lineRule="auto"/>
        <w:rPr>
          <w:lang w:val="es-ES_tradnl"/>
        </w:rPr>
      </w:pPr>
    </w:p>
    <w:p w:rsidR="006D57F8" w:rsidRPr="00F84233" w:rsidRDefault="006D57F8" w:rsidP="001954E5">
      <w:pPr>
        <w:spacing w:line="360" w:lineRule="auto"/>
        <w:rPr>
          <w:lang w:val="es-ES_tradnl"/>
        </w:rPr>
      </w:pPr>
      <w:proofErr w:type="gramStart"/>
      <w:r>
        <w:rPr>
          <w:lang w:val="es-ES_tradnl"/>
        </w:rPr>
        <w:t>lm</w:t>
      </w:r>
      <w:proofErr w:type="gramEnd"/>
    </w:p>
    <w:sectPr w:rsidR="006D57F8" w:rsidRPr="00F84233" w:rsidSect="00CB0388">
      <w:headerReference w:type="default" r:id="rId7"/>
      <w:footerReference w:type="even" r:id="rId8"/>
      <w:pgSz w:w="11907" w:h="16840" w:code="9"/>
      <w:pgMar w:top="340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6D" w:rsidRDefault="005A396D">
      <w:r>
        <w:separator/>
      </w:r>
    </w:p>
  </w:endnote>
  <w:endnote w:type="continuationSeparator" w:id="0">
    <w:p w:rsidR="005A396D" w:rsidRDefault="005A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5B4C6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B5D91" w:rsidRDefault="002F5F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6D" w:rsidRDefault="005A396D">
      <w:r>
        <w:separator/>
      </w:r>
    </w:p>
  </w:footnote>
  <w:footnote w:type="continuationSeparator" w:id="0">
    <w:p w:rsidR="005A396D" w:rsidRDefault="005A3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D91" w:rsidRDefault="00F84233">
    <w:pPr>
      <w:suppressAutoHyphens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F5A84F" wp14:editId="75468C41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B5D91" w:rsidRDefault="005B4C6A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5B5D91" w:rsidRDefault="005B4C6A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5B5D91" w:rsidRDefault="002F5F66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33"/>
    <w:rsid w:val="001954E5"/>
    <w:rsid w:val="00280766"/>
    <w:rsid w:val="002C4E94"/>
    <w:rsid w:val="002F5F66"/>
    <w:rsid w:val="00486260"/>
    <w:rsid w:val="005A396D"/>
    <w:rsid w:val="005B4C6A"/>
    <w:rsid w:val="00621E61"/>
    <w:rsid w:val="0062208D"/>
    <w:rsid w:val="006D57F8"/>
    <w:rsid w:val="0076571A"/>
    <w:rsid w:val="00A05832"/>
    <w:rsid w:val="00CB0388"/>
    <w:rsid w:val="00F523AE"/>
    <w:rsid w:val="00F84233"/>
    <w:rsid w:val="00FC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4233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84233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4233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84233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F84233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F84233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84233"/>
  </w:style>
  <w:style w:type="paragraph" w:styleId="Textoindependiente">
    <w:name w:val="Body Text"/>
    <w:basedOn w:val="Normal"/>
    <w:link w:val="TextoindependienteCar"/>
    <w:semiHidden/>
    <w:rsid w:val="00F84233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8423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F84233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84233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F8423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5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4E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23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84233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F84233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84233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84233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F84233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F84233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F84233"/>
  </w:style>
  <w:style w:type="paragraph" w:styleId="Textoindependiente">
    <w:name w:val="Body Text"/>
    <w:basedOn w:val="Normal"/>
    <w:link w:val="TextoindependienteCar"/>
    <w:semiHidden/>
    <w:rsid w:val="00F84233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F84233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F84233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84233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F8423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95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4E5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2019-01-17T19:41:00Z</cp:lastPrinted>
  <dcterms:created xsi:type="dcterms:W3CDTF">2019-01-17T19:32:00Z</dcterms:created>
  <dcterms:modified xsi:type="dcterms:W3CDTF">2019-01-17T19:48:00Z</dcterms:modified>
</cp:coreProperties>
</file>