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02" w:rsidRPr="00B27E02" w:rsidRDefault="00B27E02" w:rsidP="00B27E02">
      <w:pPr>
        <w:tabs>
          <w:tab w:val="center" w:pos="4253"/>
        </w:tabs>
        <w:suppressAutoHyphens/>
        <w:jc w:val="right"/>
        <w:rPr>
          <w:rFonts w:cs="Arial"/>
          <w:b/>
          <w:sz w:val="28"/>
          <w:szCs w:val="28"/>
          <w:lang w:val="es-ES_tradnl"/>
        </w:rPr>
      </w:pPr>
      <w:bookmarkStart w:id="0" w:name="_GoBack"/>
      <w:bookmarkEnd w:id="0"/>
      <w:r w:rsidRPr="00B27E02">
        <w:rPr>
          <w:rFonts w:cs="Arial"/>
          <w:b/>
          <w:sz w:val="28"/>
          <w:szCs w:val="28"/>
          <w:lang w:val="es-ES_tradnl"/>
        </w:rPr>
        <w:t xml:space="preserve">RES. </w:t>
      </w:r>
      <w:r>
        <w:rPr>
          <w:rFonts w:cs="Arial"/>
          <w:b/>
          <w:sz w:val="28"/>
          <w:szCs w:val="28"/>
          <w:lang w:val="es-ES_tradnl"/>
        </w:rPr>
        <w:t>50</w:t>
      </w:r>
      <w:r w:rsidRPr="00B27E02">
        <w:rPr>
          <w:rFonts w:cs="Arial"/>
          <w:b/>
          <w:sz w:val="28"/>
          <w:szCs w:val="28"/>
          <w:lang w:val="es-ES_tradnl"/>
        </w:rPr>
        <w:t>/19</w:t>
      </w:r>
    </w:p>
    <w:p w:rsidR="00B27E02" w:rsidRPr="00B27E02" w:rsidRDefault="00B27E02" w:rsidP="00B27E02">
      <w:pPr>
        <w:tabs>
          <w:tab w:val="center" w:pos="4253"/>
        </w:tabs>
        <w:suppressAutoHyphens/>
        <w:jc w:val="right"/>
        <w:rPr>
          <w:rFonts w:cs="Arial"/>
          <w:b/>
          <w:lang w:val="es-ES_tradnl"/>
        </w:rPr>
      </w:pPr>
    </w:p>
    <w:p w:rsidR="00B27E02" w:rsidRPr="00B27E02" w:rsidRDefault="00B27E02" w:rsidP="00B27E02">
      <w:pPr>
        <w:tabs>
          <w:tab w:val="center" w:pos="4253"/>
        </w:tabs>
        <w:suppressAutoHyphens/>
        <w:jc w:val="center"/>
        <w:rPr>
          <w:rFonts w:cs="Arial"/>
          <w:b/>
          <w:lang w:val="es-ES_tradnl"/>
        </w:rPr>
      </w:pPr>
      <w:r w:rsidRPr="00B27E02">
        <w:rPr>
          <w:rFonts w:cs="Arial"/>
          <w:b/>
          <w:lang w:val="es-ES_tradnl"/>
        </w:rPr>
        <w:t>RESOLUCION ADOPTADA POR EL</w:t>
      </w:r>
    </w:p>
    <w:p w:rsidR="00B27E02" w:rsidRPr="00B27E02" w:rsidRDefault="00B27E02" w:rsidP="00B27E02">
      <w:pPr>
        <w:tabs>
          <w:tab w:val="left" w:pos="-720"/>
        </w:tabs>
        <w:suppressAutoHyphens/>
        <w:jc w:val="center"/>
        <w:rPr>
          <w:rFonts w:cs="Arial"/>
          <w:b/>
          <w:lang w:val="es-ES_tradnl"/>
        </w:rPr>
      </w:pPr>
    </w:p>
    <w:p w:rsidR="00B27E02" w:rsidRPr="00B27E02" w:rsidRDefault="00B27E02" w:rsidP="00B27E02">
      <w:pPr>
        <w:tabs>
          <w:tab w:val="center" w:pos="4253"/>
        </w:tabs>
        <w:suppressAutoHyphens/>
        <w:jc w:val="center"/>
        <w:rPr>
          <w:rFonts w:cs="Arial"/>
          <w:b/>
          <w:lang w:val="es-ES_tradnl"/>
        </w:rPr>
      </w:pPr>
      <w:r w:rsidRPr="00B27E02">
        <w:rPr>
          <w:rFonts w:cs="Arial"/>
          <w:b/>
          <w:lang w:val="es-ES_tradnl"/>
        </w:rPr>
        <w:t>TRIBUNAL DE CUENTAS</w:t>
      </w:r>
    </w:p>
    <w:p w:rsidR="00B27E02" w:rsidRPr="00B27E02" w:rsidRDefault="00B27E02" w:rsidP="00B27E02">
      <w:pPr>
        <w:tabs>
          <w:tab w:val="left" w:pos="-720"/>
        </w:tabs>
        <w:suppressAutoHyphens/>
        <w:jc w:val="center"/>
        <w:rPr>
          <w:rFonts w:cs="Arial"/>
          <w:b/>
          <w:lang w:val="es-ES_tradnl"/>
        </w:rPr>
      </w:pPr>
    </w:p>
    <w:p w:rsidR="00B27E02" w:rsidRPr="00B27E02" w:rsidRDefault="00B27E02" w:rsidP="00B27E02">
      <w:pPr>
        <w:tabs>
          <w:tab w:val="center" w:pos="4253"/>
        </w:tabs>
        <w:suppressAutoHyphens/>
        <w:jc w:val="center"/>
        <w:rPr>
          <w:rFonts w:cs="Arial"/>
          <w:b/>
          <w:lang w:val="es-ES_tradnl"/>
        </w:rPr>
      </w:pPr>
      <w:r w:rsidRPr="00B27E02">
        <w:rPr>
          <w:rFonts w:cs="Arial"/>
          <w:b/>
          <w:lang w:val="es-ES_tradnl"/>
        </w:rPr>
        <w:t xml:space="preserve">EN SESION DE FECHA 9 DE ENERO </w:t>
      </w:r>
      <w:r w:rsidRPr="00B27E02">
        <w:rPr>
          <w:rFonts w:ascii="Helvetica" w:hAnsi="Helvetica"/>
          <w:b/>
          <w:lang w:val="es-ES_tradnl"/>
        </w:rPr>
        <w:t>DE 2019</w:t>
      </w:r>
    </w:p>
    <w:p w:rsidR="00B27E02" w:rsidRPr="00B27E02" w:rsidRDefault="00B27E02" w:rsidP="00B27E02">
      <w:pPr>
        <w:tabs>
          <w:tab w:val="center" w:pos="4253"/>
        </w:tabs>
        <w:suppressAutoHyphens/>
        <w:jc w:val="center"/>
        <w:rPr>
          <w:rFonts w:cs="Arial"/>
          <w:b/>
          <w:lang w:val="es-ES_tradnl"/>
        </w:rPr>
      </w:pPr>
    </w:p>
    <w:p w:rsidR="00B27E02" w:rsidRPr="00B27E02" w:rsidRDefault="00B27E02" w:rsidP="00B27E02">
      <w:pPr>
        <w:tabs>
          <w:tab w:val="center" w:pos="4253"/>
        </w:tabs>
        <w:suppressAutoHyphens/>
        <w:jc w:val="center"/>
        <w:rPr>
          <w:rFonts w:cs="Arial"/>
          <w:b/>
          <w:lang w:val="en-US"/>
        </w:rPr>
      </w:pPr>
      <w:r w:rsidRPr="00B27E02">
        <w:rPr>
          <w:rFonts w:cs="Arial"/>
          <w:b/>
          <w:lang w:val="en-US"/>
        </w:rPr>
        <w:t>(E. E. Nº</w:t>
      </w:r>
      <w:r>
        <w:rPr>
          <w:rFonts w:cs="Arial"/>
          <w:b/>
          <w:lang w:val="en-US"/>
        </w:rPr>
        <w:t xml:space="preserve"> 2018-17-1-0007595</w:t>
      </w:r>
      <w:r w:rsidRPr="00B27E02">
        <w:rPr>
          <w:rFonts w:cs="Arial"/>
          <w:b/>
          <w:lang w:val="en-US"/>
        </w:rPr>
        <w:t xml:space="preserve">, </w:t>
      </w:r>
      <w:proofErr w:type="gramStart"/>
      <w:r w:rsidRPr="00B27E02">
        <w:rPr>
          <w:rFonts w:cs="Arial"/>
          <w:b/>
          <w:lang w:val="en-US"/>
        </w:rPr>
        <w:t>Ent</w:t>
      </w:r>
      <w:proofErr w:type="gramEnd"/>
      <w:r w:rsidRPr="00B27E02">
        <w:rPr>
          <w:rFonts w:cs="Arial"/>
          <w:b/>
          <w:lang w:val="en-US"/>
        </w:rPr>
        <w:t>. N°</w:t>
      </w:r>
      <w:r>
        <w:rPr>
          <w:rFonts w:cs="Arial"/>
          <w:b/>
          <w:lang w:val="en-US"/>
        </w:rPr>
        <w:t xml:space="preserve"> 5865/18</w:t>
      </w:r>
      <w:r w:rsidRPr="00B27E02">
        <w:rPr>
          <w:rFonts w:cs="Arial"/>
          <w:b/>
          <w:lang w:val="en-US"/>
        </w:rPr>
        <w:t>)</w:t>
      </w:r>
    </w:p>
    <w:p w:rsidR="00B27E02" w:rsidRPr="00B27E02" w:rsidRDefault="00B27E02" w:rsidP="00B27E02">
      <w:pPr>
        <w:tabs>
          <w:tab w:val="center" w:pos="4253"/>
        </w:tabs>
        <w:suppressAutoHyphens/>
        <w:jc w:val="center"/>
        <w:rPr>
          <w:rFonts w:ascii="Helvetica" w:hAnsi="Helvetica"/>
          <w:b/>
          <w:lang w:val="en-US"/>
        </w:rPr>
      </w:pPr>
    </w:p>
    <w:p w:rsidR="00B27E02" w:rsidRDefault="00B27E02" w:rsidP="00E63F08">
      <w:pPr>
        <w:tabs>
          <w:tab w:val="left" w:pos="-720"/>
        </w:tabs>
        <w:suppressAutoHyphens/>
        <w:spacing w:line="360" w:lineRule="auto"/>
        <w:jc w:val="both"/>
        <w:rPr>
          <w:b/>
          <w:spacing w:val="-3"/>
          <w:lang w:val="es-ES_tradnl"/>
        </w:rPr>
      </w:pPr>
    </w:p>
    <w:p w:rsidR="00E63F08" w:rsidRDefault="00E63F08" w:rsidP="00B27E02">
      <w:pPr>
        <w:tabs>
          <w:tab w:val="left" w:pos="-720"/>
        </w:tabs>
        <w:suppressAutoHyphens/>
        <w:spacing w:line="360" w:lineRule="auto"/>
        <w:ind w:firstLine="709"/>
        <w:jc w:val="both"/>
      </w:pPr>
      <w:r>
        <w:rPr>
          <w:b/>
          <w:spacing w:val="-3"/>
          <w:lang w:val="es-ES_tradnl"/>
        </w:rPr>
        <w:t>VISTO:</w:t>
      </w:r>
      <w:r>
        <w:rPr>
          <w:spacing w:val="-3"/>
          <w:lang w:val="es-ES_tradnl"/>
        </w:rPr>
        <w:t xml:space="preserve"> estos antecedentes remitidos por </w:t>
      </w:r>
      <w:r w:rsidR="00A24DCE">
        <w:rPr>
          <w:spacing w:val="-3"/>
          <w:lang w:val="es-ES_tradnl"/>
        </w:rPr>
        <w:t xml:space="preserve">el </w:t>
      </w:r>
      <w:r w:rsidR="00CF6E3A">
        <w:rPr>
          <w:spacing w:val="-3"/>
          <w:lang w:val="es-ES_tradnl"/>
        </w:rPr>
        <w:t>M</w:t>
      </w:r>
      <w:r w:rsidR="00A24DCE">
        <w:rPr>
          <w:spacing w:val="-3"/>
          <w:lang w:val="es-ES_tradnl"/>
        </w:rPr>
        <w:t>inisterio de Economía y Finanzas</w:t>
      </w:r>
      <w:r w:rsidR="00CF6E3A">
        <w:rPr>
          <w:spacing w:val="-3"/>
          <w:lang w:val="es-ES_tradnl"/>
        </w:rPr>
        <w:t xml:space="preserve"> (MEF)</w:t>
      </w:r>
      <w:r w:rsidRPr="00F41302">
        <w:t xml:space="preserve">, relacionados con el acuerdo transaccional celebrado </w:t>
      </w:r>
      <w:r w:rsidR="00CF6E3A">
        <w:t>entre el Ministerio de Salud Pública (MSP) y</w:t>
      </w:r>
      <w:r>
        <w:t xml:space="preserve"> </w:t>
      </w:r>
      <w:r w:rsidR="00A24DCE">
        <w:t>la firma Murry S.A.</w:t>
      </w:r>
      <w:r>
        <w:t>;</w:t>
      </w:r>
    </w:p>
    <w:p w:rsidR="00A24DCE" w:rsidRDefault="00E63F08" w:rsidP="00B27E02">
      <w:pPr>
        <w:spacing w:line="360" w:lineRule="auto"/>
        <w:ind w:firstLine="709"/>
        <w:jc w:val="both"/>
      </w:pPr>
      <w:r>
        <w:rPr>
          <w:b/>
        </w:rPr>
        <w:t>RESULTANDO: 1</w:t>
      </w:r>
      <w:r>
        <w:rPr>
          <w:b/>
          <w:bCs/>
        </w:rPr>
        <w:t xml:space="preserve">) </w:t>
      </w:r>
      <w:r>
        <w:t>que</w:t>
      </w:r>
      <w:r w:rsidR="000B43A4">
        <w:t xml:space="preserve"> el Ministro de Salud Pública por Resolución</w:t>
      </w:r>
      <w:r>
        <w:t xml:space="preserve"> de fecha 1</w:t>
      </w:r>
      <w:r w:rsidR="00A24DCE">
        <w:t>1</w:t>
      </w:r>
      <w:r>
        <w:t xml:space="preserve"> de </w:t>
      </w:r>
      <w:r w:rsidR="00A24DCE">
        <w:t>diciembre</w:t>
      </w:r>
      <w:r>
        <w:t xml:space="preserve"> de 201</w:t>
      </w:r>
      <w:r w:rsidR="00A24DCE">
        <w:t>8</w:t>
      </w:r>
      <w:r w:rsidR="00CF6E3A">
        <w:t>,</w:t>
      </w:r>
      <w:r>
        <w:t xml:space="preserve"> </w:t>
      </w:r>
      <w:r w:rsidR="00A24DCE">
        <w:t>autorizó al Sr. Humberto Ruocco</w:t>
      </w:r>
      <w:r w:rsidR="00CF6E3A">
        <w:t>,</w:t>
      </w:r>
      <w:r w:rsidR="00A24DCE">
        <w:t xml:space="preserve"> en su calidad de Director General de Secretaría del</w:t>
      </w:r>
      <w:r w:rsidR="00CF6E3A">
        <w:t xml:space="preserve"> citado Ministerio, </w:t>
      </w:r>
      <w:r w:rsidR="00A24DCE">
        <w:t xml:space="preserve">a firmar el acuerdo transaccional con la </w:t>
      </w:r>
      <w:r w:rsidR="00CF6E3A">
        <w:t>f</w:t>
      </w:r>
      <w:r w:rsidR="00A24DCE">
        <w:t xml:space="preserve">irma Murry S.A.; </w:t>
      </w:r>
    </w:p>
    <w:p w:rsidR="00A24DCE" w:rsidRDefault="00A24DCE" w:rsidP="00E63F08">
      <w:pPr>
        <w:spacing w:line="360" w:lineRule="auto"/>
        <w:jc w:val="both"/>
      </w:pPr>
      <w:r>
        <w:tab/>
      </w:r>
      <w:r>
        <w:tab/>
        <w:t xml:space="preserve">     </w:t>
      </w:r>
      <w:r w:rsidRPr="00A24DCE">
        <w:rPr>
          <w:b/>
        </w:rPr>
        <w:t xml:space="preserve"> </w:t>
      </w:r>
      <w:r w:rsidR="00B27E02">
        <w:rPr>
          <w:b/>
        </w:rPr>
        <w:t xml:space="preserve">          </w:t>
      </w:r>
      <w:r w:rsidRPr="00A24DCE">
        <w:rPr>
          <w:b/>
        </w:rPr>
        <w:t>2)</w:t>
      </w:r>
      <w:r>
        <w:rPr>
          <w:b/>
        </w:rPr>
        <w:t xml:space="preserve"> </w:t>
      </w:r>
      <w:r>
        <w:t xml:space="preserve">que con fecha 11/12/18, se suscribió </w:t>
      </w:r>
      <w:r w:rsidR="00CF6E3A">
        <w:t>dicho</w:t>
      </w:r>
      <w:r>
        <w:t xml:space="preserve"> acuerdo, </w:t>
      </w:r>
      <w:r w:rsidR="000B43A4">
        <w:t>que tiene por</w:t>
      </w:r>
      <w:r>
        <w:t xml:space="preserve"> objeto</w:t>
      </w:r>
      <w:r w:rsidR="000B43A4">
        <w:t xml:space="preserve"> cancelar el monto adeudado por el MSP  a la  firma Murry S.A, mediante el pago </w:t>
      </w:r>
      <w:r w:rsidR="00CF6E3A">
        <w:t>de</w:t>
      </w:r>
      <w:r>
        <w:t xml:space="preserve"> la suma de $ 82:1</w:t>
      </w:r>
      <w:r w:rsidR="000B43A4">
        <w:t>81.817, que se hará efectiva en dos pagos</w:t>
      </w:r>
      <w:r w:rsidR="001059F1">
        <w:t>: el</w:t>
      </w:r>
      <w:r>
        <w:t xml:space="preserve"> 50 % antes del 31/12/18 y el otro 50 % antes del 31/5/19; </w:t>
      </w:r>
    </w:p>
    <w:p w:rsidR="005F4121" w:rsidRDefault="00A24DCE" w:rsidP="00E63F08">
      <w:pPr>
        <w:spacing w:line="360" w:lineRule="auto"/>
        <w:jc w:val="both"/>
      </w:pPr>
      <w:r>
        <w:tab/>
      </w:r>
      <w:r>
        <w:tab/>
        <w:t xml:space="preserve">    </w:t>
      </w:r>
      <w:r w:rsidRPr="00A24DCE">
        <w:rPr>
          <w:b/>
        </w:rPr>
        <w:t xml:space="preserve"> </w:t>
      </w:r>
      <w:r w:rsidR="00B27E02">
        <w:rPr>
          <w:b/>
        </w:rPr>
        <w:t xml:space="preserve">          </w:t>
      </w:r>
      <w:r w:rsidRPr="00A24DCE">
        <w:rPr>
          <w:b/>
        </w:rPr>
        <w:t>3)</w:t>
      </w:r>
      <w:r>
        <w:rPr>
          <w:b/>
        </w:rPr>
        <w:t xml:space="preserve"> </w:t>
      </w:r>
      <w:r w:rsidR="00B83A02" w:rsidRPr="00B83A02">
        <w:t xml:space="preserve">que </w:t>
      </w:r>
      <w:r w:rsidR="000B43A4">
        <w:t>se consigna que la deuda reclamada tiene su fundamento en</w:t>
      </w:r>
      <w:r>
        <w:t xml:space="preserve"> </w:t>
      </w:r>
      <w:r w:rsidR="00CF6E3A">
        <w:t>varias</w:t>
      </w:r>
      <w:r>
        <w:t xml:space="preserve"> órdenes de compra</w:t>
      </w:r>
      <w:r w:rsidR="000B43A4">
        <w:t xml:space="preserve"> emitidas por el Ministerio</w:t>
      </w:r>
      <w:r>
        <w:t xml:space="preserve"> para adquirir diversos fármacos comercializados por Murry S.A., que fueran entregados a los correspondientes prestadores de salud, ya fuera con motivo de una obligación impuesta al MSP por sentencia judicial de condena o </w:t>
      </w:r>
      <w:r w:rsidR="00CF6E3A">
        <w:t>una resolución ministerial recaí</w:t>
      </w:r>
      <w:r>
        <w:t>da en el marco del procedimiento administrativo abreviado</w:t>
      </w:r>
      <w:r w:rsidR="005F4121">
        <w:t>,</w:t>
      </w:r>
      <w:r>
        <w:t xml:space="preserve"> que tiene por objeto la solicitud de una prestación </w:t>
      </w:r>
      <w:r w:rsidR="005F4121">
        <w:t>no comprendida en el Plan Integral de Atención de Salud (PIAS), y cuyo plazo de pago se encuentra vencido;</w:t>
      </w:r>
    </w:p>
    <w:p w:rsidR="005F4121" w:rsidRDefault="005F4121" w:rsidP="00E63F08">
      <w:pPr>
        <w:spacing w:line="360" w:lineRule="auto"/>
        <w:jc w:val="both"/>
      </w:pPr>
      <w:r>
        <w:lastRenderedPageBreak/>
        <w:tab/>
      </w:r>
      <w:r>
        <w:tab/>
        <w:t xml:space="preserve">    </w:t>
      </w:r>
      <w:r w:rsidR="00B27E02">
        <w:t xml:space="preserve">                    </w:t>
      </w:r>
      <w:r w:rsidRPr="005F4121">
        <w:rPr>
          <w:b/>
        </w:rPr>
        <w:t xml:space="preserve">4) </w:t>
      </w:r>
      <w:r w:rsidR="000B43A4">
        <w:t>que por Decreto Nº</w:t>
      </w:r>
      <w:r>
        <w:t xml:space="preserve"> 3411/2018 de fecha 13/12/18,</w:t>
      </w:r>
      <w:r w:rsidR="000B43A4" w:rsidRPr="000B43A4">
        <w:t xml:space="preserve"> el Juzgado Letrado de 1ª Instancia en lo Civil de 1º Turno</w:t>
      </w:r>
      <w:r w:rsidR="000B43A4">
        <w:t xml:space="preserve"> homologó</w:t>
      </w:r>
      <w:r>
        <w:t xml:space="preserve"> la transacción </w:t>
      </w:r>
      <w:r w:rsidR="00CF6E3A">
        <w:t>acordada</w:t>
      </w:r>
      <w:r>
        <w:t xml:space="preserve"> por las partes; </w:t>
      </w:r>
    </w:p>
    <w:p w:rsidR="00AC4A33" w:rsidRDefault="005F4121" w:rsidP="00E63F08">
      <w:pPr>
        <w:spacing w:line="360" w:lineRule="auto"/>
        <w:jc w:val="both"/>
      </w:pPr>
      <w:r>
        <w:tab/>
      </w:r>
      <w:r>
        <w:tab/>
        <w:t xml:space="preserve">   </w:t>
      </w:r>
      <w:r w:rsidRPr="005F4121">
        <w:rPr>
          <w:b/>
        </w:rPr>
        <w:t xml:space="preserve"> </w:t>
      </w:r>
      <w:r w:rsidR="00B27E02">
        <w:rPr>
          <w:b/>
        </w:rPr>
        <w:t xml:space="preserve">                    </w:t>
      </w:r>
      <w:r w:rsidRPr="005F4121">
        <w:rPr>
          <w:b/>
        </w:rPr>
        <w:t xml:space="preserve">5) </w:t>
      </w:r>
      <w:r w:rsidR="000B43A4">
        <w:t>que consta afectación Nº</w:t>
      </w:r>
      <w:r>
        <w:t xml:space="preserve"> 001410 de fecha 21/12/18 por la suma de $ 41:090.909, con cargo al Programa 488, Objeto de Gasto 711, Financiación 1.1 Rentas Generales del Ejercicio 2018; </w:t>
      </w:r>
      <w:r w:rsidRPr="005F4121">
        <w:rPr>
          <w:b/>
        </w:rPr>
        <w:t xml:space="preserve">  </w:t>
      </w:r>
    </w:p>
    <w:p w:rsidR="00E63F08" w:rsidRDefault="00E63F08" w:rsidP="00B27E02">
      <w:pPr>
        <w:tabs>
          <w:tab w:val="left" w:pos="-720"/>
        </w:tabs>
        <w:suppressAutoHyphens/>
        <w:spacing w:line="360" w:lineRule="auto"/>
        <w:ind w:firstLine="709"/>
        <w:jc w:val="both"/>
        <w:rPr>
          <w:bCs/>
          <w:spacing w:val="-3"/>
          <w:lang w:val="es-ES_tradnl"/>
        </w:rPr>
      </w:pPr>
      <w:r>
        <w:rPr>
          <w:b/>
          <w:spacing w:val="-3"/>
        </w:rPr>
        <w:t>C</w:t>
      </w:r>
      <w:r>
        <w:rPr>
          <w:b/>
          <w:spacing w:val="-3"/>
          <w:lang w:val="es-ES_tradnl"/>
        </w:rPr>
        <w:t xml:space="preserve">ONSIDERANDO: </w:t>
      </w:r>
      <w:r w:rsidR="00B27E02">
        <w:rPr>
          <w:b/>
          <w:spacing w:val="-3"/>
          <w:lang w:val="es-ES_tradnl"/>
        </w:rPr>
        <w:t xml:space="preserve"> </w:t>
      </w:r>
      <w:r>
        <w:rPr>
          <w:b/>
          <w:spacing w:val="-3"/>
          <w:lang w:val="es-ES_tradnl"/>
        </w:rPr>
        <w:t>1)</w:t>
      </w:r>
      <w:r w:rsidR="000B43A4">
        <w:rPr>
          <w:bCs/>
          <w:spacing w:val="-3"/>
          <w:lang w:val="es-ES_tradnl"/>
        </w:rPr>
        <w:t xml:space="preserve"> que este </w:t>
      </w:r>
      <w:r>
        <w:rPr>
          <w:bCs/>
          <w:spacing w:val="-3"/>
          <w:lang w:val="es-ES_tradnl"/>
        </w:rPr>
        <w:t xml:space="preserve">Tribunal de Cuentas, </w:t>
      </w:r>
      <w:r w:rsidR="000B43A4">
        <w:rPr>
          <w:bCs/>
          <w:spacing w:val="-3"/>
          <w:lang w:val="es-ES_tradnl"/>
        </w:rPr>
        <w:t xml:space="preserve">por Resolución </w:t>
      </w:r>
      <w:r>
        <w:rPr>
          <w:bCs/>
          <w:spacing w:val="-3"/>
          <w:lang w:val="es-ES_tradnl"/>
        </w:rPr>
        <w:t>de</w:t>
      </w:r>
      <w:r>
        <w:rPr>
          <w:b/>
          <w:spacing w:val="-3"/>
          <w:lang w:val="es-ES_tradnl"/>
        </w:rPr>
        <w:t xml:space="preserve"> </w:t>
      </w:r>
      <w:r>
        <w:rPr>
          <w:bCs/>
          <w:spacing w:val="-3"/>
          <w:lang w:val="es-ES_tradnl"/>
        </w:rPr>
        <w:t xml:space="preserve">fecha 18 de junio de 2008 en la redacción dada por el artículo 2 de la Resolución de este </w:t>
      </w:r>
      <w:r w:rsidR="000B43A4">
        <w:rPr>
          <w:bCs/>
          <w:spacing w:val="-3"/>
          <w:lang w:val="es-ES_tradnl"/>
        </w:rPr>
        <w:t xml:space="preserve">Tribunal de 23.12.2009, </w:t>
      </w:r>
      <w:r>
        <w:rPr>
          <w:bCs/>
          <w:spacing w:val="-3"/>
          <w:lang w:val="es-ES_tradnl"/>
        </w:rPr>
        <w:t>dispuso que se deben remitir al mismo, para su intervención, todos los gastos emergentes de transacciones  extrajudiciales y laudos  arbitrales, cualquiera sea su monto;</w:t>
      </w:r>
    </w:p>
    <w:p w:rsidR="00C34B48" w:rsidRDefault="00E63F08" w:rsidP="00E63F08">
      <w:pPr>
        <w:tabs>
          <w:tab w:val="left" w:pos="-720"/>
        </w:tabs>
        <w:suppressAutoHyphens/>
        <w:spacing w:line="360" w:lineRule="auto"/>
        <w:jc w:val="both"/>
        <w:rPr>
          <w:bCs/>
          <w:spacing w:val="-3"/>
          <w:lang w:val="es-ES_tradnl"/>
        </w:rPr>
      </w:pPr>
      <w:r>
        <w:rPr>
          <w:bCs/>
          <w:spacing w:val="-3"/>
          <w:lang w:val="es-ES_tradnl"/>
        </w:rPr>
        <w:t xml:space="preserve">                                </w:t>
      </w:r>
      <w:r w:rsidR="00925FDE">
        <w:rPr>
          <w:bCs/>
          <w:spacing w:val="-3"/>
          <w:lang w:val="es-ES_tradnl"/>
        </w:rPr>
        <w:t xml:space="preserve"> </w:t>
      </w:r>
      <w:r w:rsidR="00B27E02">
        <w:rPr>
          <w:bCs/>
          <w:spacing w:val="-3"/>
          <w:lang w:val="es-ES_tradnl"/>
        </w:rPr>
        <w:t xml:space="preserve">         </w:t>
      </w:r>
      <w:r>
        <w:rPr>
          <w:b/>
          <w:spacing w:val="-3"/>
          <w:lang w:val="es-ES_tradnl"/>
        </w:rPr>
        <w:t>2)</w:t>
      </w:r>
      <w:r>
        <w:rPr>
          <w:bCs/>
          <w:spacing w:val="-3"/>
          <w:lang w:val="es-ES_tradnl"/>
        </w:rPr>
        <w:t xml:space="preserve"> </w:t>
      </w:r>
      <w:r w:rsidRPr="00D44632">
        <w:rPr>
          <w:bCs/>
          <w:spacing w:val="-3"/>
          <w:lang w:val="es-ES_tradnl"/>
        </w:rPr>
        <w:t xml:space="preserve">que </w:t>
      </w:r>
      <w:r w:rsidR="00C34B48">
        <w:rPr>
          <w:bCs/>
          <w:spacing w:val="-3"/>
          <w:lang w:val="es-ES_tradnl"/>
        </w:rPr>
        <w:t>la transacción es un contrato por el cual, haciéndose recíprocas concesiones, terminan los contrayentes un litigio pendiente  o pre</w:t>
      </w:r>
      <w:r w:rsidR="00CF6E3A">
        <w:rPr>
          <w:bCs/>
          <w:spacing w:val="-3"/>
          <w:lang w:val="es-ES_tradnl"/>
        </w:rPr>
        <w:t>c</w:t>
      </w:r>
      <w:r w:rsidR="000B43A4">
        <w:rPr>
          <w:bCs/>
          <w:spacing w:val="-3"/>
          <w:lang w:val="es-ES_tradnl"/>
        </w:rPr>
        <w:t>aven un litigio eventual (artículo</w:t>
      </w:r>
      <w:r w:rsidR="00C34B48">
        <w:rPr>
          <w:bCs/>
          <w:spacing w:val="-3"/>
          <w:lang w:val="es-ES_tradnl"/>
        </w:rPr>
        <w:t xml:space="preserve"> 2147 del Código Civil); </w:t>
      </w:r>
    </w:p>
    <w:p w:rsidR="00E63F08" w:rsidRDefault="00C34B48" w:rsidP="00E63F08">
      <w:pPr>
        <w:tabs>
          <w:tab w:val="left" w:pos="-720"/>
        </w:tabs>
        <w:suppressAutoHyphens/>
        <w:spacing w:line="360" w:lineRule="auto"/>
        <w:jc w:val="both"/>
        <w:rPr>
          <w:bCs/>
          <w:spacing w:val="-3"/>
          <w:lang w:val="es-ES_tradnl"/>
        </w:rPr>
      </w:pPr>
      <w:r>
        <w:rPr>
          <w:bCs/>
          <w:spacing w:val="-3"/>
          <w:lang w:val="es-ES_tradnl"/>
        </w:rPr>
        <w:t xml:space="preserve">                                </w:t>
      </w:r>
      <w:r w:rsidR="00B27E02">
        <w:rPr>
          <w:bCs/>
          <w:spacing w:val="-3"/>
          <w:lang w:val="es-ES_tradnl"/>
        </w:rPr>
        <w:t xml:space="preserve">           </w:t>
      </w:r>
      <w:r w:rsidRPr="00C34B48">
        <w:rPr>
          <w:b/>
          <w:bCs/>
          <w:spacing w:val="-3"/>
          <w:lang w:val="es-ES_tradnl"/>
        </w:rPr>
        <w:t xml:space="preserve">3) </w:t>
      </w:r>
      <w:r>
        <w:rPr>
          <w:bCs/>
          <w:spacing w:val="-3"/>
          <w:lang w:val="es-ES_tradnl"/>
        </w:rPr>
        <w:t xml:space="preserve"> que </w:t>
      </w:r>
      <w:r w:rsidR="00E63F08" w:rsidRPr="00D44632">
        <w:rPr>
          <w:bCs/>
          <w:spacing w:val="-3"/>
          <w:lang w:val="es-ES_tradnl"/>
        </w:rPr>
        <w:t xml:space="preserve">la transacción remitida no merece objeciones de índole legal y los aspectos que refieren a oportunidad o conveniencia de la misma, constituyen una cuestión de mérito cuya apreciación no encuadra en el </w:t>
      </w:r>
      <w:proofErr w:type="gramStart"/>
      <w:r w:rsidR="00E63F08" w:rsidRPr="00D44632">
        <w:rPr>
          <w:bCs/>
          <w:spacing w:val="-3"/>
          <w:lang w:val="es-ES_tradnl"/>
        </w:rPr>
        <w:t>ámbito</w:t>
      </w:r>
      <w:proofErr w:type="gramEnd"/>
      <w:r w:rsidR="00E63F08" w:rsidRPr="00D44632">
        <w:rPr>
          <w:bCs/>
          <w:spacing w:val="-3"/>
          <w:lang w:val="es-ES_tradnl"/>
        </w:rPr>
        <w:t xml:space="preserve"> de competencias de este Tribunal;</w:t>
      </w:r>
    </w:p>
    <w:p w:rsidR="00CF6E3A" w:rsidRDefault="00CF6E3A" w:rsidP="00CF6E3A">
      <w:pPr>
        <w:tabs>
          <w:tab w:val="left" w:pos="-720"/>
        </w:tabs>
        <w:suppressAutoHyphens/>
        <w:spacing w:line="360" w:lineRule="auto"/>
        <w:jc w:val="both"/>
        <w:rPr>
          <w:bCs/>
          <w:spacing w:val="-3"/>
          <w:lang w:val="es-ES_tradnl"/>
        </w:rPr>
      </w:pPr>
      <w:r>
        <w:rPr>
          <w:bCs/>
          <w:spacing w:val="-3"/>
          <w:lang w:val="es-ES_tradnl"/>
        </w:rPr>
        <w:t xml:space="preserve">                                  </w:t>
      </w:r>
      <w:r w:rsidR="00B27E02">
        <w:rPr>
          <w:bCs/>
          <w:spacing w:val="-3"/>
          <w:lang w:val="es-ES_tradnl"/>
        </w:rPr>
        <w:t xml:space="preserve">          </w:t>
      </w:r>
      <w:r>
        <w:rPr>
          <w:b/>
          <w:bCs/>
          <w:spacing w:val="-3"/>
          <w:lang w:val="es-ES_tradnl"/>
        </w:rPr>
        <w:t xml:space="preserve">4) </w:t>
      </w:r>
      <w:r>
        <w:rPr>
          <w:bCs/>
          <w:spacing w:val="-3"/>
          <w:lang w:val="es-ES_tradnl"/>
        </w:rPr>
        <w:t>que de acuerdo con lo previsto en el numeral 4º de la Ordenanza Nº 72, de 23.5.1996, se intervendrán conjuntamente con el pago los gastos cuyo monto no exceda el máximo fijado para la contratación directa ampliada;</w:t>
      </w:r>
    </w:p>
    <w:p w:rsidR="00E63F08" w:rsidRDefault="00B27E02" w:rsidP="0041704D">
      <w:pPr>
        <w:tabs>
          <w:tab w:val="left" w:pos="-720"/>
        </w:tabs>
        <w:suppressAutoHyphens/>
        <w:spacing w:line="360" w:lineRule="auto"/>
        <w:jc w:val="both"/>
        <w:rPr>
          <w:rFonts w:ascii="LiberationSans-Regular" w:hAnsi="LiberationSans-Regular"/>
        </w:rPr>
      </w:pPr>
      <w:r>
        <w:rPr>
          <w:b/>
          <w:spacing w:val="-3"/>
          <w:lang w:val="es-ES_tradnl"/>
        </w:rPr>
        <w:tab/>
      </w:r>
      <w:r w:rsidR="00E63F08">
        <w:rPr>
          <w:b/>
          <w:spacing w:val="-3"/>
          <w:lang w:val="es-ES_tradnl"/>
        </w:rPr>
        <w:t>ATENTO:</w:t>
      </w:r>
      <w:r w:rsidR="00E63F08">
        <w:rPr>
          <w:spacing w:val="-3"/>
          <w:lang w:val="es-ES_tradnl"/>
        </w:rPr>
        <w:t xml:space="preserve"> </w:t>
      </w:r>
      <w:r w:rsidR="00E63F08">
        <w:rPr>
          <w:rFonts w:ascii="LiberationSans-Regular" w:hAnsi="LiberationSans-Regular"/>
        </w:rPr>
        <w:t xml:space="preserve">a lo precedentemente expuesto, a lo dispuesto por el art. 211 </w:t>
      </w:r>
      <w:r w:rsidR="001059F1">
        <w:rPr>
          <w:rFonts w:ascii="LiberationSans-Regular" w:hAnsi="LiberationSans-Regular"/>
        </w:rPr>
        <w:t>literal</w:t>
      </w:r>
      <w:r w:rsidR="00E63F08">
        <w:rPr>
          <w:rFonts w:ascii="LiberationSans-Regular" w:hAnsi="LiberationSans-Regular"/>
        </w:rPr>
        <w:t xml:space="preserve"> B) de la Constitución de la República;</w:t>
      </w:r>
    </w:p>
    <w:p w:rsidR="00E63F08" w:rsidRDefault="00E63F08" w:rsidP="00E63F08">
      <w:pPr>
        <w:pStyle w:val="Ttulo1"/>
        <w:widowControl/>
        <w:tabs>
          <w:tab w:val="clear" w:pos="4218"/>
        </w:tabs>
        <w:suppressAutoHyphens w:val="0"/>
        <w:autoSpaceDE w:val="0"/>
        <w:autoSpaceDN w:val="0"/>
        <w:adjustRightInd w:val="0"/>
        <w:spacing w:line="240" w:lineRule="auto"/>
        <w:rPr>
          <w:rFonts w:ascii="Arial" w:hAnsi="Arial"/>
          <w:bCs/>
          <w:snapToGrid/>
          <w:spacing w:val="0"/>
          <w:szCs w:val="24"/>
          <w:lang w:val="es-ES"/>
        </w:rPr>
      </w:pPr>
      <w:r>
        <w:rPr>
          <w:rFonts w:ascii="Arial" w:hAnsi="Arial"/>
          <w:bCs/>
          <w:snapToGrid/>
          <w:spacing w:val="0"/>
          <w:szCs w:val="24"/>
          <w:lang w:val="es-ES"/>
        </w:rPr>
        <w:t>EL TRIBUNAL ACUERDA</w:t>
      </w:r>
    </w:p>
    <w:p w:rsidR="00E63F08" w:rsidRDefault="00E63F08" w:rsidP="00E63F08"/>
    <w:p w:rsidR="0041704D" w:rsidRDefault="0041704D" w:rsidP="0041704D">
      <w:pPr>
        <w:tabs>
          <w:tab w:val="left" w:pos="-720"/>
        </w:tabs>
        <w:suppressAutoHyphens/>
        <w:spacing w:line="360" w:lineRule="auto"/>
        <w:jc w:val="both"/>
        <w:rPr>
          <w:spacing w:val="-3"/>
          <w:lang w:val="es-ES_tradnl"/>
        </w:rPr>
      </w:pPr>
      <w:r w:rsidRPr="0041704D">
        <w:rPr>
          <w:b/>
          <w:spacing w:val="-3"/>
          <w:lang w:val="es-ES_tradnl"/>
        </w:rPr>
        <w:t xml:space="preserve">1) </w:t>
      </w:r>
      <w:r w:rsidR="00B27E02">
        <w:rPr>
          <w:b/>
          <w:spacing w:val="-3"/>
          <w:lang w:val="es-ES_tradnl"/>
        </w:rPr>
        <w:t xml:space="preserve"> </w:t>
      </w:r>
      <w:r>
        <w:rPr>
          <w:spacing w:val="-3"/>
          <w:lang w:val="es-ES_tradnl"/>
        </w:rPr>
        <w:t>No formular observaciones al acuerdo transaccional remitido;</w:t>
      </w:r>
    </w:p>
    <w:p w:rsidR="0041704D" w:rsidRDefault="0041704D" w:rsidP="00B27E02">
      <w:pPr>
        <w:tabs>
          <w:tab w:val="left" w:pos="-720"/>
        </w:tabs>
        <w:suppressAutoHyphens/>
        <w:spacing w:line="360" w:lineRule="auto"/>
        <w:ind w:left="284" w:hanging="284"/>
        <w:jc w:val="both"/>
        <w:rPr>
          <w:spacing w:val="-3"/>
          <w:lang w:val="es-ES_tradnl"/>
        </w:rPr>
      </w:pPr>
      <w:r w:rsidRPr="002C1A7F">
        <w:rPr>
          <w:b/>
          <w:spacing w:val="-3"/>
          <w:lang w:val="es-ES_tradnl"/>
        </w:rPr>
        <w:t>2)</w:t>
      </w:r>
      <w:r>
        <w:rPr>
          <w:spacing w:val="-3"/>
          <w:lang w:val="es-ES_tradnl"/>
        </w:rPr>
        <w:t xml:space="preserve"> Cometer al Contador Auditor la intervención del gasto conjuntamente con el pago</w:t>
      </w:r>
      <w:r w:rsidR="00CF6E3A">
        <w:rPr>
          <w:spacing w:val="-3"/>
          <w:lang w:val="es-ES_tradnl"/>
        </w:rPr>
        <w:t>, de</w:t>
      </w:r>
      <w:r>
        <w:rPr>
          <w:spacing w:val="-3"/>
          <w:lang w:val="es-ES_tradnl"/>
        </w:rPr>
        <w:t xml:space="preserve"> la suma de $ 82:181.817, previo control de su imputación con cargo a </w:t>
      </w:r>
      <w:r w:rsidR="00CF6E3A">
        <w:rPr>
          <w:spacing w:val="-3"/>
          <w:lang w:val="es-ES_tradnl"/>
        </w:rPr>
        <w:t>G</w:t>
      </w:r>
      <w:r>
        <w:rPr>
          <w:spacing w:val="-3"/>
          <w:lang w:val="es-ES_tradnl"/>
        </w:rPr>
        <w:t>rupo adecuado con disponibilidad suficiente</w:t>
      </w:r>
      <w:r>
        <w:t>;</w:t>
      </w:r>
    </w:p>
    <w:p w:rsidR="0041704D" w:rsidRDefault="0041704D" w:rsidP="0041704D">
      <w:pPr>
        <w:tabs>
          <w:tab w:val="left" w:pos="-720"/>
        </w:tabs>
        <w:suppressAutoHyphens/>
        <w:spacing w:line="360" w:lineRule="auto"/>
        <w:jc w:val="both"/>
        <w:rPr>
          <w:spacing w:val="-3"/>
          <w:lang w:val="es-ES_tradnl"/>
        </w:rPr>
      </w:pPr>
      <w:r>
        <w:rPr>
          <w:b/>
          <w:bCs/>
          <w:spacing w:val="-3"/>
          <w:lang w:val="es-ES_tradnl"/>
        </w:rPr>
        <w:lastRenderedPageBreak/>
        <w:t>3)</w:t>
      </w:r>
      <w:r>
        <w:rPr>
          <w:spacing w:val="-3"/>
          <w:lang w:val="es-ES_tradnl"/>
        </w:rPr>
        <w:t xml:space="preserve">  Comunicar al Contador Auditor; y</w:t>
      </w:r>
    </w:p>
    <w:p w:rsidR="00E63F08" w:rsidRDefault="0041704D" w:rsidP="0041704D">
      <w:pPr>
        <w:tabs>
          <w:tab w:val="left" w:pos="-720"/>
        </w:tabs>
        <w:suppressAutoHyphens/>
        <w:spacing w:line="360" w:lineRule="auto"/>
        <w:jc w:val="both"/>
        <w:rPr>
          <w:spacing w:val="-3"/>
          <w:lang w:val="es-ES_tradnl"/>
        </w:rPr>
      </w:pPr>
      <w:r>
        <w:rPr>
          <w:b/>
          <w:bCs/>
          <w:spacing w:val="-3"/>
          <w:lang w:val="es-ES_tradnl"/>
        </w:rPr>
        <w:t>4)</w:t>
      </w:r>
      <w:r w:rsidR="002B43FC">
        <w:rPr>
          <w:spacing w:val="-3"/>
          <w:lang w:val="es-ES_tradnl"/>
        </w:rPr>
        <w:t xml:space="preserve">  Devolver las actuaciones.</w:t>
      </w:r>
    </w:p>
    <w:p w:rsidR="00E63F08" w:rsidRDefault="00E63F08" w:rsidP="00E63F08">
      <w:pPr>
        <w:tabs>
          <w:tab w:val="left" w:pos="-720"/>
        </w:tabs>
        <w:suppressAutoHyphens/>
        <w:spacing w:line="360" w:lineRule="auto"/>
        <w:jc w:val="both"/>
        <w:rPr>
          <w:spacing w:val="-3"/>
          <w:highlight w:val="yellow"/>
          <w:lang w:val="es-ES_tradnl"/>
        </w:rPr>
      </w:pPr>
    </w:p>
    <w:p w:rsidR="00E63F08" w:rsidRDefault="00E63F08" w:rsidP="00B27E02">
      <w:pPr>
        <w:tabs>
          <w:tab w:val="left" w:pos="-720"/>
        </w:tabs>
        <w:suppressAutoHyphens/>
        <w:spacing w:line="360" w:lineRule="auto"/>
        <w:rPr>
          <w:highlight w:val="yellow"/>
          <w:lang w:val="es-ES_tradnl"/>
        </w:rPr>
      </w:pPr>
    </w:p>
    <w:p w:rsidR="00B27E02" w:rsidRDefault="00B27E02" w:rsidP="00B27E02">
      <w:pPr>
        <w:tabs>
          <w:tab w:val="left" w:pos="-720"/>
        </w:tabs>
        <w:suppressAutoHyphens/>
        <w:spacing w:line="360" w:lineRule="auto"/>
        <w:rPr>
          <w:highlight w:val="yellow"/>
          <w:lang w:val="es-ES_tradnl"/>
        </w:rPr>
      </w:pPr>
    </w:p>
    <w:p w:rsidR="00B27E02" w:rsidRPr="00B27E02" w:rsidRDefault="00B27E02" w:rsidP="00B27E02">
      <w:pPr>
        <w:tabs>
          <w:tab w:val="left" w:pos="-720"/>
        </w:tabs>
        <w:suppressAutoHyphens/>
        <w:spacing w:line="360" w:lineRule="auto"/>
        <w:rPr>
          <w:lang w:val="es-ES_tradnl"/>
        </w:rPr>
      </w:pPr>
      <w:proofErr w:type="spellStart"/>
      <w:proofErr w:type="gramStart"/>
      <w:r w:rsidRPr="00B27E02">
        <w:rPr>
          <w:lang w:val="es-ES_tradnl"/>
        </w:rPr>
        <w:t>cr</w:t>
      </w:r>
      <w:proofErr w:type="spellEnd"/>
      <w:proofErr w:type="gramEnd"/>
    </w:p>
    <w:sectPr w:rsidR="00B27E02" w:rsidRPr="00B27E02" w:rsidSect="00B27E02">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08"/>
    <w:rsid w:val="000B43A4"/>
    <w:rsid w:val="001059F1"/>
    <w:rsid w:val="001C4A03"/>
    <w:rsid w:val="0027554D"/>
    <w:rsid w:val="002B43FC"/>
    <w:rsid w:val="0041704D"/>
    <w:rsid w:val="005B65A5"/>
    <w:rsid w:val="005F4121"/>
    <w:rsid w:val="0064067E"/>
    <w:rsid w:val="007D20FE"/>
    <w:rsid w:val="00925FDE"/>
    <w:rsid w:val="00957781"/>
    <w:rsid w:val="00A24DCE"/>
    <w:rsid w:val="00AC4A33"/>
    <w:rsid w:val="00B27E02"/>
    <w:rsid w:val="00B83A02"/>
    <w:rsid w:val="00C34B48"/>
    <w:rsid w:val="00C76010"/>
    <w:rsid w:val="00CF5101"/>
    <w:rsid w:val="00CF6E3A"/>
    <w:rsid w:val="00E63F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Textodeglobo">
    <w:name w:val="Balloon Text"/>
    <w:basedOn w:val="Normal"/>
    <w:link w:val="TextodegloboCar"/>
    <w:uiPriority w:val="99"/>
    <w:semiHidden/>
    <w:unhideWhenUsed/>
    <w:rsid w:val="00B27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E0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F0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63F08"/>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E63F08"/>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3F08"/>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E63F08"/>
    <w:rPr>
      <w:rFonts w:ascii="Arial" w:eastAsia="Times New Roman" w:hAnsi="Arial" w:cs="Times New Roman"/>
      <w:b/>
      <w:spacing w:val="-3"/>
      <w:sz w:val="24"/>
      <w:szCs w:val="24"/>
      <w:lang w:val="es-ES_tradnl" w:eastAsia="es-ES"/>
    </w:rPr>
  </w:style>
  <w:style w:type="character" w:styleId="Hipervnculo">
    <w:name w:val="Hyperlink"/>
    <w:uiPriority w:val="99"/>
    <w:unhideWhenUsed/>
    <w:rsid w:val="00E63F08"/>
    <w:rPr>
      <w:color w:val="0000FF"/>
      <w:u w:val="single"/>
    </w:rPr>
  </w:style>
  <w:style w:type="paragraph" w:styleId="Textodeglobo">
    <w:name w:val="Balloon Text"/>
    <w:basedOn w:val="Normal"/>
    <w:link w:val="TextodegloboCar"/>
    <w:uiPriority w:val="99"/>
    <w:semiHidden/>
    <w:unhideWhenUsed/>
    <w:rsid w:val="00B27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E0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2019-01-11T15:33:00Z</cp:lastPrinted>
  <dcterms:created xsi:type="dcterms:W3CDTF">2019-01-11T15:33:00Z</dcterms:created>
  <dcterms:modified xsi:type="dcterms:W3CDTF">2019-01-11T15:33:00Z</dcterms:modified>
</cp:coreProperties>
</file>