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right"/>
        <w:rPr>
          <w:rFonts w:cs="Arial"/>
          <w:b/>
          <w:sz w:val="28"/>
          <w:szCs w:val="28"/>
          <w:lang w:val="es-ES_tradnl"/>
        </w:rPr>
      </w:pPr>
      <w:r w:rsidRPr="00E83FBE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70</w:t>
      </w:r>
      <w:r w:rsidRPr="00E83FBE">
        <w:rPr>
          <w:rFonts w:cs="Arial"/>
          <w:b/>
          <w:sz w:val="28"/>
          <w:szCs w:val="28"/>
          <w:lang w:val="es-ES_tradnl"/>
        </w:rPr>
        <w:t>/19</w:t>
      </w: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right"/>
        <w:rPr>
          <w:rFonts w:cs="Arial"/>
          <w:b/>
          <w:lang w:val="es-ES_tradnl"/>
        </w:rPr>
      </w:pP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E83FBE">
        <w:rPr>
          <w:rFonts w:cs="Arial"/>
          <w:b/>
          <w:lang w:val="es-ES_tradnl"/>
        </w:rPr>
        <w:t>RESOLUCION ADOPTADA POR EL</w:t>
      </w:r>
    </w:p>
    <w:p w:rsidR="00E83FBE" w:rsidRPr="00E83FBE" w:rsidRDefault="00E83FBE" w:rsidP="00E83FBE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E83FBE">
        <w:rPr>
          <w:rFonts w:cs="Arial"/>
          <w:b/>
          <w:lang w:val="es-ES_tradnl"/>
        </w:rPr>
        <w:t>TRIBUNAL DE CUENTAS</w:t>
      </w:r>
    </w:p>
    <w:p w:rsidR="00E83FBE" w:rsidRPr="00E83FBE" w:rsidRDefault="00E83FBE" w:rsidP="00E83FBE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E83FBE">
        <w:rPr>
          <w:rFonts w:cs="Arial"/>
          <w:b/>
          <w:lang w:val="es-ES_tradnl"/>
        </w:rPr>
        <w:t xml:space="preserve">EN SESION DE FECHA 9 DE ENERO </w:t>
      </w:r>
      <w:r w:rsidRPr="00E83FBE">
        <w:rPr>
          <w:rFonts w:ascii="Helvetica" w:hAnsi="Helvetica"/>
          <w:b/>
          <w:lang w:val="es-ES_tradnl"/>
        </w:rPr>
        <w:t>DE 2019</w:t>
      </w: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E83FBE" w:rsidRPr="00E83FBE" w:rsidRDefault="00E83FBE" w:rsidP="00E83FBE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UY"/>
        </w:rPr>
      </w:pPr>
      <w:r w:rsidRPr="00E83FBE">
        <w:rPr>
          <w:rFonts w:cs="Arial"/>
          <w:b/>
          <w:lang w:val="es-UY"/>
        </w:rPr>
        <w:t xml:space="preserve">(E. E. Nº 2018-17-1-0006727, </w:t>
      </w:r>
      <w:proofErr w:type="spellStart"/>
      <w:r w:rsidRPr="00E83FBE">
        <w:rPr>
          <w:rFonts w:cs="Arial"/>
          <w:b/>
          <w:lang w:val="es-UY"/>
        </w:rPr>
        <w:t>Ent</w:t>
      </w:r>
      <w:proofErr w:type="spellEnd"/>
      <w:r w:rsidRPr="00E83FBE">
        <w:rPr>
          <w:rFonts w:cs="Arial"/>
          <w:b/>
          <w:lang w:val="es-UY"/>
        </w:rPr>
        <w:t>. N° 5718 y 5734/18)</w:t>
      </w:r>
    </w:p>
    <w:p w:rsidR="00E83FBE" w:rsidRDefault="00E83FBE" w:rsidP="00427522">
      <w:pPr>
        <w:pStyle w:val="Sangradetextonormal"/>
        <w:ind w:firstLine="0"/>
        <w:jc w:val="both"/>
        <w:rPr>
          <w:b/>
          <w:bCs/>
        </w:rPr>
      </w:pPr>
    </w:p>
    <w:p w:rsidR="00427522" w:rsidRDefault="00427522" w:rsidP="00E83FBE">
      <w:pPr>
        <w:pStyle w:val="Sangradetextonormal"/>
        <w:jc w:val="both"/>
      </w:pPr>
      <w:r>
        <w:rPr>
          <w:b/>
          <w:bCs/>
        </w:rPr>
        <w:t xml:space="preserve">VISTO: </w:t>
      </w:r>
      <w:r>
        <w:t>estas actuaciones remitidas por el Ministerio de Economía y Finanzas</w:t>
      </w:r>
      <w:r w:rsidR="00176E37">
        <w:t xml:space="preserve"> (MEF), </w:t>
      </w:r>
      <w:r>
        <w:t>relacionadas con el Contrato de Préstamo N° 8733-UY,  celebrado entre la República Oriental del Uruguay</w:t>
      </w:r>
      <w:r w:rsidR="00912FBA">
        <w:t xml:space="preserve"> (ROU)</w:t>
      </w:r>
      <w:r>
        <w:t xml:space="preserve"> y el Banco Internacional de Reconstrucción y Fomento (BIRF); </w:t>
      </w:r>
    </w:p>
    <w:p w:rsidR="00176E37" w:rsidRDefault="00427522" w:rsidP="00E83FBE">
      <w:pPr>
        <w:ind w:firstLine="708"/>
        <w:jc w:val="both"/>
      </w:pPr>
      <w:r>
        <w:rPr>
          <w:b/>
          <w:bCs/>
        </w:rPr>
        <w:t>RESULTANDO: 1</w:t>
      </w:r>
      <w:r w:rsidR="00FD0DC0">
        <w:rPr>
          <w:b/>
          <w:bCs/>
        </w:rPr>
        <w:t xml:space="preserve">) </w:t>
      </w:r>
      <w:r w:rsidR="00FD0DC0" w:rsidRPr="00FD0DC0">
        <w:rPr>
          <w:bCs/>
        </w:rPr>
        <w:t>que</w:t>
      </w:r>
      <w:r w:rsidR="00176DC7">
        <w:t xml:space="preserve"> </w:t>
      </w:r>
      <w:r w:rsidR="00176E37">
        <w:t xml:space="preserve">con fecha 7 </w:t>
      </w:r>
      <w:r w:rsidR="00176DC7">
        <w:t xml:space="preserve">de noviembre de 2018 </w:t>
      </w:r>
      <w:r w:rsidR="00176E37">
        <w:t xml:space="preserve">el MEF </w:t>
      </w:r>
      <w:r w:rsidR="00176DC7">
        <w:t xml:space="preserve">remitió </w:t>
      </w:r>
      <w:r w:rsidR="00176E37">
        <w:t xml:space="preserve">los antecedentes relacionados con el </w:t>
      </w:r>
      <w:r>
        <w:t xml:space="preserve"> Contrato de Préstamo N° 8733-UY,  celebrado el 6 de julio de 2017 entre la R</w:t>
      </w:r>
      <w:r w:rsidR="00493414">
        <w:t>OU y</w:t>
      </w:r>
      <w:r>
        <w:t xml:space="preserve"> el BIRF,</w:t>
      </w:r>
      <w:r w:rsidR="00176E37">
        <w:t xml:space="preserve"> </w:t>
      </w:r>
      <w:r w:rsidR="00176DC7">
        <w:t xml:space="preserve"> y </w:t>
      </w:r>
      <w:r w:rsidR="00176E37">
        <w:t xml:space="preserve">este </w:t>
      </w:r>
      <w:r w:rsidR="00176DC7">
        <w:t>Tribunal, por Oficio de</w:t>
      </w:r>
      <w:r w:rsidR="00176E37">
        <w:t xml:space="preserve"> fecha 30 de noviembre de 2018, devolvió las actuaciones a los efectos que, para mejor proveer, la Administración remitiera la traducción al idioma español del contrato de préstamo referido;</w:t>
      </w:r>
    </w:p>
    <w:p w:rsidR="00176E37" w:rsidRDefault="00176E37" w:rsidP="00FD0DC0">
      <w:pPr>
        <w:jc w:val="both"/>
      </w:pPr>
      <w:r>
        <w:t xml:space="preserve">                                </w:t>
      </w:r>
      <w:r w:rsidR="00E83FBE">
        <w:t xml:space="preserve">    </w:t>
      </w:r>
      <w:r w:rsidRPr="00176E37">
        <w:rPr>
          <w:b/>
        </w:rPr>
        <w:t>2)</w:t>
      </w:r>
      <w:r>
        <w:t xml:space="preserve"> que en cumplimiento a lo solicitado por este Tribunal, en esta oportunidad el MEF remite e</w:t>
      </w:r>
      <w:r w:rsidR="00176DC7">
        <w:t xml:space="preserve">l contrato de préstamo </w:t>
      </w:r>
      <w:r>
        <w:t xml:space="preserve">debidamente traducido al idioma español;  </w:t>
      </w:r>
      <w:r w:rsidR="00427522">
        <w:t xml:space="preserve"> </w:t>
      </w:r>
    </w:p>
    <w:p w:rsidR="00FD0DC0" w:rsidRDefault="00176E37" w:rsidP="00FD0DC0">
      <w:pPr>
        <w:jc w:val="both"/>
      </w:pPr>
      <w:r w:rsidRPr="00176E37">
        <w:rPr>
          <w:b/>
        </w:rPr>
        <w:t xml:space="preserve">                               </w:t>
      </w:r>
      <w:r w:rsidR="00E83FBE">
        <w:rPr>
          <w:b/>
        </w:rPr>
        <w:t xml:space="preserve">     </w:t>
      </w:r>
      <w:r w:rsidRPr="00176E37">
        <w:rPr>
          <w:b/>
        </w:rPr>
        <w:t>3)</w:t>
      </w:r>
      <w:r w:rsidR="00176DC7">
        <w:t xml:space="preserve"> que el contrato, tiene por objeto</w:t>
      </w:r>
      <w:r w:rsidR="00493414">
        <w:t xml:space="preserve"> </w:t>
      </w:r>
      <w:r w:rsidR="00A1572D">
        <w:t>proporcionar</w:t>
      </w:r>
      <w:r w:rsidR="00493414">
        <w:t xml:space="preserve"> fin</w:t>
      </w:r>
      <w:r w:rsidR="00A1572D">
        <w:t>an</w:t>
      </w:r>
      <w:r w:rsidR="00493414">
        <w:t>ciami</w:t>
      </w:r>
      <w:r w:rsidR="00A1572D">
        <w:t>e</w:t>
      </w:r>
      <w:r w:rsidR="00493414">
        <w:t>n</w:t>
      </w:r>
      <w:r w:rsidR="00A1572D">
        <w:t>t</w:t>
      </w:r>
      <w:r w:rsidR="00493414">
        <w:t>o adici</w:t>
      </w:r>
      <w:r w:rsidR="00A1572D">
        <w:t>o</w:t>
      </w:r>
      <w:r w:rsidR="00493414">
        <w:t>n</w:t>
      </w:r>
      <w:r w:rsidR="00A1572D">
        <w:t>a</w:t>
      </w:r>
      <w:r w:rsidR="00493414">
        <w:t>l para las actividades</w:t>
      </w:r>
      <w:r w:rsidR="00B630B9">
        <w:t xml:space="preserve"> relacionadas en el </w:t>
      </w:r>
      <w:r w:rsidR="00FD0DC0">
        <w:t>“</w:t>
      </w:r>
      <w:r w:rsidR="00B630B9">
        <w:t>Programa de Rehabilitación y Mantenimiento Vial</w:t>
      </w:r>
      <w:r w:rsidR="00FD0DC0">
        <w:t xml:space="preserve">”, originalmente previsto en el </w:t>
      </w:r>
      <w:r w:rsidR="003F4B8D">
        <w:t xml:space="preserve"> </w:t>
      </w:r>
      <w:r w:rsidR="00FD0DC0">
        <w:t>Contrato de Préstamo Nº 8205-UY, celebrado entre la ROU y el BIRF el 11 de diciembre de 2012 y luego modificado de común acuerdo por las partes en el mes de junio de 2016;</w:t>
      </w:r>
    </w:p>
    <w:p w:rsidR="00493414" w:rsidRDefault="00B630B9" w:rsidP="00427522">
      <w:pPr>
        <w:jc w:val="both"/>
      </w:pPr>
      <w:r w:rsidRPr="00B630B9">
        <w:rPr>
          <w:b/>
        </w:rPr>
        <w:t xml:space="preserve">                             </w:t>
      </w:r>
      <w:r w:rsidR="00BE688F">
        <w:rPr>
          <w:b/>
        </w:rPr>
        <w:t xml:space="preserve">   </w:t>
      </w:r>
      <w:r w:rsidR="00E83FBE">
        <w:rPr>
          <w:b/>
        </w:rPr>
        <w:t xml:space="preserve">    </w:t>
      </w:r>
      <w:r w:rsidR="00176E37">
        <w:rPr>
          <w:b/>
        </w:rPr>
        <w:t>4</w:t>
      </w:r>
      <w:r w:rsidRPr="00B630B9">
        <w:rPr>
          <w:b/>
        </w:rPr>
        <w:t>)</w:t>
      </w:r>
      <w:r w:rsidR="00176DC7">
        <w:t xml:space="preserve"> que el referido contrato </w:t>
      </w:r>
      <w:r w:rsidR="003F4B8D">
        <w:t>establece que</w:t>
      </w:r>
      <w:r w:rsidR="00493414">
        <w:t xml:space="preserve"> el BIRF </w:t>
      </w:r>
      <w:r w:rsidR="00A1572D">
        <w:t>acuerda</w:t>
      </w:r>
      <w:r w:rsidR="00493414">
        <w:t xml:space="preserve"> </w:t>
      </w:r>
      <w:r>
        <w:t>prestar</w:t>
      </w:r>
      <w:r w:rsidR="00493414">
        <w:t xml:space="preserve"> </w:t>
      </w:r>
      <w:r w:rsidR="00176E37">
        <w:t xml:space="preserve"> </w:t>
      </w:r>
      <w:r w:rsidR="00FD0DC0">
        <w:t>adicionalmente</w:t>
      </w:r>
      <w:r w:rsidR="00176E37">
        <w:t xml:space="preserve"> a la ROU (prestatario)</w:t>
      </w:r>
      <w:r w:rsidR="00FD0DC0">
        <w:t xml:space="preserve"> </w:t>
      </w:r>
      <w:r w:rsidR="00493414">
        <w:t>el monto de U$S 70:000.000, para fin</w:t>
      </w:r>
      <w:r>
        <w:t>an</w:t>
      </w:r>
      <w:r w:rsidR="00493414">
        <w:t xml:space="preserve">ciar el </w:t>
      </w:r>
      <w:r w:rsidR="00FD0DC0">
        <w:t xml:space="preserve">“Programa de Rehabilitación y Mantenimiento </w:t>
      </w:r>
      <w:r w:rsidR="00FD0DC0">
        <w:lastRenderedPageBreak/>
        <w:t>Vial”</w:t>
      </w:r>
      <w:r w:rsidR="00176DC7">
        <w:t>, con el fin de</w:t>
      </w:r>
      <w:r w:rsidR="00493414">
        <w:t xml:space="preserve"> mejorar la condic</w:t>
      </w:r>
      <w:r>
        <w:t>ió</w:t>
      </w:r>
      <w:r w:rsidR="00493414">
        <w:t xml:space="preserve">n de la red de caminos nacionales </w:t>
      </w:r>
      <w:r w:rsidR="00FD0DC0">
        <w:t>a través de las obras y actividades detalladas en el Anexo I</w:t>
      </w:r>
      <w:r w:rsidR="00493414">
        <w:t>;</w:t>
      </w:r>
    </w:p>
    <w:p w:rsidR="00922AAE" w:rsidRDefault="00FD0DC0" w:rsidP="00427522">
      <w:pPr>
        <w:jc w:val="both"/>
      </w:pPr>
      <w:r>
        <w:t xml:space="preserve"> </w:t>
      </w:r>
      <w:r w:rsidR="00493414">
        <w:t xml:space="preserve">                       </w:t>
      </w:r>
      <w:r w:rsidR="00B630B9">
        <w:t xml:space="preserve">     </w:t>
      </w:r>
      <w:r w:rsidR="00BE688F">
        <w:t xml:space="preserve"> </w:t>
      </w:r>
      <w:r w:rsidR="00F919CA">
        <w:t xml:space="preserve"> </w:t>
      </w:r>
      <w:r w:rsidR="00E83FBE">
        <w:t xml:space="preserve">      </w:t>
      </w:r>
      <w:r w:rsidR="00176E37">
        <w:rPr>
          <w:b/>
        </w:rPr>
        <w:t>5</w:t>
      </w:r>
      <w:r w:rsidR="00493414" w:rsidRPr="00B630B9">
        <w:rPr>
          <w:b/>
        </w:rPr>
        <w:t>)</w:t>
      </w:r>
      <w:r w:rsidR="00176DC7">
        <w:t xml:space="preserve"> que asimismo prevé que : * </w:t>
      </w:r>
      <w:r w:rsidR="00493414">
        <w:t xml:space="preserve">la tasa </w:t>
      </w:r>
      <w:r w:rsidR="00A1572D">
        <w:t>inicial</w:t>
      </w:r>
      <w:r w:rsidR="00111126">
        <w:t xml:space="preserve"> </w:t>
      </w:r>
      <w:r w:rsidR="00A1572D">
        <w:t>pagadera</w:t>
      </w:r>
      <w:r w:rsidR="00111126">
        <w:t xml:space="preserve"> por el prestatario será igual a un 0,25% </w:t>
      </w:r>
      <w:r w:rsidR="00176DC7">
        <w:t>del monto del préstamo, * l</w:t>
      </w:r>
      <w:r>
        <w:t>a comisión de compromiso pagadera por el prestatario ser</w:t>
      </w:r>
      <w:r w:rsidR="00BA372B">
        <w:t>á</w:t>
      </w:r>
      <w:r>
        <w:t xml:space="preserve"> igual a un 0,25% por año sobre el</w:t>
      </w:r>
      <w:r w:rsidR="00176DC7">
        <w:t xml:space="preserve"> saldo del préstamo no retirado, * e</w:t>
      </w:r>
      <w:r w:rsidR="00111126">
        <w:t xml:space="preserve">l </w:t>
      </w:r>
      <w:r>
        <w:t>interés</w:t>
      </w:r>
      <w:r w:rsidR="00111126">
        <w:t xml:space="preserve"> pagadero por el </w:t>
      </w:r>
      <w:r w:rsidR="00A1572D">
        <w:t>prestatario</w:t>
      </w:r>
      <w:r w:rsidR="00111126">
        <w:t xml:space="preserve"> por </w:t>
      </w:r>
      <w:r w:rsidR="00A1572D">
        <w:t>cada</w:t>
      </w:r>
      <w:r w:rsidR="00111126">
        <w:t xml:space="preserve"> </w:t>
      </w:r>
      <w:r w:rsidR="00A1572D">
        <w:t>período</w:t>
      </w:r>
      <w:r w:rsidR="00111126">
        <w:t xml:space="preserve"> de interés será a una tasa igual a la tas</w:t>
      </w:r>
      <w:r w:rsidR="00A1572D">
        <w:t>a</w:t>
      </w:r>
      <w:r w:rsidR="00111126">
        <w:t xml:space="preserve"> de </w:t>
      </w:r>
      <w:r w:rsidR="00B630B9">
        <w:t>referencia</w:t>
      </w:r>
      <w:r w:rsidR="00111126">
        <w:t xml:space="preserve"> para </w:t>
      </w:r>
      <w:r w:rsidR="00BE688F">
        <w:t>l</w:t>
      </w:r>
      <w:r w:rsidR="00111126">
        <w:t xml:space="preserve">a moneda del préstamo </w:t>
      </w:r>
      <w:r w:rsidR="00A1572D">
        <w:t>más</w:t>
      </w:r>
      <w:r w:rsidR="00111126">
        <w:t xml:space="preserve"> el </w:t>
      </w:r>
      <w:r w:rsidR="00A1572D">
        <w:t>margen</w:t>
      </w:r>
      <w:r w:rsidR="00111126">
        <w:t xml:space="preserve"> variable, a </w:t>
      </w:r>
      <w:r w:rsidR="00A1572D">
        <w:t>condición</w:t>
      </w:r>
      <w:r w:rsidR="00111126">
        <w:t xml:space="preserve">,  sin </w:t>
      </w:r>
      <w:r w:rsidR="00B630B9">
        <w:t>embargo</w:t>
      </w:r>
      <w:r w:rsidR="00111126">
        <w:t xml:space="preserve">, de que el </w:t>
      </w:r>
      <w:r w:rsidR="00B630B9">
        <w:t>interés</w:t>
      </w:r>
      <w:r w:rsidR="00111126">
        <w:t xml:space="preserve"> pagadero no sea en ningún ca</w:t>
      </w:r>
      <w:r w:rsidR="00BA372B">
        <w:t>s</w:t>
      </w:r>
      <w:r w:rsidR="00111126">
        <w:t>o menor que cer</w:t>
      </w:r>
      <w:r w:rsidR="00B630B9">
        <w:t>o</w:t>
      </w:r>
      <w:r w:rsidR="00111126">
        <w:t xml:space="preserve"> por ciento por año y a </w:t>
      </w:r>
      <w:r w:rsidR="00B630B9">
        <w:t>condición</w:t>
      </w:r>
      <w:r w:rsidR="00111126">
        <w:t>, adem</w:t>
      </w:r>
      <w:r w:rsidR="00BE688F">
        <w:t>ás</w:t>
      </w:r>
      <w:r w:rsidR="00111126">
        <w:t xml:space="preserve">, de que, tras una </w:t>
      </w:r>
      <w:r w:rsidR="00A1572D">
        <w:t>conversión</w:t>
      </w:r>
      <w:r w:rsidR="00111126">
        <w:t xml:space="preserve"> del total o cualquier parte del monto principal del préstamo, el interés </w:t>
      </w:r>
      <w:r w:rsidR="00A1572D">
        <w:t>pagadero</w:t>
      </w:r>
      <w:r w:rsidR="00111126">
        <w:t xml:space="preserve"> por el </w:t>
      </w:r>
      <w:r w:rsidR="00B630B9">
        <w:t>prestatario</w:t>
      </w:r>
      <w:r w:rsidR="00111126">
        <w:t xml:space="preserve"> </w:t>
      </w:r>
      <w:r w:rsidR="00B630B9">
        <w:t>durante</w:t>
      </w:r>
      <w:r w:rsidR="00111126">
        <w:t xml:space="preserve"> el p</w:t>
      </w:r>
      <w:r w:rsidR="00B630B9">
        <w:t>er</w:t>
      </w:r>
      <w:r w:rsidR="00111126">
        <w:t>io</w:t>
      </w:r>
      <w:r w:rsidR="00B630B9">
        <w:t>do</w:t>
      </w:r>
      <w:r w:rsidR="00111126">
        <w:t xml:space="preserve"> de conversión sobre tal </w:t>
      </w:r>
      <w:r w:rsidR="00A1572D">
        <w:t>monto</w:t>
      </w:r>
      <w:r w:rsidR="00111126">
        <w:t xml:space="preserve"> </w:t>
      </w:r>
      <w:r w:rsidR="00BA372B">
        <w:t>se</w:t>
      </w:r>
      <w:r w:rsidR="00111126">
        <w:t xml:space="preserve"> determine de acuerdo con las </w:t>
      </w:r>
      <w:r w:rsidR="00922AAE">
        <w:t>condiciones</w:t>
      </w:r>
      <w:r w:rsidR="00111126">
        <w:t xml:space="preserve"> relevantes del </w:t>
      </w:r>
      <w:r w:rsidR="00B630B9">
        <w:t>artículo</w:t>
      </w:r>
      <w:r w:rsidR="00111126">
        <w:t xml:space="preserve"> IV de las </w:t>
      </w:r>
      <w:r w:rsidR="00922AAE">
        <w:t>Condiciones</w:t>
      </w:r>
      <w:r w:rsidR="00111126">
        <w:t xml:space="preserve"> </w:t>
      </w:r>
      <w:r w:rsidR="00922AAE">
        <w:t>Generales</w:t>
      </w:r>
      <w:r w:rsidR="00176DC7">
        <w:t>,  * n</w:t>
      </w:r>
      <w:r w:rsidR="00BE688F">
        <w:t>o obstante ello, si cualquier monto del saldo de préstamo retirado sigue sin pagarse al momento de su vencimiento y esta falta de pago contin</w:t>
      </w:r>
      <w:r w:rsidR="00BA372B">
        <w:t>ú</w:t>
      </w:r>
      <w:r w:rsidR="00BE688F">
        <w:t>a por un período de treinta días, el interés pagadero por le prestatario se calculará entonces como se dispone en la Sección 3.02 de las Condiciones Generales</w:t>
      </w:r>
      <w:r w:rsidR="00922AAE">
        <w:t>;</w:t>
      </w:r>
    </w:p>
    <w:p w:rsidR="00F43462" w:rsidRDefault="00922AAE" w:rsidP="00427522">
      <w:pPr>
        <w:jc w:val="both"/>
      </w:pPr>
      <w:r>
        <w:t xml:space="preserve">                  </w:t>
      </w:r>
      <w:r w:rsidR="00B630B9">
        <w:t xml:space="preserve">      </w:t>
      </w:r>
      <w:r w:rsidR="00F919CA">
        <w:t xml:space="preserve"> </w:t>
      </w:r>
      <w:r w:rsidR="00176E37">
        <w:t xml:space="preserve">   </w:t>
      </w:r>
      <w:r w:rsidR="00E83FBE">
        <w:t xml:space="preserve">        </w:t>
      </w:r>
      <w:r w:rsidR="00176E37">
        <w:rPr>
          <w:b/>
        </w:rPr>
        <w:t>6</w:t>
      </w:r>
      <w:r w:rsidRPr="00B630B9">
        <w:rPr>
          <w:b/>
        </w:rPr>
        <w:t>)</w:t>
      </w:r>
      <w:r w:rsidR="00176DC7">
        <w:t xml:space="preserve"> que </w:t>
      </w:r>
      <w:r>
        <w:t>l</w:t>
      </w:r>
      <w:r w:rsidR="00111126">
        <w:t xml:space="preserve">as fechas de pago </w:t>
      </w:r>
      <w:r w:rsidR="00176DC7">
        <w:t xml:space="preserve">estipuladas </w:t>
      </w:r>
      <w:r w:rsidR="00111126">
        <w:t xml:space="preserve">son el 15 de </w:t>
      </w:r>
      <w:r>
        <w:t>febrero</w:t>
      </w:r>
      <w:r w:rsidR="00111126">
        <w:t xml:space="preserve"> y el 15 de agosto de cada año</w:t>
      </w:r>
      <w:r>
        <w:t xml:space="preserve"> y</w:t>
      </w:r>
      <w:r w:rsidR="00176DC7">
        <w:t xml:space="preserve"> </w:t>
      </w:r>
      <w:r>
        <w:t xml:space="preserve">el </w:t>
      </w:r>
      <w:r w:rsidR="00F43462">
        <w:t xml:space="preserve">monto principal del </w:t>
      </w:r>
      <w:r>
        <w:t>Préstamo</w:t>
      </w:r>
      <w:r w:rsidR="00BE688F">
        <w:t xml:space="preserve"> se pagará</w:t>
      </w:r>
      <w:r w:rsidR="00F43462">
        <w:t xml:space="preserve"> de </w:t>
      </w:r>
      <w:r>
        <w:t>acuerdo</w:t>
      </w:r>
      <w:r w:rsidR="00F43462">
        <w:t xml:space="preserve"> con el </w:t>
      </w:r>
      <w:r>
        <w:t>Programa</w:t>
      </w:r>
      <w:r w:rsidR="00F43462">
        <w:t xml:space="preserve"> de </w:t>
      </w:r>
      <w:r>
        <w:t>amortización</w:t>
      </w:r>
      <w:r w:rsidR="00F43462">
        <w:t xml:space="preserve"> </w:t>
      </w:r>
      <w:r>
        <w:t>establecido</w:t>
      </w:r>
      <w:r w:rsidR="00F43462">
        <w:t xml:space="preserve"> en el</w:t>
      </w:r>
      <w:r w:rsidR="00176DC7">
        <w:t xml:space="preserve"> Anexo 3 del presente acuerdo (</w:t>
      </w:r>
      <w:r w:rsidR="00F43462">
        <w:t>el préstamo ser</w:t>
      </w:r>
      <w:r w:rsidR="00BE688F">
        <w:t>á</w:t>
      </w:r>
      <w:r w:rsidR="00F43462">
        <w:t xml:space="preserve"> amortizado en un plazo de 17,5 (</w:t>
      </w:r>
      <w:r>
        <w:t>diecisiete</w:t>
      </w:r>
      <w:r w:rsidR="00F43462">
        <w:t xml:space="preserve"> años y medio), con un </w:t>
      </w:r>
      <w:r>
        <w:t>período</w:t>
      </w:r>
      <w:r w:rsidR="00176DC7">
        <w:t xml:space="preserve"> de gracia de 5 </w:t>
      </w:r>
      <w:r w:rsidR="00F43462">
        <w:t>años);</w:t>
      </w:r>
    </w:p>
    <w:p w:rsidR="00922AAE" w:rsidRDefault="00F43462" w:rsidP="00427522">
      <w:pPr>
        <w:jc w:val="both"/>
      </w:pPr>
      <w:r>
        <w:t xml:space="preserve">               </w:t>
      </w:r>
      <w:r w:rsidR="00B630B9">
        <w:t xml:space="preserve">        </w:t>
      </w:r>
      <w:r w:rsidR="00F919CA">
        <w:t xml:space="preserve"> </w:t>
      </w:r>
      <w:r w:rsidR="00BE688F">
        <w:t xml:space="preserve"> </w:t>
      </w:r>
      <w:r w:rsidR="00176E37">
        <w:t xml:space="preserve">   </w:t>
      </w:r>
      <w:r w:rsidR="00E83FBE">
        <w:t xml:space="preserve">        </w:t>
      </w:r>
      <w:r w:rsidR="00176E37">
        <w:rPr>
          <w:b/>
        </w:rPr>
        <w:t>7</w:t>
      </w:r>
      <w:r w:rsidRPr="00B630B9">
        <w:rPr>
          <w:b/>
        </w:rPr>
        <w:t>)</w:t>
      </w:r>
      <w:r w:rsidR="00176DC7">
        <w:t xml:space="preserve"> que </w:t>
      </w:r>
      <w:r>
        <w:t xml:space="preserve">el  </w:t>
      </w:r>
      <w:r w:rsidR="00922AAE">
        <w:t>prestatario</w:t>
      </w:r>
      <w:r>
        <w:t xml:space="preserve"> </w:t>
      </w:r>
      <w:r w:rsidR="00922AAE">
        <w:t>declara</w:t>
      </w:r>
      <w:r>
        <w:t xml:space="preserve"> su compromiso con los objetivos del </w:t>
      </w:r>
      <w:r w:rsidR="00BE688F">
        <w:t>P</w:t>
      </w:r>
      <w:r w:rsidR="00922AAE">
        <w:t>rograma</w:t>
      </w:r>
      <w:r w:rsidR="007A0709">
        <w:t xml:space="preserve">, a cuyos efectos </w:t>
      </w:r>
      <w:r w:rsidR="00BE688F">
        <w:t>llevará</w:t>
      </w:r>
      <w:r>
        <w:t xml:space="preserve"> a cabo y dis</w:t>
      </w:r>
      <w:r w:rsidR="007A0709">
        <w:t xml:space="preserve">pondrá que la CVU realice </w:t>
      </w:r>
      <w:r>
        <w:t xml:space="preserve">las actividades conforme al programa que sean parte de sus </w:t>
      </w:r>
      <w:r w:rsidR="00922AAE">
        <w:t>responsabilidades</w:t>
      </w:r>
      <w:r>
        <w:t xml:space="preserve"> </w:t>
      </w:r>
      <w:r w:rsidR="00922AAE">
        <w:t>administrativas</w:t>
      </w:r>
      <w:r>
        <w:t xml:space="preserve">/legales, de acuerdo con las disposiciones del </w:t>
      </w:r>
      <w:r w:rsidR="00922AAE">
        <w:t>artículo</w:t>
      </w:r>
      <w:r>
        <w:t xml:space="preserve"> V de las </w:t>
      </w:r>
      <w:r w:rsidR="00BE688F">
        <w:t>C</w:t>
      </w:r>
      <w:r w:rsidR="00922AAE">
        <w:t>ondiciones</w:t>
      </w:r>
      <w:r>
        <w:t xml:space="preserve"> </w:t>
      </w:r>
      <w:r w:rsidR="00BE688F">
        <w:t>G</w:t>
      </w:r>
      <w:r>
        <w:t>enerales;</w:t>
      </w:r>
    </w:p>
    <w:p w:rsidR="00BC4D02" w:rsidRDefault="00A1572D" w:rsidP="00427522">
      <w:pPr>
        <w:jc w:val="both"/>
      </w:pPr>
      <w:r w:rsidRPr="00B630B9">
        <w:rPr>
          <w:b/>
        </w:rPr>
        <w:t xml:space="preserve">               </w:t>
      </w:r>
      <w:r w:rsidR="00B630B9" w:rsidRPr="00B630B9">
        <w:rPr>
          <w:b/>
        </w:rPr>
        <w:t xml:space="preserve">      </w:t>
      </w:r>
      <w:r w:rsidR="00B630B9">
        <w:rPr>
          <w:b/>
        </w:rPr>
        <w:t xml:space="preserve"> </w:t>
      </w:r>
      <w:r w:rsidR="00F919CA">
        <w:rPr>
          <w:b/>
        </w:rPr>
        <w:t xml:space="preserve"> </w:t>
      </w:r>
      <w:r w:rsidR="00176E37">
        <w:rPr>
          <w:b/>
        </w:rPr>
        <w:t xml:space="preserve">    </w:t>
      </w:r>
      <w:r w:rsidR="00E83FBE">
        <w:rPr>
          <w:b/>
        </w:rPr>
        <w:t xml:space="preserve">         </w:t>
      </w:r>
      <w:r w:rsidR="00176E37">
        <w:rPr>
          <w:b/>
        </w:rPr>
        <w:t>8</w:t>
      </w:r>
      <w:r w:rsidR="00BC4D02" w:rsidRPr="00B630B9">
        <w:rPr>
          <w:b/>
        </w:rPr>
        <w:t>)</w:t>
      </w:r>
      <w:r w:rsidR="00BC4D02">
        <w:t xml:space="preserve"> que se adjunta Resolución del Poder Ejecutivo del 12 de junio de 2017, por la cual se aprobó </w:t>
      </w:r>
      <w:r>
        <w:t xml:space="preserve">el contrato de préstamo referido y se </w:t>
      </w:r>
      <w:r>
        <w:lastRenderedPageBreak/>
        <w:t>dispuso que dentro de los diez días siguien</w:t>
      </w:r>
      <w:r w:rsidR="007A0709">
        <w:t>tes a su celebración se diera</w:t>
      </w:r>
      <w:r>
        <w:t xml:space="preserve"> cuenta a la Asamblea General;</w:t>
      </w:r>
    </w:p>
    <w:p w:rsidR="00A1572D" w:rsidRDefault="00A1572D" w:rsidP="00427522">
      <w:pPr>
        <w:jc w:val="both"/>
      </w:pPr>
      <w:r w:rsidRPr="00B630B9">
        <w:rPr>
          <w:b/>
        </w:rPr>
        <w:t xml:space="preserve">             </w:t>
      </w:r>
      <w:r w:rsidR="00B630B9" w:rsidRPr="00B630B9">
        <w:rPr>
          <w:b/>
        </w:rPr>
        <w:t xml:space="preserve">       </w:t>
      </w:r>
      <w:r w:rsidR="00B630B9">
        <w:rPr>
          <w:b/>
        </w:rPr>
        <w:t xml:space="preserve"> </w:t>
      </w:r>
      <w:r w:rsidR="00F919CA">
        <w:rPr>
          <w:b/>
        </w:rPr>
        <w:t xml:space="preserve"> </w:t>
      </w:r>
      <w:r w:rsidR="00BE688F">
        <w:rPr>
          <w:b/>
        </w:rPr>
        <w:t xml:space="preserve"> </w:t>
      </w:r>
      <w:r w:rsidR="00E83FBE">
        <w:rPr>
          <w:b/>
        </w:rPr>
        <w:t xml:space="preserve">               </w:t>
      </w:r>
      <w:r w:rsidR="00176E37">
        <w:rPr>
          <w:b/>
        </w:rPr>
        <w:t>9</w:t>
      </w:r>
      <w:r w:rsidRPr="00B630B9">
        <w:rPr>
          <w:b/>
        </w:rPr>
        <w:t>)</w:t>
      </w:r>
      <w:r>
        <w:t xml:space="preserve"> que se agrega constancia</w:t>
      </w:r>
      <w:r w:rsidR="00BE688F">
        <w:t>,</w:t>
      </w:r>
      <w:r>
        <w:t xml:space="preserve"> de la cual surge</w:t>
      </w:r>
      <w:r w:rsidR="007A0709">
        <w:t xml:space="preserve"> que dicho contrato fue comunicado a la Asamblea General </w:t>
      </w:r>
      <w:r>
        <w:t>el 15 de junio de 2</w:t>
      </w:r>
      <w:r w:rsidR="007A0709">
        <w:t>017</w:t>
      </w:r>
      <w:r w:rsidR="00F919CA">
        <w:t>;</w:t>
      </w:r>
      <w:r>
        <w:t xml:space="preserve"> </w:t>
      </w:r>
    </w:p>
    <w:p w:rsidR="00427522" w:rsidRPr="00E83FBE" w:rsidRDefault="00427522" w:rsidP="00E83FBE">
      <w:pPr>
        <w:pStyle w:val="Sangradetextonormal"/>
        <w:jc w:val="both"/>
      </w:pPr>
      <w:r>
        <w:rPr>
          <w:b/>
          <w:bCs/>
        </w:rPr>
        <w:t xml:space="preserve">CONSIDERANDO: 1) </w:t>
      </w:r>
      <w:r w:rsidR="00F919CA">
        <w:t>que la L</w:t>
      </w:r>
      <w:r>
        <w:t xml:space="preserve">ey </w:t>
      </w:r>
      <w:r w:rsidR="00F919CA">
        <w:t xml:space="preserve">Nº </w:t>
      </w:r>
      <w:r>
        <w:t>15.851</w:t>
      </w:r>
      <w:r w:rsidR="00684C7C" w:rsidRPr="00684C7C">
        <w:rPr>
          <w:bCs/>
        </w:rPr>
        <w:t xml:space="preserve"> </w:t>
      </w:r>
      <w:r w:rsidR="00684C7C">
        <w:rPr>
          <w:bCs/>
        </w:rPr>
        <w:t>del 24 de diciembre de 1986</w:t>
      </w:r>
      <w:r>
        <w:t xml:space="preserve">, en su artículo 145 inciso 2, preceptúa que </w:t>
      </w:r>
      <w:r w:rsidRPr="00E83FBE">
        <w:t>“</w:t>
      </w:r>
      <w:r w:rsidRPr="00E83FBE">
        <w:rPr>
          <w:iCs/>
        </w:rPr>
        <w:t xml:space="preserve">no requieren ratificación legislativa los convenios o contratos que el Poder Ejecutivo, los Entes Autónomos y Servicios Descentralizados celebren con organismos internacionales de los que el país forme parte”. </w:t>
      </w:r>
      <w:r w:rsidRPr="00E83FBE">
        <w:t xml:space="preserve"> </w:t>
      </w:r>
    </w:p>
    <w:p w:rsidR="00427522" w:rsidRPr="00E83FBE" w:rsidRDefault="00427522" w:rsidP="00427522">
      <w:pPr>
        <w:pStyle w:val="Sangradetextonormal"/>
        <w:jc w:val="both"/>
      </w:pPr>
      <w:r>
        <w:t xml:space="preserve">                       </w:t>
      </w:r>
      <w:r w:rsidR="00BC4D02">
        <w:t xml:space="preserve">  </w:t>
      </w:r>
      <w:r w:rsidR="00F919CA">
        <w:t xml:space="preserve"> </w:t>
      </w:r>
      <w:r w:rsidR="00E83FBE">
        <w:t xml:space="preserve">     </w:t>
      </w:r>
      <w:r w:rsidRPr="00E83FBE">
        <w:rPr>
          <w:b/>
          <w:bCs/>
        </w:rPr>
        <w:t xml:space="preserve">2) </w:t>
      </w:r>
      <w:r w:rsidRPr="00E83FBE">
        <w:t xml:space="preserve">que el Decreto </w:t>
      </w:r>
      <w:r w:rsidR="007A0709" w:rsidRPr="00E83FBE">
        <w:t xml:space="preserve">Nº </w:t>
      </w:r>
      <w:r w:rsidRPr="00E83FBE">
        <w:t>586/993 de</w:t>
      </w:r>
      <w:r w:rsidR="00684C7C" w:rsidRPr="00E83FBE">
        <w:t>l</w:t>
      </w:r>
      <w:r w:rsidRPr="00E83FBE">
        <w:t xml:space="preserve"> 27</w:t>
      </w:r>
      <w:r w:rsidR="00684C7C" w:rsidRPr="00E83FBE">
        <w:t xml:space="preserve"> de diciembre de 1993</w:t>
      </w:r>
      <w:r w:rsidRPr="00E83FBE">
        <w:t>, en su artículo 1, dispone que “</w:t>
      </w:r>
      <w:r w:rsidRPr="00E83FBE">
        <w:rPr>
          <w:iCs/>
        </w:rPr>
        <w:t>compete exclusivamente al Poder Ejecutivo, en acuerdo con el Ministerio de Economía y Finanzas, y el Ministro del ramo en su caso, autorizar toda gestión tendiente a la obtención de préstamos de organismos internacionales, instituciones o gobiernos extranjeros, en los que la República deba asumir la responsabilidad directa del prestatario o las obligaciones del garante, al suscribir los convenios respectivos”</w:t>
      </w:r>
      <w:r w:rsidRPr="00E83FBE">
        <w:t xml:space="preserve"> </w:t>
      </w:r>
      <w:r w:rsidR="00BC4D02" w:rsidRPr="00E83FBE">
        <w:t>;</w:t>
      </w:r>
    </w:p>
    <w:p w:rsidR="00E83FBE" w:rsidRDefault="00BC4D02" w:rsidP="00BC4D02">
      <w:pPr>
        <w:pStyle w:val="Sangradetextonormal"/>
        <w:jc w:val="both"/>
        <w:rPr>
          <w:bCs/>
        </w:rPr>
      </w:pPr>
      <w:r>
        <w:rPr>
          <w:b/>
        </w:rPr>
        <w:t xml:space="preserve">                        </w:t>
      </w:r>
      <w:r w:rsidR="00F919CA">
        <w:rPr>
          <w:b/>
        </w:rPr>
        <w:t xml:space="preserve"> </w:t>
      </w:r>
      <w:r w:rsidR="00E83FBE">
        <w:rPr>
          <w:b/>
        </w:rPr>
        <w:t xml:space="preserve">      </w:t>
      </w:r>
      <w:r>
        <w:rPr>
          <w:b/>
        </w:rPr>
        <w:t>3)</w:t>
      </w:r>
      <w:r>
        <w:rPr>
          <w:bCs/>
        </w:rPr>
        <w:t xml:space="preserve"> que </w:t>
      </w:r>
      <w:r w:rsidR="00E83FBE">
        <w:rPr>
          <w:bCs/>
        </w:rPr>
        <w:t xml:space="preserve">  </w:t>
      </w:r>
      <w:r w:rsidR="00684C7C">
        <w:rPr>
          <w:bCs/>
        </w:rPr>
        <w:t xml:space="preserve">sin </w:t>
      </w:r>
      <w:r w:rsidR="00E83FBE">
        <w:rPr>
          <w:bCs/>
        </w:rPr>
        <w:t xml:space="preserve">  </w:t>
      </w:r>
      <w:r w:rsidR="00684C7C">
        <w:rPr>
          <w:bCs/>
        </w:rPr>
        <w:t xml:space="preserve">perjuicio </w:t>
      </w:r>
      <w:r w:rsidR="00E83FBE">
        <w:rPr>
          <w:bCs/>
        </w:rPr>
        <w:t xml:space="preserve"> </w:t>
      </w:r>
      <w:r w:rsidR="00684C7C">
        <w:rPr>
          <w:bCs/>
        </w:rPr>
        <w:t xml:space="preserve">de ello, </w:t>
      </w:r>
      <w:r w:rsidR="007A0709">
        <w:rPr>
          <w:bCs/>
        </w:rPr>
        <w:t>el artículo 33 de la L</w:t>
      </w:r>
      <w:r>
        <w:rPr>
          <w:bCs/>
        </w:rPr>
        <w:t xml:space="preserve">ey </w:t>
      </w:r>
    </w:p>
    <w:p w:rsidR="00BC4D02" w:rsidRPr="00E83FBE" w:rsidRDefault="007A0709" w:rsidP="00E83FBE">
      <w:pPr>
        <w:pStyle w:val="Sangradetextonormal"/>
        <w:ind w:firstLine="0"/>
        <w:jc w:val="both"/>
        <w:rPr>
          <w:bCs/>
        </w:rPr>
      </w:pPr>
      <w:r>
        <w:rPr>
          <w:bCs/>
        </w:rPr>
        <w:t xml:space="preserve">Nº </w:t>
      </w:r>
      <w:r w:rsidR="00BC4D02">
        <w:rPr>
          <w:bCs/>
        </w:rPr>
        <w:t>19.149 de 24</w:t>
      </w:r>
      <w:r w:rsidR="00684C7C">
        <w:rPr>
          <w:bCs/>
        </w:rPr>
        <w:t xml:space="preserve"> de octubre del 2013</w:t>
      </w:r>
      <w:r w:rsidR="00BC4D02">
        <w:rPr>
          <w:bCs/>
        </w:rPr>
        <w:t xml:space="preserve">, dispone que </w:t>
      </w:r>
      <w:r w:rsidR="00BC4D02" w:rsidRPr="00E83FBE">
        <w:rPr>
          <w:bCs/>
        </w:rPr>
        <w:t>“los convenios y contratos suscritos al amparo del artículo 145 de la Ley Nº 15.851 de 24 de diciembre de 1986, deberán remitirse al Tribunal de Cuentas, a los efectos de contar con los antecedentes para la intervención establecida en el artículo 211 literal B) de la Constitución de la República, dentro de los diez días de suscritos</w:t>
      </w:r>
      <w:r w:rsidR="00684C7C" w:rsidRPr="00E83FBE">
        <w:rPr>
          <w:bCs/>
        </w:rPr>
        <w:t>”</w:t>
      </w:r>
      <w:r w:rsidR="00BC4D02" w:rsidRPr="00E83FBE">
        <w:rPr>
          <w:bCs/>
        </w:rPr>
        <w:t>;</w:t>
      </w:r>
    </w:p>
    <w:p w:rsidR="00684C7C" w:rsidRDefault="00BC4D02" w:rsidP="00BC4D02">
      <w:pPr>
        <w:pStyle w:val="Sangradetextonormal"/>
        <w:jc w:val="both"/>
      </w:pPr>
      <w:r>
        <w:rPr>
          <w:bCs/>
        </w:rPr>
        <w:t xml:space="preserve">                       </w:t>
      </w:r>
      <w:r>
        <w:rPr>
          <w:b/>
          <w:bCs/>
        </w:rPr>
        <w:t xml:space="preserve">  </w:t>
      </w:r>
      <w:r w:rsidR="00E83FBE">
        <w:rPr>
          <w:b/>
          <w:bCs/>
        </w:rPr>
        <w:t xml:space="preserve">      </w:t>
      </w:r>
      <w:r>
        <w:rPr>
          <w:b/>
          <w:bCs/>
        </w:rPr>
        <w:t xml:space="preserve">4) </w:t>
      </w:r>
      <w:r>
        <w:rPr>
          <w:bCs/>
        </w:rPr>
        <w:t>que las actuaciones ingresaron</w:t>
      </w:r>
      <w:r w:rsidR="00684C7C">
        <w:rPr>
          <w:bCs/>
        </w:rPr>
        <w:t xml:space="preserve"> originalmente a este Tribunal</w:t>
      </w:r>
      <w:r>
        <w:rPr>
          <w:bCs/>
        </w:rPr>
        <w:t xml:space="preserve"> el </w:t>
      </w:r>
      <w:r w:rsidR="00684C7C">
        <w:t xml:space="preserve">7 de noviembre de 2018, </w:t>
      </w:r>
      <w:r>
        <w:rPr>
          <w:bCs/>
        </w:rPr>
        <w:t xml:space="preserve"> </w:t>
      </w:r>
      <w:r w:rsidR="00684C7C">
        <w:rPr>
          <w:bCs/>
        </w:rPr>
        <w:t xml:space="preserve">razón por la cual, </w:t>
      </w:r>
      <w:r>
        <w:rPr>
          <w:bCs/>
        </w:rPr>
        <w:t xml:space="preserve">la administración actuante  ha </w:t>
      </w:r>
      <w:r w:rsidR="00684C7C">
        <w:rPr>
          <w:bCs/>
        </w:rPr>
        <w:t>in</w:t>
      </w:r>
      <w:r>
        <w:rPr>
          <w:bCs/>
        </w:rPr>
        <w:t xml:space="preserve">cumplido con el plazo </w:t>
      </w:r>
      <w:r w:rsidR="00684C7C">
        <w:rPr>
          <w:bCs/>
        </w:rPr>
        <w:t xml:space="preserve"> de diez días corridos previsto en</w:t>
      </w:r>
      <w:r w:rsidR="007A0709">
        <w:rPr>
          <w:bCs/>
        </w:rPr>
        <w:t xml:space="preserve"> la norma citada,  en tanto</w:t>
      </w:r>
      <w:r w:rsidR="00684C7C">
        <w:rPr>
          <w:bCs/>
        </w:rPr>
        <w:t xml:space="preserve"> el contrato de préstamo  remitido fue suscrito con fecha </w:t>
      </w:r>
      <w:r w:rsidR="00684C7C">
        <w:t>6 de julio de 2017;</w:t>
      </w:r>
    </w:p>
    <w:p w:rsidR="00427522" w:rsidRDefault="00427522" w:rsidP="00E83FBE">
      <w:pPr>
        <w:autoSpaceDE w:val="0"/>
        <w:autoSpaceDN w:val="0"/>
        <w:adjustRightInd w:val="0"/>
        <w:ind w:firstLine="709"/>
        <w:rPr>
          <w:rFonts w:cs="Arial"/>
          <w:color w:val="000000"/>
          <w:szCs w:val="19"/>
        </w:rPr>
      </w:pPr>
      <w:r>
        <w:rPr>
          <w:rFonts w:cs="Arial"/>
          <w:b/>
          <w:bCs/>
          <w:color w:val="000000"/>
          <w:szCs w:val="19"/>
        </w:rPr>
        <w:t xml:space="preserve">ATENTO </w:t>
      </w:r>
      <w:r>
        <w:rPr>
          <w:rFonts w:cs="Arial"/>
          <w:color w:val="000000"/>
          <w:szCs w:val="19"/>
        </w:rPr>
        <w:t>lo precedentemente expuesto;</w:t>
      </w:r>
    </w:p>
    <w:p w:rsidR="00427522" w:rsidRPr="00E83FBE" w:rsidRDefault="00427522" w:rsidP="00427522">
      <w:pPr>
        <w:autoSpaceDE w:val="0"/>
        <w:autoSpaceDN w:val="0"/>
        <w:adjustRightInd w:val="0"/>
        <w:jc w:val="center"/>
        <w:rPr>
          <w:rFonts w:cs="Arial"/>
          <w:color w:val="000000"/>
          <w:szCs w:val="19"/>
        </w:rPr>
      </w:pPr>
      <w:r w:rsidRPr="00E83FBE">
        <w:rPr>
          <w:rFonts w:cs="Arial"/>
          <w:b/>
          <w:color w:val="000000"/>
          <w:szCs w:val="19"/>
        </w:rPr>
        <w:lastRenderedPageBreak/>
        <w:t>EL TRIBUNAL ACUERDA</w:t>
      </w:r>
    </w:p>
    <w:p w:rsidR="00912FBA" w:rsidRPr="00912FBA" w:rsidRDefault="00912FBA" w:rsidP="00E83FBE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Cs w:val="19"/>
        </w:rPr>
      </w:pPr>
      <w:r>
        <w:rPr>
          <w:rFonts w:cs="Arial"/>
          <w:color w:val="000000"/>
          <w:szCs w:val="19"/>
        </w:rPr>
        <w:t>Observar los gastos emergentes del</w:t>
      </w:r>
      <w:r w:rsidR="00427522">
        <w:rPr>
          <w:rFonts w:cs="Arial"/>
          <w:color w:val="000000"/>
          <w:szCs w:val="19"/>
        </w:rPr>
        <w:t xml:space="preserve"> </w:t>
      </w:r>
      <w:r>
        <w:t>Contrato de Préstamo N° 8733-UY,  celebrado entre la República Oriental del Uruguay y el Banco Internacional de Reconstrucción y Fomento</w:t>
      </w:r>
      <w:r w:rsidR="00E83FBE">
        <w:t xml:space="preserve">  </w:t>
      </w:r>
      <w:r w:rsidR="00D84366">
        <w:t>de acuerdo</w:t>
      </w:r>
      <w:bookmarkStart w:id="0" w:name="_GoBack"/>
      <w:bookmarkEnd w:id="0"/>
      <w:r w:rsidR="00E83FBE">
        <w:t xml:space="preserve"> a lo expresado en el Considerando 4); y</w:t>
      </w:r>
    </w:p>
    <w:p w:rsidR="00427522" w:rsidRPr="00912FBA" w:rsidRDefault="00912FBA" w:rsidP="00E83FBE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Cs w:val="18"/>
        </w:rPr>
      </w:pPr>
      <w:r>
        <w:t xml:space="preserve"> </w:t>
      </w:r>
      <w:r w:rsidR="00427522" w:rsidRPr="00912FBA">
        <w:rPr>
          <w:rFonts w:cs="Arial"/>
          <w:color w:val="000000"/>
          <w:szCs w:val="19"/>
        </w:rPr>
        <w:t>Devolver los antecedentes.</w:t>
      </w:r>
    </w:p>
    <w:p w:rsidR="007A0709" w:rsidRDefault="007A0709" w:rsidP="00427522">
      <w:pPr>
        <w:pStyle w:val="Sangradetextonormal"/>
        <w:rPr>
          <w:sz w:val="18"/>
          <w:szCs w:val="18"/>
        </w:rPr>
      </w:pPr>
    </w:p>
    <w:p w:rsidR="00427522" w:rsidRPr="009047B4" w:rsidRDefault="00427522" w:rsidP="00427522">
      <w:pPr>
        <w:pStyle w:val="Sangradetextonormal"/>
        <w:rPr>
          <w:sz w:val="18"/>
          <w:szCs w:val="18"/>
        </w:rPr>
      </w:pPr>
    </w:p>
    <w:p w:rsidR="00427522" w:rsidRDefault="00427522" w:rsidP="00427522">
      <w:pPr>
        <w:pStyle w:val="Sangradetextonormal"/>
      </w:pPr>
    </w:p>
    <w:p w:rsidR="00427522" w:rsidRDefault="00427522" w:rsidP="00427522"/>
    <w:p w:rsidR="005C3AF2" w:rsidRDefault="00E83FBE">
      <w:proofErr w:type="spellStart"/>
      <w:proofErr w:type="gramStart"/>
      <w:r>
        <w:t>cr</w:t>
      </w:r>
      <w:proofErr w:type="spellEnd"/>
      <w:proofErr w:type="gramEnd"/>
    </w:p>
    <w:sectPr w:rsidR="005C3AF2" w:rsidSect="00D84366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83"/>
    <w:multiLevelType w:val="hybridMultilevel"/>
    <w:tmpl w:val="D0A28642"/>
    <w:lvl w:ilvl="0" w:tplc="01046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22"/>
    <w:rsid w:val="00111126"/>
    <w:rsid w:val="00176DC7"/>
    <w:rsid w:val="00176E37"/>
    <w:rsid w:val="003F4B8D"/>
    <w:rsid w:val="00427522"/>
    <w:rsid w:val="00493414"/>
    <w:rsid w:val="005C3AF2"/>
    <w:rsid w:val="00684C7C"/>
    <w:rsid w:val="007A0709"/>
    <w:rsid w:val="008A2718"/>
    <w:rsid w:val="00912FBA"/>
    <w:rsid w:val="00922AAE"/>
    <w:rsid w:val="00A1572D"/>
    <w:rsid w:val="00A929E9"/>
    <w:rsid w:val="00B630B9"/>
    <w:rsid w:val="00BA372B"/>
    <w:rsid w:val="00BC4D02"/>
    <w:rsid w:val="00BE688F"/>
    <w:rsid w:val="00C6685F"/>
    <w:rsid w:val="00D84366"/>
    <w:rsid w:val="00E83FBE"/>
    <w:rsid w:val="00F43462"/>
    <w:rsid w:val="00F919CA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22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7522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752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27522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2752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22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7522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752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27522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2752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2019-01-15T18:31:00Z</cp:lastPrinted>
  <dcterms:created xsi:type="dcterms:W3CDTF">2019-01-15T18:31:00Z</dcterms:created>
  <dcterms:modified xsi:type="dcterms:W3CDTF">2019-01-15T18:31:00Z</dcterms:modified>
</cp:coreProperties>
</file>